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412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41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ind w:left="3280"/>
        <w:spacing w:after="0"/>
        <w:rPr>
          <w:sz w:val="20"/>
          <w:szCs w:val="20"/>
          <w:color w:val="auto"/>
        </w:rPr>
      </w:pPr>
      <w:r>
        <w:rPr>
          <w:rFonts w:ascii="Arial" w:cs="Arial" w:eastAsia="Arial" w:hAnsi="Arial"/>
          <w:sz w:val="137"/>
          <w:szCs w:val="137"/>
          <w:b w:val="1"/>
          <w:bCs w:val="1"/>
          <w:color w:val="767676"/>
        </w:rPr>
        <w:t>&gt;7M</w:t>
      </w:r>
    </w:p>
    <w:p>
      <w:pPr>
        <w:ind w:left="3300"/>
        <w:spacing w:after="0"/>
        <w:rPr>
          <w:sz w:val="20"/>
          <w:szCs w:val="20"/>
          <w:color w:val="auto"/>
        </w:rPr>
      </w:pPr>
      <w:r>
        <w:rPr>
          <w:rFonts w:ascii="Arial" w:cs="Arial" w:eastAsia="Arial" w:hAnsi="Arial"/>
          <w:sz w:val="77"/>
          <w:szCs w:val="77"/>
          <w:b w:val="1"/>
          <w:bCs w:val="1"/>
          <w:color w:val="767676"/>
        </w:rPr>
        <w:t>patient lives</w:t>
      </w:r>
    </w:p>
    <w:p>
      <w:pPr>
        <w:spacing w:after="0" w:line="33" w:lineRule="exact"/>
        <w:rPr>
          <w:sz w:val="24"/>
          <w:szCs w:val="24"/>
          <w:color w:val="auto"/>
        </w:rPr>
      </w:pPr>
    </w:p>
    <w:p>
      <w:pPr>
        <w:ind w:left="3300"/>
        <w:spacing w:after="0"/>
        <w:rPr>
          <w:sz w:val="20"/>
          <w:szCs w:val="20"/>
          <w:color w:val="auto"/>
        </w:rPr>
      </w:pPr>
      <w:r>
        <w:rPr>
          <w:rFonts w:ascii="Arial" w:cs="Arial" w:eastAsia="Arial" w:hAnsi="Arial"/>
          <w:sz w:val="77"/>
          <w:szCs w:val="77"/>
          <w:b w:val="1"/>
          <w:bCs w:val="1"/>
          <w:color w:val="767676"/>
        </w:rPr>
        <w:t>impacted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right"/>
        <w:ind w:right="820"/>
        <w:spacing w:after="0"/>
        <w:rPr>
          <w:sz w:val="20"/>
          <w:szCs w:val="20"/>
          <w:color w:val="auto"/>
        </w:rPr>
      </w:pPr>
      <w:r>
        <w:rPr>
          <w:rFonts w:ascii="Arial" w:cs="Arial" w:eastAsia="Arial" w:hAnsi="Arial"/>
          <w:sz w:val="93"/>
          <w:szCs w:val="93"/>
          <w:b w:val="1"/>
          <w:bCs w:val="1"/>
          <w:color w:val="BDBDBD"/>
        </w:rPr>
        <w:t>2025</w:t>
      </w:r>
    </w:p>
    <w:p>
      <w:pPr>
        <w:sectPr>
          <w:pgSz w:w="11880" w:h="15480" w:orient="portrait"/>
          <w:cols w:equalWidth="0" w:num="1">
            <w:col w:w="10220"/>
          </w:cols>
          <w:pgMar w:left="1440" w:top="1440" w:right="220" w:bottom="1440" w:gutter="0" w:footer="0" w:header="0"/>
        </w:sectPr>
      </w:pPr>
    </w:p>
    <w:p>
      <w:pPr>
        <w:spacing w:after="0" w:line="70" w:lineRule="exact"/>
        <w:rPr>
          <w:sz w:val="24"/>
          <w:szCs w:val="24"/>
          <w:color w:val="auto"/>
        </w:rPr>
      </w:pPr>
    </w:p>
    <w:p>
      <w:pPr>
        <w:ind w:left="7180"/>
        <w:spacing w:after="0"/>
        <w:tabs>
          <w:tab w:leader="none" w:pos="9180" w:val="left"/>
        </w:tabs>
        <w:rPr>
          <w:sz w:val="20"/>
          <w:szCs w:val="20"/>
          <w:color w:val="auto"/>
        </w:rPr>
      </w:pPr>
      <w:r>
        <w:rPr>
          <w:rFonts w:ascii="Arial" w:cs="Arial" w:eastAsia="Arial" w:hAnsi="Arial"/>
          <w:sz w:val="24"/>
          <w:szCs w:val="24"/>
          <w:color w:val="161616"/>
        </w:rPr>
        <w:t>ANNUAL</w:t>
      </w:r>
      <w:r>
        <w:rPr>
          <w:sz w:val="20"/>
          <w:szCs w:val="20"/>
          <w:color w:val="auto"/>
        </w:rPr>
        <w:tab/>
      </w:r>
      <w:r>
        <w:rPr>
          <w:rFonts w:ascii="Arial" w:cs="Arial" w:eastAsia="Arial" w:hAnsi="Arial"/>
          <w:sz w:val="24"/>
          <w:szCs w:val="24"/>
          <w:color w:val="161616"/>
        </w:rPr>
        <w:t>REPORT</w:t>
      </w:r>
    </w:p>
    <w:p>
      <w:pPr>
        <w:spacing w:after="0" w:line="20" w:lineRule="exact"/>
        <w:rPr>
          <w:sz w:val="24"/>
          <w:szCs w:val="24"/>
          <w:color w:val="auto"/>
        </w:rPr>
      </w:pPr>
    </w:p>
    <w:p>
      <w:pPr>
        <w:sectPr>
          <w:pgSz w:w="11880" w:h="15480" w:orient="portrait"/>
          <w:cols w:equalWidth="0" w:num="1">
            <w:col w:w="10220"/>
          </w:cols>
          <w:pgMar w:left="1440" w:top="1440" w:right="220" w:bottom="1440" w:gutter="0" w:footer="0" w:header="0"/>
          <w:type w:val="continuous"/>
        </w:sectPr>
      </w:pPr>
    </w:p>
    <w:bookmarkStart w:id="1" w:name="page2"/>
    <w:bookmarkEnd w:id="1"/>
    <w:p>
      <w:pPr>
        <w:spacing w:after="0" w:line="20" w:lineRule="exact"/>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537845</wp:posOffset>
            </wp:positionH>
            <wp:positionV relativeFrom="page">
              <wp:posOffset>201930</wp:posOffset>
            </wp:positionV>
            <wp:extent cx="6467475" cy="12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67475" cy="12700"/>
                    </a:xfrm>
                    <a:prstGeom prst="rect">
                      <a:avLst/>
                    </a:prstGeom>
                    <a:noFill/>
                  </pic:spPr>
                </pic:pic>
              </a:graphicData>
            </a:graphic>
          </wp:anchor>
        </w:drawing>
        <w:drawing>
          <wp:anchor simplePos="0" relativeHeight="251657728" behindDoc="1" locked="0" layoutInCell="0" allowOverlap="1">
            <wp:simplePos x="0" y="0"/>
            <wp:positionH relativeFrom="page">
              <wp:posOffset>537845</wp:posOffset>
            </wp:positionH>
            <wp:positionV relativeFrom="page">
              <wp:posOffset>249555</wp:posOffset>
            </wp:positionV>
            <wp:extent cx="6467475" cy="12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67475" cy="12700"/>
                    </a:xfrm>
                    <a:prstGeom prst="rect">
                      <a:avLst/>
                    </a:prstGeom>
                    <a:noFill/>
                  </pic:spPr>
                </pic:pic>
              </a:graphicData>
            </a:graphic>
          </wp:anchor>
        </w:drawing>
        <w:t>UNITED STATES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WASHINGTON, D.C. 20549</w:t>
      </w:r>
    </w:p>
    <w:p>
      <w:pPr>
        <w:spacing w:after="0" w:line="7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_______________________________________________________________</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7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_______________________________________________________________</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17" w:lineRule="exact"/>
        <w:rPr>
          <w:sz w:val="20"/>
          <w:szCs w:val="20"/>
          <w:color w:val="auto"/>
        </w:rPr>
      </w:pPr>
    </w:p>
    <w:p>
      <w:pPr>
        <w:ind w:left="640" w:hanging="428"/>
        <w:spacing w:after="0"/>
        <w:tabs>
          <w:tab w:leader="none" w:pos="6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166" w:lineRule="exact"/>
        <w:rPr>
          <w:sz w:val="20"/>
          <w:szCs w:val="20"/>
          <w:color w:val="auto"/>
        </w:rPr>
      </w:pPr>
    </w:p>
    <w:p>
      <w:pPr>
        <w:ind w:left="660" w:hanging="449"/>
        <w:spacing w:after="0"/>
        <w:tabs>
          <w:tab w:leader="none" w:pos="6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07" w:lineRule="exact"/>
        <w:rPr>
          <w:sz w:val="20"/>
          <w:szCs w:val="20"/>
          <w:color w:val="auto"/>
        </w:rPr>
      </w:pPr>
    </w:p>
    <w:p>
      <w:pPr>
        <w:ind w:left="3160"/>
        <w:spacing w:after="0"/>
        <w:tabs>
          <w:tab w:leader="none" w:pos="60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3345180</wp:posOffset>
            </wp:positionH>
            <wp:positionV relativeFrom="paragraph">
              <wp:posOffset>-3810</wp:posOffset>
            </wp:positionV>
            <wp:extent cx="1151255" cy="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51255" cy="5080"/>
                    </a:xfrm>
                    <a:prstGeom prst="rect">
                      <a:avLst/>
                    </a:prstGeom>
                    <a:noFill/>
                  </pic:spPr>
                </pic:pic>
              </a:graphicData>
            </a:graphic>
          </wp:anchor>
        </w:drawing>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001-36569</w:t>
      </w:r>
    </w:p>
    <w:p>
      <w:pPr>
        <w:spacing w:after="0" w:line="8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_______________________________________________________________</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LANTHEUS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1388745</wp:posOffset>
            </wp:positionH>
            <wp:positionV relativeFrom="paragraph">
              <wp:posOffset>33655</wp:posOffset>
            </wp:positionV>
            <wp:extent cx="3724275" cy="12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24275" cy="12700"/>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0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_______________________________________________________________</w:t>
      </w:r>
    </w:p>
    <w:p>
      <w:pPr>
        <w:spacing w:after="0" w:line="60"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140" w:type="dxa"/>
            <w:vAlign w:val="bottom"/>
          </w:tcPr>
          <w:p>
            <w:pPr>
              <w:spacing w:after="0"/>
              <w:rPr>
                <w:sz w:val="20"/>
                <w:szCs w:val="20"/>
                <w:color w:val="auto"/>
              </w:rPr>
            </w:pPr>
          </w:p>
        </w:tc>
        <w:tc>
          <w:tcPr>
            <w:tcW w:w="3880" w:type="dxa"/>
            <w:vAlign w:val="bottom"/>
            <w:tcBorders>
              <w:bottom w:val="single" w:sz="8" w:color="auto"/>
            </w:tcBorders>
          </w:tcPr>
          <w:p>
            <w:pPr>
              <w:jc w:val="center"/>
              <w:ind w:left="10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1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35-2318913</w:t>
            </w:r>
          </w:p>
        </w:tc>
        <w:tc>
          <w:tcPr>
            <w:tcW w:w="14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21"/>
        </w:trPr>
        <w:tc>
          <w:tcPr>
            <w:tcW w:w="140" w:type="dxa"/>
            <w:vAlign w:val="bottom"/>
          </w:tcPr>
          <w:p>
            <w:pPr>
              <w:spacing w:after="0"/>
              <w:rPr>
                <w:sz w:val="19"/>
                <w:szCs w:val="19"/>
                <w:color w:val="auto"/>
              </w:rPr>
            </w:pPr>
          </w:p>
        </w:tc>
        <w:tc>
          <w:tcPr>
            <w:tcW w:w="6280" w:type="dxa"/>
            <w:vAlign w:val="bottom"/>
            <w:gridSpan w:val="5"/>
          </w:tcPr>
          <w:p>
            <w:pPr>
              <w:jc w:val="center"/>
              <w:ind w:right="1240"/>
              <w:spacing w:after="0"/>
              <w:rPr>
                <w:sz w:val="20"/>
                <w:szCs w:val="20"/>
                <w:color w:val="auto"/>
              </w:rPr>
            </w:pPr>
            <w:r>
              <w:rPr>
                <w:rFonts w:ascii="Times New Roman" w:cs="Times New Roman" w:eastAsia="Times New Roman" w:hAnsi="Times New Roman"/>
                <w:sz w:val="16"/>
                <w:szCs w:val="16"/>
                <w:b w:val="1"/>
                <w:bCs w:val="1"/>
                <w:color w:val="auto"/>
                <w:w w:val="99"/>
              </w:rPr>
              <w:t>(State or other jurisdiction of incorporation or organization)</w:t>
            </w:r>
          </w:p>
        </w:tc>
        <w:tc>
          <w:tcPr>
            <w:tcW w:w="3680" w:type="dxa"/>
            <w:vAlign w:val="bottom"/>
            <w:gridSpan w:val="4"/>
          </w:tcPr>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c>
          <w:tcPr>
            <w:tcW w:w="140" w:type="dxa"/>
            <w:vAlign w:val="bottom"/>
          </w:tcPr>
          <w:p>
            <w:pPr>
              <w:spacing w:after="0"/>
              <w:rPr>
                <w:sz w:val="19"/>
                <w:szCs w:val="19"/>
                <w:color w:val="auto"/>
              </w:rPr>
            </w:pPr>
          </w:p>
        </w:tc>
      </w:tr>
      <w:tr>
        <w:trPr>
          <w:trHeight w:val="329"/>
        </w:trPr>
        <w:tc>
          <w:tcPr>
            <w:tcW w:w="140" w:type="dxa"/>
            <w:vAlign w:val="bottom"/>
          </w:tcPr>
          <w:p>
            <w:pPr>
              <w:spacing w:after="0"/>
              <w:rPr>
                <w:sz w:val="24"/>
                <w:szCs w:val="24"/>
                <w:color w:val="auto"/>
              </w:rPr>
            </w:pPr>
          </w:p>
        </w:tc>
        <w:tc>
          <w:tcPr>
            <w:tcW w:w="6280" w:type="dxa"/>
            <w:vAlign w:val="bottom"/>
            <w:gridSpan w:val="5"/>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9"/>
              </w:rPr>
              <w:t>201 Burlington Road, South Building, Bedford, MA</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01730</w:t>
            </w:r>
          </w:p>
        </w:tc>
        <w:tc>
          <w:tcPr>
            <w:tcW w:w="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1"/>
        </w:trPr>
        <w:tc>
          <w:tcPr>
            <w:tcW w:w="140" w:type="dxa"/>
            <w:vAlign w:val="bottom"/>
          </w:tcPr>
          <w:p>
            <w:pPr>
              <w:spacing w:after="0"/>
              <w:rPr>
                <w:sz w:val="19"/>
                <w:szCs w:val="19"/>
                <w:color w:val="auto"/>
              </w:rPr>
            </w:pPr>
          </w:p>
        </w:tc>
        <w:tc>
          <w:tcPr>
            <w:tcW w:w="3880" w:type="dxa"/>
            <w:vAlign w:val="bottom"/>
            <w:tcBorders>
              <w:top w:val="single" w:sz="8" w:color="auto"/>
            </w:tcBorders>
          </w:tcPr>
          <w:p>
            <w:pPr>
              <w:jc w:val="center"/>
              <w:ind w:left="1080"/>
              <w:spacing w:after="0"/>
              <w:rPr>
                <w:sz w:val="20"/>
                <w:szCs w:val="20"/>
                <w:color w:val="auto"/>
              </w:rPr>
            </w:pPr>
            <w:r>
              <w:rPr>
                <w:rFonts w:ascii="Times New Roman" w:cs="Times New Roman" w:eastAsia="Times New Roman" w:hAnsi="Times New Roman"/>
                <w:sz w:val="16"/>
                <w:szCs w:val="16"/>
                <w:b w:val="1"/>
                <w:bCs w:val="1"/>
                <w:color w:val="auto"/>
                <w:w w:val="99"/>
              </w:rPr>
              <w:t>(Address of principal executive offices)</w:t>
            </w:r>
          </w:p>
        </w:tc>
        <w:tc>
          <w:tcPr>
            <w:tcW w:w="11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220" w:type="dxa"/>
            <w:vAlign w:val="bottom"/>
            <w:tcBorders>
              <w:top w:val="single" w:sz="8" w:color="auto"/>
            </w:tcBorders>
            <w:gridSpan w:val="3"/>
          </w:tcPr>
          <w:p>
            <w:pPr>
              <w:jc w:val="center"/>
              <w:ind w:left="197"/>
              <w:spacing w:after="0"/>
              <w:rPr>
                <w:sz w:val="20"/>
                <w:szCs w:val="20"/>
                <w:color w:val="auto"/>
              </w:rPr>
            </w:pPr>
            <w:r>
              <w:rPr>
                <w:rFonts w:ascii="Times New Roman" w:cs="Times New Roman" w:eastAsia="Times New Roman" w:hAnsi="Times New Roman"/>
                <w:sz w:val="16"/>
                <w:szCs w:val="16"/>
                <w:b w:val="1"/>
                <w:bCs w:val="1"/>
                <w:color w:val="auto"/>
                <w:w w:val="99"/>
              </w:rPr>
              <w:t>(Zip Code)</w:t>
            </w:r>
          </w:p>
        </w:tc>
        <w:tc>
          <w:tcPr>
            <w:tcW w:w="14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350"/>
        </w:trPr>
        <w:tc>
          <w:tcPr>
            <w:tcW w:w="140" w:type="dxa"/>
            <w:vAlign w:val="bottom"/>
          </w:tcPr>
          <w:p>
            <w:pPr>
              <w:spacing w:after="0"/>
              <w:rPr>
                <w:sz w:val="24"/>
                <w:szCs w:val="24"/>
                <w:color w:val="auto"/>
              </w:rPr>
            </w:pPr>
          </w:p>
        </w:tc>
        <w:tc>
          <w:tcPr>
            <w:tcW w:w="7880" w:type="dxa"/>
            <w:vAlign w:val="bottom"/>
            <w:gridSpan w:val="7"/>
          </w:tcPr>
          <w:p>
            <w:pPr>
              <w:jc w:val="center"/>
              <w:ind w:left="2000"/>
              <w:spacing w:after="0"/>
              <w:rPr>
                <w:sz w:val="20"/>
                <w:szCs w:val="20"/>
                <w:color w:val="auto"/>
              </w:rPr>
            </w:pPr>
            <w:r>
              <w:rPr>
                <w:rFonts w:ascii="Times New Roman" w:cs="Times New Roman" w:eastAsia="Times New Roman" w:hAnsi="Times New Roman"/>
                <w:sz w:val="16"/>
                <w:szCs w:val="16"/>
                <w:b w:val="1"/>
                <w:bCs w:val="1"/>
                <w:color w:val="auto"/>
                <w:w w:val="99"/>
              </w:rPr>
              <w:t>Registrant’s telephone number, including area code: (978) 671-8001</w:t>
            </w:r>
          </w:p>
        </w:tc>
        <w:tc>
          <w:tcPr>
            <w:tcW w:w="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27"/>
        </w:trPr>
        <w:tc>
          <w:tcPr>
            <w:tcW w:w="140" w:type="dxa"/>
            <w:vAlign w:val="bottom"/>
          </w:tcPr>
          <w:p>
            <w:pPr>
              <w:spacing w:after="0"/>
              <w:rPr>
                <w:sz w:val="24"/>
                <w:szCs w:val="24"/>
                <w:color w:val="auto"/>
              </w:rPr>
            </w:pPr>
          </w:p>
        </w:tc>
        <w:tc>
          <w:tcPr>
            <w:tcW w:w="7880" w:type="dxa"/>
            <w:vAlign w:val="bottom"/>
            <w:gridSpan w:val="7"/>
          </w:tcPr>
          <w:p>
            <w:pPr>
              <w:jc w:val="center"/>
              <w:ind w:left="200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6"/>
        </w:trPr>
        <w:tc>
          <w:tcPr>
            <w:tcW w:w="1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20"/>
        </w:trPr>
        <w:tc>
          <w:tcPr>
            <w:tcW w:w="140" w:type="dxa"/>
            <w:vAlign w:val="bottom"/>
            <w:tcBorders>
              <w:left w:val="single" w:sz="8" w:color="auto"/>
              <w:bottom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22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18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140" w:type="dxa"/>
            <w:vAlign w:val="bottom"/>
            <w:tcBorders>
              <w:bottom w:val="single" w:sz="8" w:color="auto"/>
              <w:right w:val="single" w:sz="8" w:color="auto"/>
            </w:tcBorders>
          </w:tcPr>
          <w:p>
            <w:pPr>
              <w:spacing w:after="0"/>
              <w:rPr>
                <w:sz w:val="19"/>
                <w:szCs w:val="19"/>
                <w:color w:val="auto"/>
              </w:rPr>
            </w:pPr>
          </w:p>
        </w:tc>
      </w:tr>
      <w:tr>
        <w:trPr>
          <w:trHeight w:val="235"/>
        </w:trPr>
        <w:tc>
          <w:tcPr>
            <w:tcW w:w="140" w:type="dxa"/>
            <w:vAlign w:val="bottom"/>
            <w:tcBorders>
              <w:left w:val="single" w:sz="8" w:color="auto"/>
              <w:bottom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color w:val="auto"/>
              </w:rPr>
              <w:t>Common Stock, $0.01 par value per share</w:t>
            </w:r>
          </w:p>
        </w:tc>
        <w:tc>
          <w:tcPr>
            <w:tcW w:w="222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LNTH</w:t>
            </w:r>
          </w:p>
        </w:tc>
        <w:tc>
          <w:tcPr>
            <w:tcW w:w="18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color w:val="auto"/>
                <w:w w:val="99"/>
              </w:rPr>
              <w:t>NASDAQ Global Market</w:t>
            </w:r>
          </w:p>
        </w:tc>
        <w:tc>
          <w:tcPr>
            <w:tcW w:w="140" w:type="dxa"/>
            <w:vAlign w:val="bottom"/>
            <w:tcBorders>
              <w:bottom w:val="single" w:sz="8" w:color="auto"/>
              <w:right w:val="single" w:sz="8" w:color="auto"/>
            </w:tcBorders>
          </w:tcPr>
          <w:p>
            <w:pPr>
              <w:spacing w:after="0"/>
              <w:rPr>
                <w:sz w:val="20"/>
                <w:szCs w:val="20"/>
                <w:color w:val="auto"/>
              </w:rPr>
            </w:pPr>
          </w:p>
        </w:tc>
      </w:tr>
      <w:tr>
        <w:trPr>
          <w:trHeight w:val="286"/>
        </w:trPr>
        <w:tc>
          <w:tcPr>
            <w:tcW w:w="140" w:type="dxa"/>
            <w:vAlign w:val="bottom"/>
          </w:tcPr>
          <w:p>
            <w:pPr>
              <w:spacing w:after="0"/>
              <w:rPr>
                <w:sz w:val="24"/>
                <w:szCs w:val="24"/>
                <w:color w:val="auto"/>
              </w:rPr>
            </w:pPr>
          </w:p>
        </w:tc>
        <w:tc>
          <w:tcPr>
            <w:tcW w:w="7880" w:type="dxa"/>
            <w:vAlign w:val="bottom"/>
            <w:gridSpan w:val="7"/>
          </w:tcPr>
          <w:p>
            <w:pPr>
              <w:jc w:val="center"/>
              <w:ind w:left="200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tc>
        <w:tc>
          <w:tcPr>
            <w:tcW w:w="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66"/>
        </w:trPr>
        <w:tc>
          <w:tcPr>
            <w:tcW w:w="14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240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None</w:t>
            </w:r>
          </w:p>
        </w:tc>
        <w:tc>
          <w:tcPr>
            <w:tcW w:w="10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159"/>
        </w:trPr>
        <w:tc>
          <w:tcPr>
            <w:tcW w:w="140" w:type="dxa"/>
            <w:vAlign w:val="bottom"/>
          </w:tcPr>
          <w:p>
            <w:pPr>
              <w:spacing w:after="0"/>
              <w:rPr>
                <w:sz w:val="13"/>
                <w:szCs w:val="13"/>
                <w:color w:val="auto"/>
              </w:rPr>
            </w:pPr>
          </w:p>
        </w:tc>
        <w:tc>
          <w:tcPr>
            <w:tcW w:w="7280" w:type="dxa"/>
            <w:vAlign w:val="bottom"/>
            <w:gridSpan w:val="6"/>
          </w:tcPr>
          <w:p>
            <w:pPr>
              <w:jc w:val="center"/>
              <w:ind w:left="2620"/>
              <w:spacing w:after="0"/>
              <w:rPr>
                <w:sz w:val="20"/>
                <w:szCs w:val="20"/>
                <w:color w:val="auto"/>
              </w:rPr>
            </w:pPr>
            <w:r>
              <w:rPr>
                <w:rFonts w:ascii="Times New Roman" w:cs="Times New Roman" w:eastAsia="Times New Roman" w:hAnsi="Times New Roman"/>
                <w:sz w:val="12"/>
                <w:szCs w:val="12"/>
                <w:b w:val="1"/>
                <w:bCs w:val="1"/>
                <w:color w:val="auto"/>
                <w:w w:val="99"/>
              </w:rPr>
              <w:t>_______________________________________________________________</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332"/>
        </w:trPr>
        <w:tc>
          <w:tcPr>
            <w:tcW w:w="140" w:type="dxa"/>
            <w:vAlign w:val="bottom"/>
          </w:tcPr>
          <w:p>
            <w:pPr>
              <w:spacing w:after="0"/>
              <w:rPr>
                <w:sz w:val="24"/>
                <w:szCs w:val="24"/>
                <w:color w:val="auto"/>
              </w:rPr>
            </w:pPr>
          </w:p>
        </w:tc>
        <w:tc>
          <w:tcPr>
            <w:tcW w:w="7880" w:type="dxa"/>
            <w:vAlign w:val="bottom"/>
            <w:gridSpan w:val="7"/>
          </w:tcPr>
          <w:p>
            <w:pPr>
              <w:ind w:left="220"/>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Yes </w:t>
            </w:r>
            <w:r>
              <w:rPr>
                <w:rFonts w:ascii="Arial" w:cs="Arial" w:eastAsia="Arial" w:hAnsi="Arial"/>
                <w:sz w:val="16"/>
                <w:szCs w:val="16"/>
                <w:color w:val="auto"/>
              </w:rPr>
              <w:t>þ</w:t>
            </w:r>
          </w:p>
        </w:tc>
        <w:tc>
          <w:tcPr>
            <w:tcW w:w="1460" w:type="dxa"/>
            <w:vAlign w:val="bottom"/>
          </w:tcPr>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140" w:type="dxa"/>
            <w:vAlign w:val="bottom"/>
          </w:tcPr>
          <w:p>
            <w:pPr>
              <w:spacing w:after="0"/>
              <w:rPr>
                <w:sz w:val="24"/>
                <w:szCs w:val="24"/>
                <w:color w:val="auto"/>
              </w:rPr>
            </w:pPr>
          </w:p>
        </w:tc>
      </w:tr>
      <w:tr>
        <w:trPr>
          <w:trHeight w:val="312"/>
        </w:trPr>
        <w:tc>
          <w:tcPr>
            <w:tcW w:w="140" w:type="dxa"/>
            <w:vAlign w:val="bottom"/>
          </w:tcPr>
          <w:p>
            <w:pPr>
              <w:spacing w:after="0"/>
              <w:rPr>
                <w:sz w:val="24"/>
                <w:szCs w:val="24"/>
                <w:color w:val="auto"/>
              </w:rPr>
            </w:pPr>
          </w:p>
        </w:tc>
        <w:tc>
          <w:tcPr>
            <w:tcW w:w="7880" w:type="dxa"/>
            <w:vAlign w:val="bottom"/>
            <w:gridSpan w:val="7"/>
          </w:tcPr>
          <w:p>
            <w:pPr>
              <w:ind w:left="220"/>
              <w:spacing w:after="0"/>
              <w:rPr>
                <w:sz w:val="20"/>
                <w:szCs w:val="20"/>
                <w:color w:val="auto"/>
              </w:rPr>
            </w:pPr>
            <w:r>
              <w:rPr>
                <w:rFonts w:ascii="Times New Roman" w:cs="Times New Roman" w:eastAsia="Times New Roman" w:hAnsi="Times New Roman"/>
                <w:sz w:val="16"/>
                <w:szCs w:val="16"/>
                <w:color w:val="auto"/>
                <w:w w:val="99"/>
              </w:rPr>
              <w:t>Indicate by check mark if the registrant is not required to file reports pursuant to Section 13 or Section 15(d) of the Act.</w:t>
            </w:r>
          </w:p>
        </w:tc>
        <w:tc>
          <w:tcPr>
            <w:tcW w:w="620" w:type="dxa"/>
            <w:vAlign w:val="bottom"/>
          </w:tcPr>
          <w:p>
            <w:pPr>
              <w:ind w:left="14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p>
        </w:tc>
        <w:tc>
          <w:tcPr>
            <w:tcW w:w="1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xml:space="preserve">No </w:t>
            </w:r>
            <w:r>
              <w:rPr>
                <w:rFonts w:ascii="Arial" w:cs="Arial" w:eastAsia="Arial" w:hAnsi="Arial"/>
                <w:sz w:val="16"/>
                <w:szCs w:val="16"/>
                <w:color w:val="auto"/>
              </w:rPr>
              <w:t>þ</w:t>
            </w:r>
          </w:p>
        </w:tc>
        <w:tc>
          <w:tcPr>
            <w:tcW w:w="140" w:type="dxa"/>
            <w:vAlign w:val="bottom"/>
          </w:tcPr>
          <w:p>
            <w:pPr>
              <w:spacing w:after="0"/>
              <w:rPr>
                <w:sz w:val="24"/>
                <w:szCs w:val="24"/>
                <w:color w:val="auto"/>
              </w:rPr>
            </w:pPr>
          </w:p>
        </w:tc>
      </w:tr>
    </w:tbl>
    <w:p>
      <w:pPr>
        <w:spacing w:after="0" w:line="20" w:lineRule="exact"/>
        <w:rPr>
          <w:sz w:val="20"/>
          <w:szCs w:val="20"/>
          <w:color w:val="auto"/>
        </w:rPr>
      </w:pPr>
    </w:p>
    <w:p>
      <w:pPr>
        <w:spacing w:after="0" w:line="56" w:lineRule="exact"/>
        <w:rPr>
          <w:sz w:val="20"/>
          <w:szCs w:val="20"/>
          <w:color w:val="auto"/>
        </w:rPr>
      </w:pPr>
    </w:p>
    <w:p>
      <w:pPr>
        <w:ind w:right="160" w:firstLine="360"/>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6"/>
          <w:szCs w:val="16"/>
          <w:color w:val="auto"/>
        </w:rPr>
        <w:t>þ</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7" w:lineRule="exact"/>
        <w:rPr>
          <w:sz w:val="20"/>
          <w:szCs w:val="20"/>
          <w:color w:val="auto"/>
        </w:rPr>
      </w:pPr>
    </w:p>
    <w:p>
      <w:pPr>
        <w:ind w:right="100" w:firstLine="36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every Interactive Data File required to be submitted pursuant to Rule 405 of Regulation S-T (§ 232.405 of this chapter) during the preceding 12 months (or for such shorter period that the registrant was required to submit such files). Yes </w:t>
      </w:r>
      <w:r>
        <w:rPr>
          <w:rFonts w:ascii="Arial" w:cs="Arial" w:eastAsia="Arial" w:hAnsi="Arial"/>
          <w:sz w:val="16"/>
          <w:szCs w:val="16"/>
          <w:color w:val="auto"/>
        </w:rPr>
        <w:t>þ</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7" w:lineRule="exact"/>
        <w:rPr>
          <w:sz w:val="20"/>
          <w:szCs w:val="20"/>
          <w:color w:val="auto"/>
        </w:rPr>
      </w:pPr>
    </w:p>
    <w:p>
      <w:pPr>
        <w:jc w:val="both"/>
        <w:ind w:right="60" w:firstLine="360"/>
        <w:spacing w:after="0" w:line="296"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or a smaller reporting company. See definitions of “large accelerated filer,” “accelerated filer,” “smaller reporting company,” and “emerging growth company” in Rule 12b-2 of the Exchange Act.</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00" w:type="dxa"/>
            <w:vAlign w:val="bottom"/>
          </w:tcPr>
          <w:p>
            <w:pPr>
              <w:ind w:left="500"/>
              <w:spacing w:after="0"/>
              <w:rPr>
                <w:sz w:val="20"/>
                <w:szCs w:val="20"/>
                <w:color w:val="auto"/>
              </w:rPr>
            </w:pPr>
            <w:r>
              <w:rPr>
                <w:rFonts w:ascii="Arial" w:cs="Arial" w:eastAsia="Arial" w:hAnsi="Arial"/>
                <w:sz w:val="20"/>
                <w:szCs w:val="20"/>
                <w:color w:val="auto"/>
              </w:rPr>
              <w:t>þ</w:t>
            </w:r>
          </w:p>
        </w:tc>
        <w:tc>
          <w:tcPr>
            <w:tcW w:w="45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Accelerated filer</w:t>
            </w:r>
          </w:p>
        </w:tc>
        <w:tc>
          <w:tcPr>
            <w:tcW w:w="500" w:type="dxa"/>
            <w:vAlign w:val="bottom"/>
          </w:tcPr>
          <w:p>
            <w:pPr>
              <w:ind w:left="3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319"/>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0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00" w:type="dxa"/>
            <w:vAlign w:val="bottom"/>
          </w:tcPr>
          <w:p>
            <w:pPr>
              <w:ind w:left="3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330"/>
        </w:trPr>
        <w:tc>
          <w:tcPr>
            <w:tcW w:w="2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5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00" w:type="dxa"/>
            <w:vAlign w:val="bottom"/>
          </w:tcPr>
          <w:p>
            <w:pPr>
              <w:ind w:left="36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168" w:lineRule="exact"/>
        <w:rPr>
          <w:sz w:val="20"/>
          <w:szCs w:val="20"/>
          <w:color w:val="auto"/>
        </w:rPr>
      </w:pPr>
    </w:p>
    <w:p>
      <w:pPr>
        <w:ind w:right="40" w:firstLine="360"/>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1" w:lineRule="exact"/>
        <w:rPr>
          <w:sz w:val="20"/>
          <w:szCs w:val="20"/>
          <w:color w:val="auto"/>
        </w:rPr>
      </w:pPr>
    </w:p>
    <w:p>
      <w:pPr>
        <w:ind w:right="140" w:firstLine="360"/>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77" w:lineRule="exact"/>
        <w:rPr>
          <w:sz w:val="20"/>
          <w:szCs w:val="20"/>
          <w:color w:val="auto"/>
        </w:rPr>
      </w:pPr>
    </w:p>
    <w:p>
      <w:pPr>
        <w:ind w:right="180" w:firstLine="360"/>
        <w:spacing w:after="0" w:line="219"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91" w:lineRule="exact"/>
        <w:rPr>
          <w:sz w:val="20"/>
          <w:szCs w:val="20"/>
          <w:color w:val="auto"/>
        </w:rPr>
      </w:pPr>
    </w:p>
    <w:p>
      <w:pPr>
        <w:ind w:firstLine="360"/>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92" w:lineRule="exact"/>
        <w:rPr>
          <w:sz w:val="20"/>
          <w:szCs w:val="20"/>
          <w:color w:val="auto"/>
        </w:rPr>
      </w:pPr>
    </w:p>
    <w:p>
      <w:pPr>
        <w:ind w:left="360"/>
        <w:spacing w:after="0" w:line="185" w:lineRule="exact"/>
        <w:tabs>
          <w:tab w:leader="none" w:pos="7080" w:val="left"/>
          <w:tab w:leader="none" w:pos="77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by Rule 12b-2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Arial" w:cs="Arial" w:eastAsia="Arial" w:hAnsi="Arial"/>
          <w:sz w:val="16"/>
          <w:szCs w:val="16"/>
          <w:color w:val="auto"/>
        </w:rPr>
        <w:t>þ</w:t>
      </w:r>
    </w:p>
    <w:p>
      <w:pPr>
        <w:spacing w:after="0" w:line="127" w:lineRule="exact"/>
        <w:rPr>
          <w:sz w:val="20"/>
          <w:szCs w:val="20"/>
          <w:color w:val="auto"/>
        </w:rPr>
      </w:pPr>
    </w:p>
    <w:p>
      <w:pPr>
        <w:ind w:right="20" w:firstLine="360"/>
        <w:spacing w:after="0" w:line="283" w:lineRule="auto"/>
        <w:rPr>
          <w:sz w:val="20"/>
          <w:szCs w:val="20"/>
          <w:color w:val="auto"/>
        </w:rPr>
      </w:pPr>
      <w:r>
        <w:rPr>
          <w:rFonts w:ascii="Times New Roman" w:cs="Times New Roman" w:eastAsia="Times New Roman" w:hAnsi="Times New Roman"/>
          <w:sz w:val="16"/>
          <w:szCs w:val="16"/>
          <w:color w:val="auto"/>
        </w:rPr>
        <w:t>The aggregate market value of the registrant’s common stock held by non-affiliates of the registrant on June 30, 2024 was approximately $4,238.4 million based on the last reported sale price of the registrant’s common stock on the NASDAQ Global Market on June 30, 2024 of $80.29 per share.</w:t>
      </w:r>
    </w:p>
    <w:p>
      <w:pPr>
        <w:spacing w:after="0" w:line="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As of February 20, 2025 the registrant had 68,476,575 shares of common stock, $0.01 par value, issued and outstanding.</w:t>
      </w:r>
    </w:p>
    <w:p>
      <w:pPr>
        <w:sectPr>
          <w:pgSz w:w="11880" w:h="15480" w:orient="portrait"/>
          <w:cols w:equalWidth="0" w:num="1">
            <w:col w:w="10240"/>
          </w:cols>
          <w:pgMar w:left="820" w:top="484" w:right="820" w:bottom="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42" w:lineRule="exact"/>
        <w:rPr>
          <w:sz w:val="20"/>
          <w:szCs w:val="20"/>
          <w:color w:val="auto"/>
        </w:rPr>
      </w:pPr>
    </w:p>
    <w:p>
      <w:pPr>
        <w:ind w:right="500" w:firstLine="360"/>
        <w:spacing w:after="0" w:line="283" w:lineRule="auto"/>
        <w:rPr>
          <w:sz w:val="20"/>
          <w:szCs w:val="20"/>
          <w:color w:val="auto"/>
        </w:rPr>
      </w:pPr>
      <w:r>
        <w:rPr>
          <w:rFonts w:ascii="Times New Roman" w:cs="Times New Roman" w:eastAsia="Times New Roman" w:hAnsi="Times New Roman"/>
          <w:sz w:val="16"/>
          <w:szCs w:val="16"/>
          <w:color w:val="auto"/>
        </w:rPr>
        <w:t>Listed hereunder are the documents, portions of which are incorporated by reference, and the parts of this Form 10-K into which such portions are incorporated:</w:t>
      </w:r>
    </w:p>
    <w:p>
      <w:pPr>
        <w:spacing w:after="0" w:line="70"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6"/>
          <w:szCs w:val="16"/>
          <w:color w:val="auto"/>
        </w:rPr>
        <w:t>The Registrant’s Definitive Proxy Statement for use in connection with the Annual Meeting of Stockholders to be held on May 1, 2025, portions of which are incorporated by reference into Parts II and III of this Form 10-K. The 2025 Proxy Statement will be filed with the Securities and Exchange Commission no later than 120 days after the close of our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6486525" cy="1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86525" cy="127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50800</wp:posOffset>
            </wp:positionV>
            <wp:extent cx="6486525" cy="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86525" cy="12700"/>
                    </a:xfrm>
                    <a:prstGeom prst="rect">
                      <a:avLst/>
                    </a:prstGeom>
                    <a:noFill/>
                  </pic:spPr>
                </pic:pic>
              </a:graphicData>
            </a:graphic>
          </wp:anchor>
        </w:drawing>
      </w:r>
    </w:p>
    <w:p>
      <w:pPr>
        <w:sectPr>
          <w:pgSz w:w="11880" w:h="15480" w:orient="portrait"/>
          <w:cols w:equalWidth="0" w:num="1">
            <w:col w:w="10220"/>
          </w:cols>
          <w:pgMar w:left="820" w:top="519" w:right="8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40"/>
        </w:trPr>
        <w:tc>
          <w:tcPr>
            <w:tcW w:w="900" w:type="dxa"/>
            <w:vAlign w:val="bottom"/>
          </w:tcPr>
          <w:p>
            <w:pPr>
              <w:spacing w:after="0"/>
              <w:rPr>
                <w:sz w:val="20"/>
                <w:szCs w:val="20"/>
                <w:color w:val="auto"/>
              </w:rPr>
            </w:pPr>
          </w:p>
        </w:tc>
        <w:tc>
          <w:tcPr>
            <w:tcW w:w="8140" w:type="dxa"/>
            <w:vAlign w:val="bottom"/>
          </w:tcPr>
          <w:p>
            <w:pPr>
              <w:jc w:val="center"/>
              <w:ind w:left="80"/>
              <w:spacing w:after="0"/>
              <w:rPr>
                <w:sz w:val="20"/>
                <w:szCs w:val="20"/>
                <w:color w:val="auto"/>
              </w:rPr>
            </w:pPr>
            <w:r>
              <w:rPr>
                <w:rFonts w:ascii="Times New Roman" w:cs="Times New Roman" w:eastAsia="Times New Roman" w:hAnsi="Times New Roman"/>
                <w:sz w:val="20"/>
                <w:szCs w:val="20"/>
                <w:b w:val="1"/>
                <w:bCs w:val="1"/>
                <w:color w:val="auto"/>
              </w:rPr>
              <w:t>LANTHEUS HOLDINGS, INC.</w:t>
            </w: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0"/>
        </w:trPr>
        <w:tc>
          <w:tcPr>
            <w:tcW w:w="900" w:type="dxa"/>
            <w:vAlign w:val="bottom"/>
          </w:tcPr>
          <w:p>
            <w:pPr>
              <w:spacing w:after="0"/>
              <w:rPr>
                <w:sz w:val="20"/>
                <w:szCs w:val="20"/>
                <w:color w:val="auto"/>
              </w:rPr>
            </w:pPr>
          </w:p>
        </w:tc>
        <w:tc>
          <w:tcPr>
            <w:tcW w:w="8140" w:type="dxa"/>
            <w:vAlign w:val="bottom"/>
          </w:tcPr>
          <w:p>
            <w:pPr>
              <w:jc w:val="center"/>
              <w:ind w:left="100"/>
              <w:spacing w:after="0"/>
              <w:rPr>
                <w:sz w:val="20"/>
                <w:szCs w:val="20"/>
                <w:color w:val="auto"/>
              </w:rPr>
            </w:pPr>
            <w:r>
              <w:rPr>
                <w:rFonts w:ascii="Times New Roman" w:cs="Times New Roman" w:eastAsia="Times New Roman" w:hAnsi="Times New Roman"/>
                <w:sz w:val="20"/>
                <w:szCs w:val="20"/>
                <w:b w:val="1"/>
                <w:bCs w:val="1"/>
                <w:color w:val="auto"/>
                <w:w w:val="99"/>
              </w:rPr>
              <w:t>ANNUAL REPORT ON FORM 10-K</w:t>
            </w: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65"/>
        </w:trPr>
        <w:tc>
          <w:tcPr>
            <w:tcW w:w="900" w:type="dxa"/>
            <w:vAlign w:val="bottom"/>
          </w:tcPr>
          <w:p>
            <w:pPr>
              <w:spacing w:after="0"/>
              <w:rPr>
                <w:sz w:val="23"/>
                <w:szCs w:val="23"/>
                <w:color w:val="auto"/>
              </w:rPr>
            </w:pPr>
          </w:p>
        </w:tc>
        <w:tc>
          <w:tcPr>
            <w:tcW w:w="8140" w:type="dxa"/>
            <w:vAlign w:val="bottom"/>
          </w:tcPr>
          <w:p>
            <w:pPr>
              <w:jc w:val="center"/>
              <w:ind w:left="8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320"/>
        </w:trPr>
        <w:tc>
          <w:tcPr>
            <w:tcW w:w="900" w:type="dxa"/>
            <w:vAlign w:val="bottom"/>
            <w:tcBorders>
              <w:bottom w:val="single" w:sz="8" w:color="E9E9E9"/>
            </w:tcBorders>
          </w:tcPr>
          <w:p>
            <w:pPr>
              <w:spacing w:after="0"/>
              <w:rPr>
                <w:sz w:val="24"/>
                <w:szCs w:val="24"/>
                <w:color w:val="auto"/>
              </w:rPr>
            </w:pPr>
          </w:p>
        </w:tc>
        <w:tc>
          <w:tcPr>
            <w:tcW w:w="8140" w:type="dxa"/>
            <w:vAlign w:val="bottom"/>
            <w:tcBorders>
              <w:bottom w:val="single" w:sz="8" w:color="E9E9E9"/>
            </w:tcBorders>
          </w:tcPr>
          <w:p>
            <w:pPr>
              <w:spacing w:after="0"/>
              <w:rPr>
                <w:sz w:val="24"/>
                <w:szCs w:val="24"/>
                <w:color w:val="auto"/>
              </w:rPr>
            </w:pPr>
          </w:p>
        </w:tc>
        <w:tc>
          <w:tcPr>
            <w:tcW w:w="20" w:type="dxa"/>
            <w:vAlign w:val="bottom"/>
            <w:tcBorders>
              <w:bottom w:val="single" w:sz="8" w:color="E9E9E9"/>
            </w:tcBorders>
          </w:tcPr>
          <w:p>
            <w:pPr>
              <w:spacing w:after="0"/>
              <w:rPr>
                <w:sz w:val="24"/>
                <w:szCs w:val="24"/>
                <w:color w:val="auto"/>
              </w:rPr>
            </w:pPr>
          </w:p>
        </w:tc>
        <w:tc>
          <w:tcPr>
            <w:tcW w:w="10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245"/>
        </w:trPr>
        <w:tc>
          <w:tcPr>
            <w:tcW w:w="90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b w:val="1"/>
                <w:bCs w:val="1"/>
                <w:color w:val="313131"/>
              </w:rPr>
              <w:t>PART I</w:t>
            </w:r>
          </w:p>
        </w:tc>
        <w:tc>
          <w:tcPr>
            <w:tcW w:w="814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1080" w:type="dxa"/>
            <w:vAlign w:val="bottom"/>
            <w:shd w:val="clear" w:color="auto" w:fill="E9E9E9"/>
          </w:tcPr>
          <w:p>
            <w:pPr>
              <w:spacing w:after="0"/>
              <w:rPr>
                <w:sz w:val="21"/>
                <w:szCs w:val="21"/>
                <w:color w:val="auto"/>
              </w:rPr>
            </w:pPr>
          </w:p>
        </w:tc>
      </w:tr>
      <w:tr>
        <w:trPr>
          <w:trHeight w:val="255"/>
        </w:trPr>
        <w:tc>
          <w:tcPr>
            <w:tcW w:w="900" w:type="dxa"/>
            <w:vAlign w:val="bottom"/>
          </w:tcPr>
          <w:p>
            <w:pPr>
              <w:ind w:left="40"/>
              <w:spacing w:after="0"/>
              <w:rPr>
                <w:sz w:val="20"/>
                <w:szCs w:val="20"/>
                <w:color w:val="auto"/>
              </w:rPr>
            </w:pPr>
            <w:r>
              <w:rPr>
                <w:rFonts w:ascii="Times New Roman" w:cs="Times New Roman" w:eastAsia="Times New Roman" w:hAnsi="Times New Roman"/>
                <w:sz w:val="20"/>
                <w:szCs w:val="20"/>
                <w:color w:val="313131"/>
              </w:rPr>
              <w:t>Item 1.</w:t>
            </w:r>
          </w:p>
        </w:tc>
        <w:tc>
          <w:tcPr>
            <w:tcW w:w="8140" w:type="dxa"/>
            <w:vAlign w:val="bottom"/>
          </w:tcPr>
          <w:p>
            <w:pPr>
              <w:ind w:left="60"/>
              <w:spacing w:after="0"/>
              <w:rPr>
                <w:sz w:val="20"/>
                <w:szCs w:val="20"/>
                <w:color w:val="auto"/>
              </w:rPr>
            </w:pPr>
            <w:r>
              <w:rPr>
                <w:rFonts w:ascii="Times New Roman" w:cs="Times New Roman" w:eastAsia="Times New Roman" w:hAnsi="Times New Roman"/>
                <w:sz w:val="20"/>
                <w:szCs w:val="20"/>
                <w:color w:val="313131"/>
              </w:rPr>
              <w:t>Business</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313131"/>
                <w:w w:val="99"/>
              </w:rPr>
              <w:t>4</w:t>
            </w:r>
          </w:p>
        </w:tc>
      </w:tr>
      <w:tr>
        <w:trPr>
          <w:trHeight w:val="255"/>
        </w:trPr>
        <w:tc>
          <w:tcPr>
            <w:tcW w:w="90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313131"/>
              </w:rPr>
              <w:t>Item 1A.</w:t>
            </w:r>
          </w:p>
        </w:tc>
        <w:tc>
          <w:tcPr>
            <w:tcW w:w="814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313131"/>
              </w:rPr>
              <w:t>Risk Factors</w:t>
            </w:r>
          </w:p>
        </w:tc>
        <w:tc>
          <w:tcPr>
            <w:tcW w:w="1100" w:type="dxa"/>
            <w:vAlign w:val="bottom"/>
            <w:gridSpan w:val="2"/>
            <w:shd w:val="clear" w:color="auto" w:fill="E9E9E9"/>
          </w:tcPr>
          <w:p>
            <w:pPr>
              <w:jc w:val="center"/>
              <w:spacing w:after="0"/>
              <w:rPr>
                <w:sz w:val="20"/>
                <w:szCs w:val="20"/>
                <w:color w:val="auto"/>
              </w:rPr>
            </w:pPr>
            <w:r>
              <w:rPr>
                <w:rFonts w:ascii="Times New Roman" w:cs="Times New Roman" w:eastAsia="Times New Roman" w:hAnsi="Times New Roman"/>
                <w:sz w:val="20"/>
                <w:szCs w:val="20"/>
                <w:color w:val="313131"/>
                <w:w w:val="99"/>
              </w:rPr>
              <w:t>29</w:t>
            </w:r>
          </w:p>
        </w:tc>
      </w:tr>
      <w:tr>
        <w:trPr>
          <w:trHeight w:val="255"/>
        </w:trPr>
        <w:tc>
          <w:tcPr>
            <w:tcW w:w="900" w:type="dxa"/>
            <w:vAlign w:val="bottom"/>
          </w:tcPr>
          <w:p>
            <w:pPr>
              <w:ind w:left="40"/>
              <w:spacing w:after="0"/>
              <w:rPr>
                <w:sz w:val="20"/>
                <w:szCs w:val="20"/>
                <w:color w:val="auto"/>
              </w:rPr>
            </w:pPr>
            <w:r>
              <w:rPr>
                <w:rFonts w:ascii="Times New Roman" w:cs="Times New Roman" w:eastAsia="Times New Roman" w:hAnsi="Times New Roman"/>
                <w:sz w:val="20"/>
                <w:szCs w:val="20"/>
                <w:color w:val="313131"/>
              </w:rPr>
              <w:t>Item 1B.</w:t>
            </w:r>
          </w:p>
        </w:tc>
        <w:tc>
          <w:tcPr>
            <w:tcW w:w="8140" w:type="dxa"/>
            <w:vAlign w:val="bottom"/>
          </w:tcPr>
          <w:p>
            <w:pPr>
              <w:ind w:left="60"/>
              <w:spacing w:after="0"/>
              <w:rPr>
                <w:sz w:val="20"/>
                <w:szCs w:val="20"/>
                <w:color w:val="auto"/>
              </w:rPr>
            </w:pPr>
            <w:r>
              <w:rPr>
                <w:rFonts w:ascii="Times New Roman" w:cs="Times New Roman" w:eastAsia="Times New Roman" w:hAnsi="Times New Roman"/>
                <w:sz w:val="20"/>
                <w:szCs w:val="20"/>
                <w:color w:val="313131"/>
              </w:rPr>
              <w:t>Unresolved Staff Comments</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313131"/>
                <w:w w:val="99"/>
              </w:rPr>
              <w:t>52</w:t>
            </w:r>
          </w:p>
        </w:tc>
      </w:tr>
      <w:tr>
        <w:trPr>
          <w:trHeight w:val="255"/>
        </w:trPr>
        <w:tc>
          <w:tcPr>
            <w:tcW w:w="90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313131"/>
              </w:rPr>
              <w:t>Item 1C.</w:t>
            </w:r>
          </w:p>
        </w:tc>
        <w:tc>
          <w:tcPr>
            <w:tcW w:w="814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313131"/>
              </w:rPr>
              <w:t>Cybersecurity</w:t>
            </w:r>
          </w:p>
        </w:tc>
        <w:tc>
          <w:tcPr>
            <w:tcW w:w="1100" w:type="dxa"/>
            <w:vAlign w:val="bottom"/>
            <w:gridSpan w:val="2"/>
            <w:shd w:val="clear" w:color="auto" w:fill="E9E9E9"/>
          </w:tcPr>
          <w:p>
            <w:pPr>
              <w:jc w:val="center"/>
              <w:spacing w:after="0"/>
              <w:rPr>
                <w:sz w:val="20"/>
                <w:szCs w:val="20"/>
                <w:color w:val="auto"/>
              </w:rPr>
            </w:pPr>
            <w:r>
              <w:rPr>
                <w:rFonts w:ascii="Times New Roman" w:cs="Times New Roman" w:eastAsia="Times New Roman" w:hAnsi="Times New Roman"/>
                <w:sz w:val="20"/>
                <w:szCs w:val="20"/>
                <w:color w:val="313131"/>
                <w:w w:val="99"/>
              </w:rPr>
              <w:t>52</w:t>
            </w:r>
          </w:p>
        </w:tc>
      </w:tr>
      <w:tr>
        <w:trPr>
          <w:trHeight w:val="255"/>
        </w:trPr>
        <w:tc>
          <w:tcPr>
            <w:tcW w:w="900" w:type="dxa"/>
            <w:vAlign w:val="bottom"/>
          </w:tcPr>
          <w:p>
            <w:pPr>
              <w:ind w:left="40"/>
              <w:spacing w:after="0"/>
              <w:rPr>
                <w:sz w:val="20"/>
                <w:szCs w:val="20"/>
                <w:color w:val="auto"/>
              </w:rPr>
            </w:pPr>
            <w:r>
              <w:rPr>
                <w:rFonts w:ascii="Times New Roman" w:cs="Times New Roman" w:eastAsia="Times New Roman" w:hAnsi="Times New Roman"/>
                <w:sz w:val="20"/>
                <w:szCs w:val="20"/>
                <w:color w:val="313131"/>
              </w:rPr>
              <w:t>Item 2.</w:t>
            </w:r>
          </w:p>
        </w:tc>
        <w:tc>
          <w:tcPr>
            <w:tcW w:w="8140" w:type="dxa"/>
            <w:vAlign w:val="bottom"/>
          </w:tcPr>
          <w:p>
            <w:pPr>
              <w:ind w:left="60"/>
              <w:spacing w:after="0"/>
              <w:rPr>
                <w:sz w:val="20"/>
                <w:szCs w:val="20"/>
                <w:color w:val="auto"/>
              </w:rPr>
            </w:pPr>
            <w:r>
              <w:rPr>
                <w:rFonts w:ascii="Times New Roman" w:cs="Times New Roman" w:eastAsia="Times New Roman" w:hAnsi="Times New Roman"/>
                <w:sz w:val="20"/>
                <w:szCs w:val="20"/>
                <w:color w:val="313131"/>
              </w:rPr>
              <w:t>Properties</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313131"/>
                <w:w w:val="99"/>
              </w:rPr>
              <w:t>53</w:t>
            </w:r>
          </w:p>
        </w:tc>
      </w:tr>
      <w:tr>
        <w:trPr>
          <w:trHeight w:val="255"/>
        </w:trPr>
        <w:tc>
          <w:tcPr>
            <w:tcW w:w="90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313131"/>
              </w:rPr>
              <w:t>Item 3.</w:t>
            </w:r>
          </w:p>
        </w:tc>
        <w:tc>
          <w:tcPr>
            <w:tcW w:w="814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313131"/>
              </w:rPr>
              <w:t>Legal Proceedings</w:t>
            </w:r>
          </w:p>
        </w:tc>
        <w:tc>
          <w:tcPr>
            <w:tcW w:w="1100" w:type="dxa"/>
            <w:vAlign w:val="bottom"/>
            <w:gridSpan w:val="2"/>
            <w:shd w:val="clear" w:color="auto" w:fill="E9E9E9"/>
          </w:tcPr>
          <w:p>
            <w:pPr>
              <w:jc w:val="center"/>
              <w:spacing w:after="0"/>
              <w:rPr>
                <w:sz w:val="20"/>
                <w:szCs w:val="20"/>
                <w:color w:val="auto"/>
              </w:rPr>
            </w:pPr>
            <w:r>
              <w:rPr>
                <w:rFonts w:ascii="Times New Roman" w:cs="Times New Roman" w:eastAsia="Times New Roman" w:hAnsi="Times New Roman"/>
                <w:sz w:val="20"/>
                <w:szCs w:val="20"/>
                <w:color w:val="313131"/>
                <w:w w:val="99"/>
              </w:rPr>
              <w:t>53</w:t>
            </w:r>
          </w:p>
        </w:tc>
      </w:tr>
      <w:tr>
        <w:trPr>
          <w:trHeight w:val="255"/>
        </w:trPr>
        <w:tc>
          <w:tcPr>
            <w:tcW w:w="900" w:type="dxa"/>
            <w:vAlign w:val="bottom"/>
          </w:tcPr>
          <w:p>
            <w:pPr>
              <w:ind w:left="40"/>
              <w:spacing w:after="0"/>
              <w:rPr>
                <w:sz w:val="20"/>
                <w:szCs w:val="20"/>
                <w:color w:val="auto"/>
              </w:rPr>
            </w:pPr>
            <w:r>
              <w:rPr>
                <w:rFonts w:ascii="Times New Roman" w:cs="Times New Roman" w:eastAsia="Times New Roman" w:hAnsi="Times New Roman"/>
                <w:sz w:val="20"/>
                <w:szCs w:val="20"/>
                <w:color w:val="313131"/>
              </w:rPr>
              <w:t>Item 4.</w:t>
            </w:r>
          </w:p>
        </w:tc>
        <w:tc>
          <w:tcPr>
            <w:tcW w:w="8140" w:type="dxa"/>
            <w:vAlign w:val="bottom"/>
          </w:tcPr>
          <w:p>
            <w:pPr>
              <w:ind w:left="60"/>
              <w:spacing w:after="0"/>
              <w:rPr>
                <w:sz w:val="20"/>
                <w:szCs w:val="20"/>
                <w:color w:val="auto"/>
              </w:rPr>
            </w:pPr>
            <w:r>
              <w:rPr>
                <w:rFonts w:ascii="Times New Roman" w:cs="Times New Roman" w:eastAsia="Times New Roman" w:hAnsi="Times New Roman"/>
                <w:sz w:val="20"/>
                <w:szCs w:val="20"/>
                <w:color w:val="313131"/>
              </w:rPr>
              <w:t>Mine Safety Disclosures</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313131"/>
                <w:w w:val="99"/>
              </w:rPr>
              <w:t>54</w:t>
            </w:r>
          </w:p>
        </w:tc>
      </w:tr>
      <w:tr>
        <w:trPr>
          <w:trHeight w:val="255"/>
        </w:trPr>
        <w:tc>
          <w:tcPr>
            <w:tcW w:w="90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b w:val="1"/>
                <w:bCs w:val="1"/>
                <w:color w:val="313131"/>
              </w:rPr>
              <w:t>PART II</w:t>
            </w:r>
          </w:p>
        </w:tc>
        <w:tc>
          <w:tcPr>
            <w:tcW w:w="8140" w:type="dxa"/>
            <w:vAlign w:val="bottom"/>
            <w:shd w:val="clear" w:color="auto" w:fill="E9E9E9"/>
          </w:tcPr>
          <w:p>
            <w:pPr>
              <w:spacing w:after="0"/>
              <w:rPr>
                <w:sz w:val="22"/>
                <w:szCs w:val="22"/>
                <w:color w:val="auto"/>
              </w:rPr>
            </w:pPr>
          </w:p>
        </w:tc>
        <w:tc>
          <w:tcPr>
            <w:tcW w:w="20" w:type="dxa"/>
            <w:vAlign w:val="bottom"/>
            <w:shd w:val="clear" w:color="auto" w:fill="E9E9E9"/>
          </w:tcPr>
          <w:p>
            <w:pPr>
              <w:spacing w:after="0"/>
              <w:rPr>
                <w:sz w:val="22"/>
                <w:szCs w:val="22"/>
                <w:color w:val="auto"/>
              </w:rPr>
            </w:pPr>
          </w:p>
        </w:tc>
        <w:tc>
          <w:tcPr>
            <w:tcW w:w="1080" w:type="dxa"/>
            <w:vAlign w:val="bottom"/>
            <w:shd w:val="clear" w:color="auto" w:fill="E9E9E9"/>
          </w:tcPr>
          <w:p>
            <w:pPr>
              <w:spacing w:after="0"/>
              <w:rPr>
                <w:sz w:val="22"/>
                <w:szCs w:val="22"/>
                <w:color w:val="auto"/>
              </w:rPr>
            </w:pPr>
          </w:p>
        </w:tc>
      </w:tr>
      <w:tr>
        <w:trPr>
          <w:trHeight w:val="214"/>
        </w:trPr>
        <w:tc>
          <w:tcPr>
            <w:tcW w:w="90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313131"/>
              </w:rPr>
              <w:t>Item 5.</w:t>
            </w:r>
          </w:p>
        </w:tc>
        <w:tc>
          <w:tcPr>
            <w:tcW w:w="8140" w:type="dxa"/>
            <w:vAlign w:val="bottom"/>
          </w:tcPr>
          <w:p>
            <w:pPr>
              <w:ind w:left="60"/>
              <w:spacing w:after="0" w:line="213" w:lineRule="exact"/>
              <w:rPr>
                <w:sz w:val="20"/>
                <w:szCs w:val="20"/>
                <w:color w:val="auto"/>
              </w:rPr>
            </w:pPr>
            <w:r>
              <w:rPr>
                <w:rFonts w:ascii="Times New Roman" w:cs="Times New Roman" w:eastAsia="Times New Roman" w:hAnsi="Times New Roman"/>
                <w:sz w:val="20"/>
                <w:szCs w:val="20"/>
                <w:color w:val="313131"/>
              </w:rPr>
              <w:t>Market for Registrant’s Common Equity, Related Stockholder Matters and Issuer Purchases of</w:t>
            </w:r>
          </w:p>
        </w:tc>
        <w:tc>
          <w:tcPr>
            <w:tcW w:w="1100" w:type="dxa"/>
            <w:vAlign w:val="bottom"/>
            <w:gridSpan w:val="2"/>
          </w:tcPr>
          <w:p>
            <w:pPr>
              <w:jc w:val="center"/>
              <w:spacing w:after="0" w:line="213" w:lineRule="exact"/>
              <w:rPr>
                <w:sz w:val="20"/>
                <w:szCs w:val="20"/>
                <w:color w:val="auto"/>
              </w:rPr>
            </w:pPr>
            <w:r>
              <w:rPr>
                <w:rFonts w:ascii="Times New Roman" w:cs="Times New Roman" w:eastAsia="Times New Roman" w:hAnsi="Times New Roman"/>
                <w:sz w:val="20"/>
                <w:szCs w:val="20"/>
                <w:color w:val="313131"/>
                <w:w w:val="99"/>
              </w:rPr>
              <w:t>55</w:t>
            </w:r>
          </w:p>
        </w:tc>
      </w:tr>
      <w:tr>
        <w:trPr>
          <w:trHeight w:val="261"/>
        </w:trPr>
        <w:tc>
          <w:tcPr>
            <w:tcW w:w="900" w:type="dxa"/>
            <w:vAlign w:val="bottom"/>
          </w:tcPr>
          <w:p>
            <w:pPr>
              <w:spacing w:after="0"/>
              <w:rPr>
                <w:sz w:val="22"/>
                <w:szCs w:val="22"/>
                <w:color w:val="auto"/>
              </w:rPr>
            </w:pPr>
          </w:p>
        </w:tc>
        <w:tc>
          <w:tcPr>
            <w:tcW w:w="8140" w:type="dxa"/>
            <w:vAlign w:val="bottom"/>
          </w:tcPr>
          <w:p>
            <w:pPr>
              <w:ind w:left="60"/>
              <w:spacing w:after="0"/>
              <w:rPr>
                <w:sz w:val="20"/>
                <w:szCs w:val="20"/>
                <w:color w:val="auto"/>
              </w:rPr>
            </w:pPr>
            <w:r>
              <w:rPr>
                <w:rFonts w:ascii="Times New Roman" w:cs="Times New Roman" w:eastAsia="Times New Roman" w:hAnsi="Times New Roman"/>
                <w:sz w:val="20"/>
                <w:szCs w:val="20"/>
                <w:color w:val="313131"/>
              </w:rPr>
              <w:t>Equity Securities</w:t>
            </w:r>
          </w:p>
        </w:tc>
        <w:tc>
          <w:tcPr>
            <w:tcW w:w="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0"/>
        </w:trPr>
        <w:tc>
          <w:tcPr>
            <w:tcW w:w="90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5"/>
        </w:trPr>
        <w:tc>
          <w:tcPr>
            <w:tcW w:w="90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313131"/>
              </w:rPr>
              <w:t>Item 6.</w:t>
            </w:r>
          </w:p>
        </w:tc>
        <w:tc>
          <w:tcPr>
            <w:tcW w:w="814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313131"/>
              </w:rPr>
              <w:t>[Reserved]</w:t>
            </w:r>
          </w:p>
        </w:tc>
        <w:tc>
          <w:tcPr>
            <w:tcW w:w="1100" w:type="dxa"/>
            <w:vAlign w:val="bottom"/>
            <w:gridSpan w:val="2"/>
            <w:shd w:val="clear" w:color="auto" w:fill="E9E9E9"/>
          </w:tcPr>
          <w:p>
            <w:pPr>
              <w:jc w:val="center"/>
              <w:spacing w:after="0"/>
              <w:rPr>
                <w:sz w:val="20"/>
                <w:szCs w:val="20"/>
                <w:color w:val="auto"/>
              </w:rPr>
            </w:pPr>
            <w:r>
              <w:rPr>
                <w:rFonts w:ascii="Times New Roman" w:cs="Times New Roman" w:eastAsia="Times New Roman" w:hAnsi="Times New Roman"/>
                <w:sz w:val="20"/>
                <w:szCs w:val="20"/>
                <w:color w:val="313131"/>
                <w:w w:val="99"/>
              </w:rPr>
              <w:t>58</w:t>
            </w:r>
          </w:p>
        </w:tc>
      </w:tr>
      <w:tr>
        <w:trPr>
          <w:trHeight w:val="255"/>
        </w:trPr>
        <w:tc>
          <w:tcPr>
            <w:tcW w:w="900" w:type="dxa"/>
            <w:vAlign w:val="bottom"/>
          </w:tcPr>
          <w:p>
            <w:pPr>
              <w:ind w:left="40"/>
              <w:spacing w:after="0"/>
              <w:rPr>
                <w:sz w:val="20"/>
                <w:szCs w:val="20"/>
                <w:color w:val="auto"/>
              </w:rPr>
            </w:pPr>
            <w:r>
              <w:rPr>
                <w:rFonts w:ascii="Times New Roman" w:cs="Times New Roman" w:eastAsia="Times New Roman" w:hAnsi="Times New Roman"/>
                <w:sz w:val="20"/>
                <w:szCs w:val="20"/>
                <w:color w:val="313131"/>
              </w:rPr>
              <w:t>Item 7.</w:t>
            </w:r>
          </w:p>
        </w:tc>
        <w:tc>
          <w:tcPr>
            <w:tcW w:w="8140" w:type="dxa"/>
            <w:vAlign w:val="bottom"/>
          </w:tcPr>
          <w:p>
            <w:pPr>
              <w:ind w:left="60"/>
              <w:spacing w:after="0"/>
              <w:rPr>
                <w:sz w:val="20"/>
                <w:szCs w:val="20"/>
                <w:color w:val="auto"/>
              </w:rPr>
            </w:pPr>
            <w:r>
              <w:rPr>
                <w:rFonts w:ascii="Times New Roman" w:cs="Times New Roman" w:eastAsia="Times New Roman" w:hAnsi="Times New Roman"/>
                <w:sz w:val="20"/>
                <w:szCs w:val="20"/>
                <w:color w:val="313131"/>
              </w:rPr>
              <w:t>Management’s Discussion and Analysis of Financial Condition and Results of Operations</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313131"/>
                <w:w w:val="99"/>
              </w:rPr>
              <w:t>59</w:t>
            </w:r>
          </w:p>
        </w:tc>
      </w:tr>
      <w:tr>
        <w:trPr>
          <w:trHeight w:val="255"/>
        </w:trPr>
        <w:tc>
          <w:tcPr>
            <w:tcW w:w="90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313131"/>
              </w:rPr>
              <w:t>Item 7A.</w:t>
            </w:r>
          </w:p>
        </w:tc>
        <w:tc>
          <w:tcPr>
            <w:tcW w:w="814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313131"/>
              </w:rPr>
              <w:t>Quantitative and Qualitative Disclosures About Market Risk</w:t>
            </w:r>
          </w:p>
        </w:tc>
        <w:tc>
          <w:tcPr>
            <w:tcW w:w="1100" w:type="dxa"/>
            <w:vAlign w:val="bottom"/>
            <w:gridSpan w:val="2"/>
            <w:shd w:val="clear" w:color="auto" w:fill="E9E9E9"/>
          </w:tcPr>
          <w:p>
            <w:pPr>
              <w:jc w:val="center"/>
              <w:spacing w:after="0"/>
              <w:rPr>
                <w:sz w:val="20"/>
                <w:szCs w:val="20"/>
                <w:color w:val="auto"/>
              </w:rPr>
            </w:pPr>
            <w:r>
              <w:rPr>
                <w:rFonts w:ascii="Times New Roman" w:cs="Times New Roman" w:eastAsia="Times New Roman" w:hAnsi="Times New Roman"/>
                <w:sz w:val="20"/>
                <w:szCs w:val="20"/>
                <w:color w:val="313131"/>
                <w:w w:val="99"/>
              </w:rPr>
              <w:t>75</w:t>
            </w:r>
          </w:p>
        </w:tc>
      </w:tr>
      <w:tr>
        <w:trPr>
          <w:trHeight w:val="255"/>
        </w:trPr>
        <w:tc>
          <w:tcPr>
            <w:tcW w:w="900" w:type="dxa"/>
            <w:vAlign w:val="bottom"/>
          </w:tcPr>
          <w:p>
            <w:pPr>
              <w:ind w:left="40"/>
              <w:spacing w:after="0"/>
              <w:rPr>
                <w:sz w:val="20"/>
                <w:szCs w:val="20"/>
                <w:color w:val="auto"/>
              </w:rPr>
            </w:pPr>
            <w:r>
              <w:rPr>
                <w:rFonts w:ascii="Times New Roman" w:cs="Times New Roman" w:eastAsia="Times New Roman" w:hAnsi="Times New Roman"/>
                <w:sz w:val="20"/>
                <w:szCs w:val="20"/>
                <w:color w:val="313131"/>
              </w:rPr>
              <w:t>Item 8.</w:t>
            </w:r>
          </w:p>
        </w:tc>
        <w:tc>
          <w:tcPr>
            <w:tcW w:w="8140" w:type="dxa"/>
            <w:vAlign w:val="bottom"/>
          </w:tcPr>
          <w:p>
            <w:pPr>
              <w:ind w:left="60"/>
              <w:spacing w:after="0"/>
              <w:rPr>
                <w:sz w:val="20"/>
                <w:szCs w:val="20"/>
                <w:color w:val="auto"/>
              </w:rPr>
            </w:pPr>
            <w:r>
              <w:rPr>
                <w:rFonts w:ascii="Times New Roman" w:cs="Times New Roman" w:eastAsia="Times New Roman" w:hAnsi="Times New Roman"/>
                <w:sz w:val="20"/>
                <w:szCs w:val="20"/>
                <w:color w:val="313131"/>
              </w:rPr>
              <w:t>Financial Statements and Supplementary Data</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313131"/>
                <w:w w:val="99"/>
              </w:rPr>
              <w:t>77</w:t>
            </w:r>
          </w:p>
        </w:tc>
      </w:tr>
      <w:tr>
        <w:trPr>
          <w:trHeight w:val="255"/>
        </w:trPr>
        <w:tc>
          <w:tcPr>
            <w:tcW w:w="90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313131"/>
              </w:rPr>
              <w:t>Item 9.</w:t>
            </w:r>
          </w:p>
        </w:tc>
        <w:tc>
          <w:tcPr>
            <w:tcW w:w="814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313131"/>
              </w:rPr>
              <w:t>Changes in and Disagreements with Accountants on Accounting and Financial Disclosure</w:t>
            </w:r>
          </w:p>
        </w:tc>
        <w:tc>
          <w:tcPr>
            <w:tcW w:w="1100" w:type="dxa"/>
            <w:vAlign w:val="bottom"/>
            <w:gridSpan w:val="2"/>
            <w:shd w:val="clear" w:color="auto" w:fill="E9E9E9"/>
          </w:tcPr>
          <w:p>
            <w:pPr>
              <w:jc w:val="center"/>
              <w:spacing w:after="0"/>
              <w:rPr>
                <w:sz w:val="20"/>
                <w:szCs w:val="20"/>
                <w:color w:val="auto"/>
              </w:rPr>
            </w:pPr>
            <w:r>
              <w:rPr>
                <w:rFonts w:ascii="Times New Roman" w:cs="Times New Roman" w:eastAsia="Times New Roman" w:hAnsi="Times New Roman"/>
                <w:sz w:val="20"/>
                <w:szCs w:val="20"/>
                <w:color w:val="313131"/>
                <w:w w:val="99"/>
              </w:rPr>
              <w:t>121</w:t>
            </w:r>
          </w:p>
        </w:tc>
      </w:tr>
      <w:tr>
        <w:trPr>
          <w:trHeight w:val="255"/>
        </w:trPr>
        <w:tc>
          <w:tcPr>
            <w:tcW w:w="900" w:type="dxa"/>
            <w:vAlign w:val="bottom"/>
          </w:tcPr>
          <w:p>
            <w:pPr>
              <w:ind w:left="40"/>
              <w:spacing w:after="0"/>
              <w:rPr>
                <w:sz w:val="20"/>
                <w:szCs w:val="20"/>
                <w:color w:val="auto"/>
              </w:rPr>
            </w:pPr>
            <w:r>
              <w:rPr>
                <w:rFonts w:ascii="Times New Roman" w:cs="Times New Roman" w:eastAsia="Times New Roman" w:hAnsi="Times New Roman"/>
                <w:sz w:val="20"/>
                <w:szCs w:val="20"/>
                <w:color w:val="313131"/>
              </w:rPr>
              <w:t>Item 9A.</w:t>
            </w:r>
          </w:p>
        </w:tc>
        <w:tc>
          <w:tcPr>
            <w:tcW w:w="8140" w:type="dxa"/>
            <w:vAlign w:val="bottom"/>
          </w:tcPr>
          <w:p>
            <w:pPr>
              <w:ind w:left="60"/>
              <w:spacing w:after="0"/>
              <w:rPr>
                <w:sz w:val="20"/>
                <w:szCs w:val="20"/>
                <w:color w:val="auto"/>
              </w:rPr>
            </w:pPr>
            <w:r>
              <w:rPr>
                <w:rFonts w:ascii="Times New Roman" w:cs="Times New Roman" w:eastAsia="Times New Roman" w:hAnsi="Times New Roman"/>
                <w:sz w:val="20"/>
                <w:szCs w:val="20"/>
                <w:color w:val="313131"/>
              </w:rPr>
              <w:t>Controls and Procedures</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313131"/>
                <w:w w:val="99"/>
              </w:rPr>
              <w:t>121</w:t>
            </w:r>
          </w:p>
        </w:tc>
      </w:tr>
      <w:tr>
        <w:trPr>
          <w:trHeight w:val="255"/>
        </w:trPr>
        <w:tc>
          <w:tcPr>
            <w:tcW w:w="90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313131"/>
              </w:rPr>
              <w:t>Item 9B.</w:t>
            </w:r>
          </w:p>
        </w:tc>
        <w:tc>
          <w:tcPr>
            <w:tcW w:w="814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313131"/>
              </w:rPr>
              <w:t>Other Information</w:t>
            </w:r>
          </w:p>
        </w:tc>
        <w:tc>
          <w:tcPr>
            <w:tcW w:w="1100" w:type="dxa"/>
            <w:vAlign w:val="bottom"/>
            <w:gridSpan w:val="2"/>
            <w:shd w:val="clear" w:color="auto" w:fill="E9E9E9"/>
          </w:tcPr>
          <w:p>
            <w:pPr>
              <w:jc w:val="center"/>
              <w:spacing w:after="0"/>
              <w:rPr>
                <w:sz w:val="20"/>
                <w:szCs w:val="20"/>
                <w:color w:val="auto"/>
              </w:rPr>
            </w:pPr>
            <w:r>
              <w:rPr>
                <w:rFonts w:ascii="Times New Roman" w:cs="Times New Roman" w:eastAsia="Times New Roman" w:hAnsi="Times New Roman"/>
                <w:sz w:val="20"/>
                <w:szCs w:val="20"/>
                <w:color w:val="313131"/>
                <w:w w:val="99"/>
              </w:rPr>
              <w:t>122</w:t>
            </w:r>
          </w:p>
        </w:tc>
      </w:tr>
      <w:tr>
        <w:trPr>
          <w:trHeight w:val="260"/>
        </w:trPr>
        <w:tc>
          <w:tcPr>
            <w:tcW w:w="900" w:type="dxa"/>
            <w:vAlign w:val="bottom"/>
          </w:tcPr>
          <w:p>
            <w:pPr>
              <w:ind w:left="40"/>
              <w:spacing w:after="0"/>
              <w:rPr>
                <w:sz w:val="20"/>
                <w:szCs w:val="20"/>
                <w:color w:val="auto"/>
              </w:rPr>
            </w:pPr>
            <w:r>
              <w:rPr>
                <w:rFonts w:ascii="Times New Roman" w:cs="Times New Roman" w:eastAsia="Times New Roman" w:hAnsi="Times New Roman"/>
                <w:sz w:val="20"/>
                <w:szCs w:val="20"/>
                <w:color w:val="313131"/>
              </w:rPr>
              <w:t>Item 9C.</w:t>
            </w:r>
          </w:p>
        </w:tc>
        <w:tc>
          <w:tcPr>
            <w:tcW w:w="8140" w:type="dxa"/>
            <w:vAlign w:val="bottom"/>
          </w:tcPr>
          <w:p>
            <w:pPr>
              <w:ind w:left="60"/>
              <w:spacing w:after="0"/>
              <w:rPr>
                <w:sz w:val="20"/>
                <w:szCs w:val="20"/>
                <w:color w:val="auto"/>
              </w:rPr>
            </w:pPr>
            <w:r>
              <w:rPr>
                <w:rFonts w:ascii="Times New Roman" w:cs="Times New Roman" w:eastAsia="Times New Roman" w:hAnsi="Times New Roman"/>
                <w:sz w:val="20"/>
                <w:szCs w:val="20"/>
                <w:color w:val="313131"/>
              </w:rPr>
              <w:t>Disclosure Regarding Foreign Jurisdictions that Prevent Inspections</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313131"/>
                <w:w w:val="99"/>
              </w:rPr>
              <w:t>122</w:t>
            </w:r>
          </w:p>
        </w:tc>
      </w:tr>
      <w:tr>
        <w:trPr>
          <w:trHeight w:val="250"/>
        </w:trPr>
        <w:tc>
          <w:tcPr>
            <w:tcW w:w="9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313131"/>
              </w:rPr>
              <w:t>PART III</w:t>
            </w:r>
          </w:p>
        </w:tc>
        <w:tc>
          <w:tcPr>
            <w:tcW w:w="8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5"/>
        </w:trPr>
        <w:tc>
          <w:tcPr>
            <w:tcW w:w="90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313131"/>
              </w:rPr>
              <w:t>Item 10.</w:t>
            </w:r>
          </w:p>
        </w:tc>
        <w:tc>
          <w:tcPr>
            <w:tcW w:w="814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313131"/>
              </w:rPr>
              <w:t>Directors, Executive Officers and Corporate Governance</w:t>
            </w:r>
          </w:p>
        </w:tc>
        <w:tc>
          <w:tcPr>
            <w:tcW w:w="20" w:type="dxa"/>
            <w:vAlign w:val="bottom"/>
            <w:shd w:val="clear" w:color="auto" w:fill="E9E9E9"/>
          </w:tcPr>
          <w:p>
            <w:pPr>
              <w:spacing w:after="0"/>
              <w:rPr>
                <w:sz w:val="22"/>
                <w:szCs w:val="22"/>
                <w:color w:val="auto"/>
              </w:rPr>
            </w:pPr>
          </w:p>
        </w:tc>
        <w:tc>
          <w:tcPr>
            <w:tcW w:w="108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20"/>
                <w:szCs w:val="20"/>
                <w:color w:val="313131"/>
                <w:w w:val="99"/>
              </w:rPr>
              <w:t>123</w:t>
            </w:r>
          </w:p>
        </w:tc>
      </w:tr>
      <w:tr>
        <w:trPr>
          <w:trHeight w:val="255"/>
        </w:trPr>
        <w:tc>
          <w:tcPr>
            <w:tcW w:w="900" w:type="dxa"/>
            <w:vAlign w:val="bottom"/>
          </w:tcPr>
          <w:p>
            <w:pPr>
              <w:ind w:left="40"/>
              <w:spacing w:after="0"/>
              <w:rPr>
                <w:sz w:val="20"/>
                <w:szCs w:val="20"/>
                <w:color w:val="auto"/>
              </w:rPr>
            </w:pPr>
            <w:r>
              <w:rPr>
                <w:rFonts w:ascii="Times New Roman" w:cs="Times New Roman" w:eastAsia="Times New Roman" w:hAnsi="Times New Roman"/>
                <w:sz w:val="20"/>
                <w:szCs w:val="20"/>
                <w:color w:val="313131"/>
              </w:rPr>
              <w:t>Item 11.</w:t>
            </w:r>
          </w:p>
        </w:tc>
        <w:tc>
          <w:tcPr>
            <w:tcW w:w="8140" w:type="dxa"/>
            <w:vAlign w:val="bottom"/>
          </w:tcPr>
          <w:p>
            <w:pPr>
              <w:ind w:left="60"/>
              <w:spacing w:after="0"/>
              <w:rPr>
                <w:sz w:val="20"/>
                <w:szCs w:val="20"/>
                <w:color w:val="auto"/>
              </w:rPr>
            </w:pPr>
            <w:r>
              <w:rPr>
                <w:rFonts w:ascii="Times New Roman" w:cs="Times New Roman" w:eastAsia="Times New Roman" w:hAnsi="Times New Roman"/>
                <w:sz w:val="20"/>
                <w:szCs w:val="20"/>
                <w:color w:val="313131"/>
              </w:rPr>
              <w:t>Executive Compensation</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313131"/>
                <w:w w:val="99"/>
              </w:rPr>
              <w:t>123</w:t>
            </w:r>
          </w:p>
        </w:tc>
      </w:tr>
      <w:tr>
        <w:trPr>
          <w:trHeight w:val="214"/>
        </w:trPr>
        <w:tc>
          <w:tcPr>
            <w:tcW w:w="900" w:type="dxa"/>
            <w:vAlign w:val="bottom"/>
            <w:shd w:val="clear" w:color="auto" w:fill="E9E9E9"/>
          </w:tcPr>
          <w:p>
            <w:pPr>
              <w:ind w:left="40"/>
              <w:spacing w:after="0" w:line="213" w:lineRule="exact"/>
              <w:rPr>
                <w:sz w:val="20"/>
                <w:szCs w:val="20"/>
                <w:color w:val="auto"/>
              </w:rPr>
            </w:pPr>
            <w:r>
              <w:rPr>
                <w:rFonts w:ascii="Times New Roman" w:cs="Times New Roman" w:eastAsia="Times New Roman" w:hAnsi="Times New Roman"/>
                <w:sz w:val="20"/>
                <w:szCs w:val="20"/>
                <w:color w:val="313131"/>
              </w:rPr>
              <w:t>Item 12.</w:t>
            </w:r>
          </w:p>
        </w:tc>
        <w:tc>
          <w:tcPr>
            <w:tcW w:w="8140" w:type="dxa"/>
            <w:vAlign w:val="bottom"/>
            <w:shd w:val="clear" w:color="auto" w:fill="E9E9E9"/>
          </w:tcPr>
          <w:p>
            <w:pPr>
              <w:ind w:left="60"/>
              <w:spacing w:after="0" w:line="213" w:lineRule="exact"/>
              <w:rPr>
                <w:sz w:val="20"/>
                <w:szCs w:val="20"/>
                <w:color w:val="auto"/>
              </w:rPr>
            </w:pPr>
            <w:r>
              <w:rPr>
                <w:rFonts w:ascii="Times New Roman" w:cs="Times New Roman" w:eastAsia="Times New Roman" w:hAnsi="Times New Roman"/>
                <w:sz w:val="20"/>
                <w:szCs w:val="20"/>
                <w:color w:val="313131"/>
              </w:rPr>
              <w:t>Security Ownership of Certain Beneficial Owners and Management and Related Stockholder</w:t>
            </w:r>
          </w:p>
        </w:tc>
        <w:tc>
          <w:tcPr>
            <w:tcW w:w="20" w:type="dxa"/>
            <w:vAlign w:val="bottom"/>
            <w:shd w:val="clear" w:color="auto" w:fill="E9E9E9"/>
          </w:tcPr>
          <w:p>
            <w:pPr>
              <w:spacing w:after="0"/>
              <w:rPr>
                <w:sz w:val="18"/>
                <w:szCs w:val="18"/>
                <w:color w:val="auto"/>
              </w:rPr>
            </w:pPr>
          </w:p>
        </w:tc>
        <w:tc>
          <w:tcPr>
            <w:tcW w:w="1080" w:type="dxa"/>
            <w:vAlign w:val="bottom"/>
            <w:shd w:val="clear" w:color="auto" w:fill="E9E9E9"/>
          </w:tcPr>
          <w:p>
            <w:pPr>
              <w:jc w:val="center"/>
              <w:spacing w:after="0" w:line="213" w:lineRule="exact"/>
              <w:rPr>
                <w:sz w:val="20"/>
                <w:szCs w:val="20"/>
                <w:color w:val="auto"/>
              </w:rPr>
            </w:pPr>
            <w:r>
              <w:rPr>
                <w:rFonts w:ascii="Times New Roman" w:cs="Times New Roman" w:eastAsia="Times New Roman" w:hAnsi="Times New Roman"/>
                <w:sz w:val="20"/>
                <w:szCs w:val="20"/>
                <w:color w:val="313131"/>
                <w:w w:val="99"/>
              </w:rPr>
              <w:t>123</w:t>
            </w:r>
          </w:p>
        </w:tc>
      </w:tr>
      <w:tr>
        <w:trPr>
          <w:trHeight w:val="251"/>
        </w:trPr>
        <w:tc>
          <w:tcPr>
            <w:tcW w:w="900" w:type="dxa"/>
            <w:vAlign w:val="bottom"/>
            <w:shd w:val="clear" w:color="auto" w:fill="E9E9E9"/>
          </w:tcPr>
          <w:p>
            <w:pPr>
              <w:spacing w:after="0"/>
              <w:rPr>
                <w:sz w:val="21"/>
                <w:szCs w:val="21"/>
                <w:color w:val="auto"/>
              </w:rPr>
            </w:pPr>
          </w:p>
        </w:tc>
        <w:tc>
          <w:tcPr>
            <w:tcW w:w="814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313131"/>
              </w:rPr>
              <w:t>Matters</w:t>
            </w:r>
          </w:p>
        </w:tc>
        <w:tc>
          <w:tcPr>
            <w:tcW w:w="20" w:type="dxa"/>
            <w:vAlign w:val="bottom"/>
            <w:shd w:val="clear" w:color="auto" w:fill="E9E9E9"/>
          </w:tcPr>
          <w:p>
            <w:pPr>
              <w:spacing w:after="0"/>
              <w:rPr>
                <w:sz w:val="21"/>
                <w:szCs w:val="21"/>
                <w:color w:val="auto"/>
              </w:rPr>
            </w:pPr>
          </w:p>
        </w:tc>
        <w:tc>
          <w:tcPr>
            <w:tcW w:w="1080" w:type="dxa"/>
            <w:vAlign w:val="bottom"/>
            <w:shd w:val="clear" w:color="auto" w:fill="E9E9E9"/>
          </w:tcPr>
          <w:p>
            <w:pPr>
              <w:spacing w:after="0"/>
              <w:rPr>
                <w:sz w:val="21"/>
                <w:szCs w:val="21"/>
                <w:color w:val="auto"/>
              </w:rPr>
            </w:pPr>
          </w:p>
        </w:tc>
      </w:tr>
      <w:tr>
        <w:trPr>
          <w:trHeight w:val="255"/>
        </w:trPr>
        <w:tc>
          <w:tcPr>
            <w:tcW w:w="900" w:type="dxa"/>
            <w:vAlign w:val="bottom"/>
          </w:tcPr>
          <w:p>
            <w:pPr>
              <w:ind w:left="40"/>
              <w:spacing w:after="0"/>
              <w:rPr>
                <w:sz w:val="20"/>
                <w:szCs w:val="20"/>
                <w:color w:val="auto"/>
              </w:rPr>
            </w:pPr>
            <w:r>
              <w:rPr>
                <w:rFonts w:ascii="Times New Roman" w:cs="Times New Roman" w:eastAsia="Times New Roman" w:hAnsi="Times New Roman"/>
                <w:sz w:val="20"/>
                <w:szCs w:val="20"/>
                <w:color w:val="313131"/>
              </w:rPr>
              <w:t>Item 13.</w:t>
            </w:r>
          </w:p>
        </w:tc>
        <w:tc>
          <w:tcPr>
            <w:tcW w:w="8140" w:type="dxa"/>
            <w:vAlign w:val="bottom"/>
          </w:tcPr>
          <w:p>
            <w:pPr>
              <w:ind w:left="60"/>
              <w:spacing w:after="0"/>
              <w:rPr>
                <w:sz w:val="20"/>
                <w:szCs w:val="20"/>
                <w:color w:val="auto"/>
              </w:rPr>
            </w:pPr>
            <w:r>
              <w:rPr>
                <w:rFonts w:ascii="Times New Roman" w:cs="Times New Roman" w:eastAsia="Times New Roman" w:hAnsi="Times New Roman"/>
                <w:sz w:val="20"/>
                <w:szCs w:val="20"/>
                <w:color w:val="313131"/>
              </w:rPr>
              <w:t>Certain Relationships and Related Transactions, and Director Independence</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313131"/>
                <w:w w:val="99"/>
              </w:rPr>
              <w:t>123</w:t>
            </w:r>
          </w:p>
        </w:tc>
      </w:tr>
      <w:tr>
        <w:trPr>
          <w:trHeight w:val="255"/>
        </w:trPr>
        <w:tc>
          <w:tcPr>
            <w:tcW w:w="90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313131"/>
              </w:rPr>
              <w:t>Item 14.</w:t>
            </w:r>
          </w:p>
        </w:tc>
        <w:tc>
          <w:tcPr>
            <w:tcW w:w="814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313131"/>
              </w:rPr>
              <w:t>Principal Accountant Fees and Services</w:t>
            </w:r>
          </w:p>
        </w:tc>
        <w:tc>
          <w:tcPr>
            <w:tcW w:w="20" w:type="dxa"/>
            <w:vAlign w:val="bottom"/>
            <w:shd w:val="clear" w:color="auto" w:fill="E9E9E9"/>
          </w:tcPr>
          <w:p>
            <w:pPr>
              <w:spacing w:after="0"/>
              <w:rPr>
                <w:sz w:val="22"/>
                <w:szCs w:val="22"/>
                <w:color w:val="auto"/>
              </w:rPr>
            </w:pPr>
          </w:p>
        </w:tc>
        <w:tc>
          <w:tcPr>
            <w:tcW w:w="108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20"/>
                <w:szCs w:val="20"/>
                <w:color w:val="313131"/>
                <w:w w:val="99"/>
              </w:rPr>
              <w:t>123</w:t>
            </w:r>
          </w:p>
        </w:tc>
      </w:tr>
      <w:tr>
        <w:trPr>
          <w:trHeight w:val="255"/>
        </w:trPr>
        <w:tc>
          <w:tcPr>
            <w:tcW w:w="9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313131"/>
              </w:rPr>
              <w:t>PART IV</w:t>
            </w:r>
          </w:p>
        </w:tc>
        <w:tc>
          <w:tcPr>
            <w:tcW w:w="8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5"/>
        </w:trPr>
        <w:tc>
          <w:tcPr>
            <w:tcW w:w="90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313131"/>
              </w:rPr>
              <w:t>Item 15.</w:t>
            </w:r>
          </w:p>
        </w:tc>
        <w:tc>
          <w:tcPr>
            <w:tcW w:w="814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313131"/>
              </w:rPr>
              <w:t>Exhibits and Financial Statement Schedules</w:t>
            </w:r>
          </w:p>
        </w:tc>
        <w:tc>
          <w:tcPr>
            <w:tcW w:w="20" w:type="dxa"/>
            <w:vAlign w:val="bottom"/>
            <w:shd w:val="clear" w:color="auto" w:fill="E9E9E9"/>
          </w:tcPr>
          <w:p>
            <w:pPr>
              <w:spacing w:after="0"/>
              <w:rPr>
                <w:sz w:val="22"/>
                <w:szCs w:val="22"/>
                <w:color w:val="auto"/>
              </w:rPr>
            </w:pPr>
          </w:p>
        </w:tc>
        <w:tc>
          <w:tcPr>
            <w:tcW w:w="108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20"/>
                <w:szCs w:val="20"/>
                <w:color w:val="313131"/>
                <w:w w:val="99"/>
              </w:rPr>
              <w:t>124</w:t>
            </w:r>
          </w:p>
        </w:tc>
      </w:tr>
      <w:tr>
        <w:trPr>
          <w:trHeight w:val="255"/>
        </w:trPr>
        <w:tc>
          <w:tcPr>
            <w:tcW w:w="900" w:type="dxa"/>
            <w:vAlign w:val="bottom"/>
          </w:tcPr>
          <w:p>
            <w:pPr>
              <w:ind w:left="40"/>
              <w:spacing w:after="0"/>
              <w:rPr>
                <w:sz w:val="20"/>
                <w:szCs w:val="20"/>
                <w:color w:val="auto"/>
              </w:rPr>
            </w:pPr>
            <w:r>
              <w:rPr>
                <w:rFonts w:ascii="Times New Roman" w:cs="Times New Roman" w:eastAsia="Times New Roman" w:hAnsi="Times New Roman"/>
                <w:sz w:val="20"/>
                <w:szCs w:val="20"/>
                <w:color w:val="313131"/>
              </w:rPr>
              <w:t>Item 16.</w:t>
            </w:r>
          </w:p>
        </w:tc>
        <w:tc>
          <w:tcPr>
            <w:tcW w:w="8140" w:type="dxa"/>
            <w:vAlign w:val="bottom"/>
          </w:tcPr>
          <w:p>
            <w:pPr>
              <w:ind w:left="60"/>
              <w:spacing w:after="0"/>
              <w:rPr>
                <w:sz w:val="20"/>
                <w:szCs w:val="20"/>
                <w:color w:val="auto"/>
              </w:rPr>
            </w:pPr>
            <w:r>
              <w:rPr>
                <w:rFonts w:ascii="Times New Roman" w:cs="Times New Roman" w:eastAsia="Times New Roman" w:hAnsi="Times New Roman"/>
                <w:sz w:val="20"/>
                <w:szCs w:val="20"/>
                <w:color w:val="313131"/>
              </w:rPr>
              <w:t>Form 10-K Summary</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313131"/>
                <w:w w:val="99"/>
              </w:rPr>
              <w:t>126</w:t>
            </w:r>
          </w:p>
        </w:tc>
      </w:tr>
      <w:tr>
        <w:trPr>
          <w:trHeight w:val="255"/>
        </w:trPr>
        <w:tc>
          <w:tcPr>
            <w:tcW w:w="9040" w:type="dxa"/>
            <w:vAlign w:val="bottom"/>
            <w:gridSpan w:val="2"/>
            <w:shd w:val="clear" w:color="auto" w:fill="E9E9E9"/>
          </w:tcPr>
          <w:p>
            <w:pPr>
              <w:ind w:left="40"/>
              <w:spacing w:after="0"/>
              <w:rPr>
                <w:sz w:val="20"/>
                <w:szCs w:val="20"/>
                <w:color w:val="auto"/>
              </w:rPr>
            </w:pPr>
            <w:r>
              <w:rPr>
                <w:rFonts w:ascii="Times New Roman" w:cs="Times New Roman" w:eastAsia="Times New Roman" w:hAnsi="Times New Roman"/>
                <w:sz w:val="20"/>
                <w:szCs w:val="20"/>
                <w:color w:val="313131"/>
              </w:rPr>
              <w:t>SIGNATURES</w:t>
            </w:r>
          </w:p>
        </w:tc>
        <w:tc>
          <w:tcPr>
            <w:tcW w:w="20" w:type="dxa"/>
            <w:vAlign w:val="bottom"/>
            <w:shd w:val="clear" w:color="auto" w:fill="E9E9E9"/>
          </w:tcPr>
          <w:p>
            <w:pPr>
              <w:spacing w:after="0"/>
              <w:rPr>
                <w:sz w:val="22"/>
                <w:szCs w:val="22"/>
                <w:color w:val="auto"/>
              </w:rPr>
            </w:pPr>
          </w:p>
        </w:tc>
        <w:tc>
          <w:tcPr>
            <w:tcW w:w="108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20"/>
                <w:szCs w:val="20"/>
                <w:color w:val="313131"/>
                <w:w w:val="99"/>
              </w:rPr>
              <w:t>127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-4831715</wp:posOffset>
            </wp:positionV>
            <wp:extent cx="25400" cy="1873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400" cy="187325"/>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-3536315</wp:posOffset>
            </wp:positionV>
            <wp:extent cx="25400" cy="1873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400" cy="18732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-4831715</wp:posOffset>
            </wp:positionV>
            <wp:extent cx="25400" cy="4845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400" cy="4845050"/>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-1764665</wp:posOffset>
            </wp:positionV>
            <wp:extent cx="25400" cy="17653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400" cy="176530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-1764665</wp:posOffset>
            </wp:positionV>
            <wp:extent cx="25400" cy="17780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400" cy="1778000"/>
                    </a:xfrm>
                    <a:prstGeom prst="rect">
                      <a:avLst/>
                    </a:prstGeom>
                    <a:noFill/>
                  </pic:spPr>
                </pic:pic>
              </a:graphicData>
            </a:graphic>
          </wp:anchor>
        </w:drawing>
      </w:r>
    </w:p>
    <w:p>
      <w:pPr>
        <w:sectPr>
          <w:pgSz w:w="12600" w:h="16200" w:orient="portrait"/>
          <w:cols w:equalWidth="0" w:num="1">
            <w:col w:w="10140"/>
          </w:cols>
          <w:pgMar w:left="1240" w:top="830" w:right="1220" w:bottom="1440" w:gutter="0" w:footer="0" w:header="0"/>
        </w:sectPr>
      </w:pPr>
    </w:p>
    <w:bookmarkStart w:id="5" w:name="page6"/>
    <w:bookmarkEnd w:id="5"/>
    <w:p>
      <w:pPr>
        <w:spacing w:after="0" w:line="20" w:lineRule="exact"/>
        <w:rPr>
          <w:sz w:val="20"/>
          <w:szCs w:val="20"/>
          <w:color w:val="auto"/>
        </w:rPr>
      </w:pPr>
    </w:p>
    <w:p>
      <w:pPr>
        <w:sectPr>
          <w:pgSz w:w="11880" w:h="15480" w:orient="portrait"/>
          <w:cols w:equalWidth="1" w:num="1" w:space="0"/>
          <w:pgMar w:left="1440" w:top="1440" w:right="1440" w:bottom="875"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47" w:lineRule="exact"/>
        <w:rPr>
          <w:sz w:val="20"/>
          <w:szCs w:val="20"/>
          <w:color w:val="auto"/>
        </w:rPr>
      </w:pPr>
    </w:p>
    <w:p>
      <w:pPr>
        <w:ind w:firstLine="441"/>
        <w:spacing w:after="0" w:line="248" w:lineRule="auto"/>
        <w:rPr>
          <w:sz w:val="20"/>
          <w:szCs w:val="20"/>
          <w:color w:val="auto"/>
        </w:rPr>
      </w:pPr>
      <w:r>
        <w:rPr>
          <w:rFonts w:ascii="Times New Roman" w:cs="Times New Roman" w:eastAsia="Times New Roman" w:hAnsi="Times New Roman"/>
          <w:sz w:val="20"/>
          <w:szCs w:val="20"/>
          <w:color w:val="auto"/>
        </w:rPr>
        <w:t>Some of the statements contained in this Annual Report on Form 10-K (“Form 10-K”) are forward-looking statements within the meaning of Section 27A of the Securities Act of 1933, as amended (the “Securities Act”), and Section 21E of the Securities Exchange Act of 1934, as amended (the “Exchange Act”). These forward-looking statements, including, in particular, statements about our plans, strategies, prospects and industry estimates, are subject to risks and uncertainties. These statements identify prospective information and can generally be identified by words such as “anticipates,” “believes,” “can,” “commitment,” “could,” “designed,” “estimates,” “expects,” “generate,” “impact,” “increasing,” “hopes,” “intends,” “launch,” “likely,” “long-term,” “maintain,” “may,” “pipeline,” “plans,” “potential,” “predict,” “remain,” “seek,” “should,” “sustain,” “target,” “will,” “would” and similar expressions, or by express or implied discussions regarding potential acquisitions, collaborations, development and commercialization plans described in this Form 10-K, or regarding potential future revenues and expenses related to such acquisitions, collaborations, development and commercialization plans. Examples of forward-looking statements include statements we make relating to our outlook and expectations including, without limitation, in connection with:</w:t>
      </w:r>
    </w:p>
    <w:p>
      <w:pPr>
        <w:spacing w:after="0" w:line="91" w:lineRule="exact"/>
        <w:rPr>
          <w:sz w:val="20"/>
          <w:szCs w:val="20"/>
          <w:color w:val="auto"/>
        </w:rPr>
      </w:pPr>
    </w:p>
    <w:p>
      <w:pPr>
        <w:jc w:val="both"/>
        <w:ind w:left="720" w:right="800" w:hanging="359"/>
        <w:spacing w:after="0" w:line="298" w:lineRule="auto"/>
        <w:tabs>
          <w:tab w:leader="none" w:pos="72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Continued market expansion and penetration for our established commercial products, particularly PYLARIFY and DEFINITY, in a competitive environment, and our ability to clinically and commercially differentiate our products;</w:t>
      </w:r>
    </w:p>
    <w:p>
      <w:pPr>
        <w:spacing w:after="0" w:line="45" w:lineRule="exact"/>
        <w:rPr>
          <w:rFonts w:ascii="Times New Roman" w:cs="Times New Roman" w:eastAsia="Times New Roman" w:hAnsi="Times New Roman"/>
          <w:sz w:val="19"/>
          <w:szCs w:val="19"/>
          <w:color w:val="auto"/>
        </w:rPr>
      </w:pPr>
    </w:p>
    <w:p>
      <w:pPr>
        <w:ind w:left="720" w:right="740" w:hanging="359"/>
        <w:spacing w:after="0" w:line="271"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have third parties manufacture our products and our ability to manufacture DEFINITY in our in-house manufacturing facility, in amounts and at the times needed;</w:t>
      </w:r>
    </w:p>
    <w:p>
      <w:pPr>
        <w:spacing w:after="0" w:line="68" w:lineRule="exact"/>
        <w:rPr>
          <w:rFonts w:ascii="Times New Roman" w:cs="Times New Roman" w:eastAsia="Times New Roman" w:hAnsi="Times New Roman"/>
          <w:sz w:val="20"/>
          <w:szCs w:val="20"/>
          <w:color w:val="auto"/>
        </w:rPr>
      </w:pPr>
    </w:p>
    <w:p>
      <w:pPr>
        <w:ind w:left="720" w:right="120" w:hanging="359"/>
        <w:spacing w:after="0" w:line="258"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availability of raw materials, key components, and equipment, either used in the production of our products and product candidates, or in the use by healthcare professionals (“HCPs”) of our products and product candidates, including, but not limited to positron emission tomography (“PET”) scanners PYLARIFY, MK-6240 and NAV-4694;</w:t>
      </w:r>
    </w:p>
    <w:p>
      <w:pPr>
        <w:spacing w:after="0" w:line="81" w:lineRule="exact"/>
        <w:rPr>
          <w:rFonts w:ascii="Times New Roman" w:cs="Times New Roman" w:eastAsia="Times New Roman" w:hAnsi="Times New Roman"/>
          <w:sz w:val="20"/>
          <w:szCs w:val="20"/>
          <w:color w:val="auto"/>
        </w:rPr>
      </w:pPr>
    </w:p>
    <w:p>
      <w:pPr>
        <w:ind w:left="720" w:right="40" w:hanging="359"/>
        <w:spacing w:after="0" w:line="254"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satisfy our obligations under our existing clinical development partnerships using MK-6240 or NAV-4694 as a research tool and under the license agreements through which we have rights to MK-6240 and NAV-4694, and to further develop and commercialize MK-6240 and NAV-4694 as approved products, including the timing for any potential regulatory submissions for these investigational assets;</w:t>
      </w:r>
    </w:p>
    <w:p>
      <w:pPr>
        <w:spacing w:after="0" w:line="84" w:lineRule="exact"/>
        <w:rPr>
          <w:rFonts w:ascii="Times New Roman" w:cs="Times New Roman" w:eastAsia="Times New Roman" w:hAnsi="Times New Roman"/>
          <w:sz w:val="20"/>
          <w:szCs w:val="20"/>
          <w:color w:val="auto"/>
        </w:rPr>
      </w:pPr>
    </w:p>
    <w:p>
      <w:pPr>
        <w:ind w:left="720" w:right="80" w:hanging="359"/>
        <w:spacing w:after="0" w:line="266" w:lineRule="auto"/>
        <w:tabs>
          <w:tab w:leader="none" w:pos="72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successfully secure necessary shareholder and regulatory approvals relating to potential acquisitions, including of Life Molecular Imaging Ltd. (“Life Molecular”) and Evergreen Theragnostics, Inc. (“Evergreen”), the time and expense involved in seeking to secure those approvals, potential disruption to our business operations or those of the companies we plan to acquire while the acquisitions are pending or as a result of regulatory requirements related to the acquisitions and potential disruption to operations and productivity during the integration process after necessary approvals are secured and the potential that we are unable to integrate and realize the anticipated benefits that each acquisition is predicted to bring;</w:t>
      </w:r>
    </w:p>
    <w:p>
      <w:pPr>
        <w:spacing w:after="0" w:line="75" w:lineRule="exact"/>
        <w:rPr>
          <w:rFonts w:ascii="Times New Roman" w:cs="Times New Roman" w:eastAsia="Times New Roman" w:hAnsi="Times New Roman"/>
          <w:sz w:val="19"/>
          <w:szCs w:val="19"/>
          <w:color w:val="auto"/>
        </w:rPr>
      </w:pPr>
    </w:p>
    <w:p>
      <w:pPr>
        <w:ind w:left="720" w:right="320" w:hanging="359"/>
        <w:spacing w:after="0" w:line="258"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strategies, future prospects, and our projected growth, including revenue related to our collaboration agreements with POINT Biopharma Global Inc. (“POINT”), including our ability to obtain U.S. Food and Drug Administration (“FDA”) approval for PNT2002 and PNT2003 and to be successful in the patent litigation associated with PNT2003;</w:t>
      </w:r>
    </w:p>
    <w:p>
      <w:pPr>
        <w:spacing w:after="0" w:line="108" w:lineRule="exact"/>
        <w:rPr>
          <w:rFonts w:ascii="Times New Roman" w:cs="Times New Roman" w:eastAsia="Times New Roman" w:hAnsi="Times New Roman"/>
          <w:sz w:val="20"/>
          <w:szCs w:val="20"/>
          <w:color w:val="auto"/>
        </w:rPr>
      </w:pPr>
    </w:p>
    <w:p>
      <w:pPr>
        <w:ind w:left="720" w:right="620" w:hanging="359"/>
        <w:spacing w:after="0" w:line="273" w:lineRule="auto"/>
        <w:tabs>
          <w:tab w:leader="none" w:pos="720" w:val="left"/>
        </w:tabs>
        <w:numPr>
          <w:ilvl w:val="0"/>
          <w:numId w:val="3"/>
        </w:numPr>
        <w:rPr>
          <w:rFonts w:ascii="Times New Roman" w:cs="Times New Roman" w:eastAsia="Times New Roman" w:hAnsi="Times New Roman"/>
          <w:sz w:val="24"/>
          <w:szCs w:val="24"/>
          <w:color w:val="auto"/>
        </w:rPr>
      </w:pPr>
      <w:r>
        <w:rPr>
          <w:rFonts w:ascii="Times New Roman" w:cs="Times New Roman" w:eastAsia="Times New Roman" w:hAnsi="Times New Roman"/>
          <w:sz w:val="20"/>
          <w:szCs w:val="20"/>
          <w:color w:val="auto"/>
        </w:rPr>
        <w:t>Our ability to successfully realize the anticipated benefits of our 2024 transactions with Perspective Therapeutics, Inc. (“Perspective”);</w:t>
      </w:r>
    </w:p>
    <w:p>
      <w:pPr>
        <w:spacing w:after="0" w:line="79" w:lineRule="exact"/>
        <w:rPr>
          <w:rFonts w:ascii="Times New Roman" w:cs="Times New Roman" w:eastAsia="Times New Roman" w:hAnsi="Times New Roman"/>
          <w:sz w:val="24"/>
          <w:szCs w:val="24"/>
          <w:color w:val="auto"/>
        </w:rPr>
      </w:pPr>
    </w:p>
    <w:p>
      <w:pPr>
        <w:ind w:left="720" w:right="80" w:hanging="359"/>
        <w:spacing w:after="0" w:line="258"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efforts and timing for clinical development, regulatory approval, adequate coding, coverage and payment, and successful commercialization of our product candidates and new clinical applications and territories for our products, in each case, that we or our strategic partners may undertake; and</w:t>
      </w:r>
    </w:p>
    <w:p>
      <w:pPr>
        <w:spacing w:after="0" w:line="81" w:lineRule="exact"/>
        <w:rPr>
          <w:rFonts w:ascii="Times New Roman" w:cs="Times New Roman" w:eastAsia="Times New Roman" w:hAnsi="Times New Roman"/>
          <w:sz w:val="20"/>
          <w:szCs w:val="20"/>
          <w:color w:val="auto"/>
        </w:rPr>
      </w:pPr>
    </w:p>
    <w:p>
      <w:pPr>
        <w:ind w:left="720" w:right="80" w:hanging="359"/>
        <w:spacing w:after="0" w:line="258"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identify opportunities to collaborate with strategic partners and to acquire or in-license additional diagnostic and therapeutic product opportunities in oncology, neurology and other strategic areas and continue to grow and advance our pipeline of products.</w:t>
      </w:r>
    </w:p>
    <w:p>
      <w:pPr>
        <w:spacing w:after="0" w:line="199" w:lineRule="exact"/>
        <w:rPr>
          <w:sz w:val="20"/>
          <w:szCs w:val="20"/>
          <w:color w:val="auto"/>
        </w:rPr>
      </w:pPr>
    </w:p>
    <w:p>
      <w:pPr>
        <w:ind w:firstLine="441"/>
        <w:spacing w:after="0" w:line="265" w:lineRule="auto"/>
        <w:rPr>
          <w:sz w:val="20"/>
          <w:szCs w:val="20"/>
          <w:color w:val="auto"/>
        </w:rPr>
      </w:pPr>
      <w:r>
        <w:rPr>
          <w:rFonts w:ascii="Times New Roman" w:cs="Times New Roman" w:eastAsia="Times New Roman" w:hAnsi="Times New Roman"/>
          <w:sz w:val="19"/>
          <w:szCs w:val="19"/>
          <w:color w:val="auto"/>
        </w:rPr>
        <w:t xml:space="preserve">Forward-looking statements are based on our current expectations and assumptions regarding our business, the economy and other future conditions. Because forward-looking statements relate to the future, such statements are subject to inherent uncertainties, risks and changes in circumstances that are difficult to predict. Our actual results may differ materially from those contemplated by the forward-looking statements. These statements are neither statements of historical fact nor guarantees or assurances of future performance. The matters referred to in the forward-looking statements contained in this Form 10-K may not in fact occur. We caution you, therefore, against relying on any of these forward-looking statements. These forward-looking statements are subject to a number of risks, uncertainties and assumptions, including those described in Part I, Item 1A, </w:t>
      </w:r>
      <w:r>
        <w:rPr>
          <w:rFonts w:ascii="Times New Roman" w:cs="Times New Roman" w:eastAsia="Times New Roman" w:hAnsi="Times New Roman"/>
          <w:sz w:val="19"/>
          <w:szCs w:val="19"/>
          <w:i w:val="1"/>
          <w:iCs w:val="1"/>
          <w:color w:val="auto"/>
        </w:rPr>
        <w:t>"Risk Factors"</w:t>
      </w:r>
      <w:r>
        <w:rPr>
          <w:rFonts w:ascii="Times New Roman" w:cs="Times New Roman" w:eastAsia="Times New Roman" w:hAnsi="Times New Roman"/>
          <w:sz w:val="19"/>
          <w:szCs w:val="19"/>
          <w:color w:val="auto"/>
        </w:rPr>
        <w:t xml:space="preserve"> of this Form 10-K.</w:t>
      </w:r>
    </w:p>
    <w:p>
      <w:pPr>
        <w:spacing w:after="0" w:line="193" w:lineRule="exact"/>
        <w:rPr>
          <w:sz w:val="20"/>
          <w:szCs w:val="20"/>
          <w:color w:val="auto"/>
        </w:rPr>
      </w:pPr>
    </w:p>
    <w:p>
      <w:pPr>
        <w:ind w:right="180" w:firstLine="441"/>
        <w:spacing w:after="0" w:line="254" w:lineRule="auto"/>
        <w:rPr>
          <w:sz w:val="20"/>
          <w:szCs w:val="20"/>
          <w:color w:val="auto"/>
        </w:rPr>
      </w:pPr>
      <w:r>
        <w:rPr>
          <w:rFonts w:ascii="Times New Roman" w:cs="Times New Roman" w:eastAsia="Times New Roman" w:hAnsi="Times New Roman"/>
          <w:sz w:val="20"/>
          <w:szCs w:val="20"/>
          <w:color w:val="auto"/>
        </w:rPr>
        <w:t>Any forward-looking statement made by us in this Form 10-K speaks only as of the date on which it is made. Factors or events that could cause our actual results to differ may emerge from time to time, and it is not possible for us to predict all of them. We undertake no obligation to publicly update any forward-looking statement, whether as a result of new information, future developments or otherwise, except as may be required by law.</w:t>
      </w:r>
    </w:p>
    <w:p>
      <w:pPr>
        <w:sectPr>
          <w:pgSz w:w="11880" w:h="15480" w:orient="portrait"/>
          <w:cols w:equalWidth="0" w:num="1">
            <w:col w:w="10580"/>
          </w:cols>
          <w:pgMar w:left="640" w:top="615" w:right="660" w:bottom="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ectPr>
          <w:pgSz w:w="11880" w:h="15480" w:orient="portrait"/>
          <w:cols w:equalWidth="0" w:num="1">
            <w:col w:w="10580"/>
          </w:cols>
          <w:pgMar w:left="640" w:top="615" w:right="660" w:bottom="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t>SUMMARY OF MATERIAL RISKS ASSOCIATED WITH OUR BUSINESS</w:t>
      </w:r>
    </w:p>
    <w:p>
      <w:pPr>
        <w:spacing w:after="0" w:line="130" w:lineRule="exact"/>
        <w:rPr>
          <w:sz w:val="20"/>
          <w:szCs w:val="20"/>
          <w:color w:val="auto"/>
        </w:rPr>
      </w:pPr>
    </w:p>
    <w:p>
      <w:pPr>
        <w:ind w:right="280" w:firstLine="441"/>
        <w:spacing w:after="0" w:line="271" w:lineRule="auto"/>
        <w:rPr>
          <w:sz w:val="20"/>
          <w:szCs w:val="20"/>
          <w:color w:val="auto"/>
        </w:rPr>
      </w:pPr>
      <w:r>
        <w:rPr>
          <w:rFonts w:ascii="Times New Roman" w:cs="Times New Roman" w:eastAsia="Times New Roman" w:hAnsi="Times New Roman"/>
          <w:sz w:val="20"/>
          <w:szCs w:val="20"/>
          <w:color w:val="auto"/>
        </w:rPr>
        <w:t>Our business is subject to a number of risks, including risks that may adversely affect our business, results of operations, cash flows, and prospects. These risks are discussed more fully below and include, but are not limited to: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Risks Related to Our Portfolio of Commercial Products</w:t>
      </w:r>
    </w:p>
    <w:p>
      <w:pPr>
        <w:spacing w:after="0" w:line="131" w:lineRule="exact"/>
        <w:rPr>
          <w:sz w:val="20"/>
          <w:szCs w:val="20"/>
          <w:color w:val="auto"/>
        </w:rPr>
      </w:pPr>
    </w:p>
    <w:p>
      <w:pPr>
        <w:ind w:left="1060" w:right="80" w:hanging="346"/>
        <w:spacing w:after="0" w:line="249" w:lineRule="auto"/>
        <w:tabs>
          <w:tab w:leader="none" w:pos="10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continue to grow PYLARIFY as a commercial product is dependent on (A) the ability of PET manufacturing facilities (“PMFs”) to manufacture PYLARIFY to meet product demand, or that PYLARIFY will always be available at the specific time of day preferred by the end-user, (B) our ability to maintain adequate coding, coverage, and payment for PYLARIFY, (C) our ability to promote PYLARIFY to customers and to maintain PYLARIFY as the most utilized prostate-specific membrane antigen (“PSMA”) PET imaging agent, including after the expiration of transitional pass-through payment status (“TPT Status”) at the end of 2024, (D) whether and when a potential generic version of PYLARIFY may enter the market and (E) our ability to clinically and commercially differentiate PYLARIFY from other products.</w:t>
      </w:r>
    </w:p>
    <w:p>
      <w:pPr>
        <w:spacing w:after="0" w:line="90" w:lineRule="exact"/>
        <w:rPr>
          <w:rFonts w:ascii="Times New Roman" w:cs="Times New Roman" w:eastAsia="Times New Roman" w:hAnsi="Times New Roman"/>
          <w:sz w:val="20"/>
          <w:szCs w:val="20"/>
          <w:color w:val="auto"/>
        </w:rPr>
      </w:pPr>
    </w:p>
    <w:p>
      <w:pPr>
        <w:ind w:left="1060" w:right="80" w:hanging="346"/>
        <w:spacing w:after="0" w:line="254" w:lineRule="auto"/>
        <w:tabs>
          <w:tab w:leader="none" w:pos="10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continue to (A) grow the appropriate use of DEFINITY in suboptimal echocardiograms in a competitive environment, (B) mitigate the risk of generic competition as a result of patent and regulatory exclusivity expirations, (C) maintain DEFINITY as the most utilized ultrasound enhancing agent, and (D) have third parties manufacture our products and our ability to manufacture DEFINITY in our in-house manufacturing facility.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Risks Related to Reimbursement and Regulation</w:t>
      </w:r>
    </w:p>
    <w:p>
      <w:pPr>
        <w:spacing w:after="0" w:line="131" w:lineRule="exact"/>
        <w:rPr>
          <w:sz w:val="20"/>
          <w:szCs w:val="20"/>
          <w:color w:val="auto"/>
        </w:rPr>
      </w:pPr>
    </w:p>
    <w:p>
      <w:pPr>
        <w:ind w:left="1060" w:right="60" w:hanging="346"/>
        <w:spacing w:after="0" w:line="271" w:lineRule="auto"/>
        <w:tabs>
          <w:tab w:leader="none" w:pos="10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dependence of many of our customers upon third party healthcare payors and the uncertainty of third party coverage and reimbursement rates.</w:t>
      </w:r>
    </w:p>
    <w:p>
      <w:pPr>
        <w:spacing w:after="0" w:line="68" w:lineRule="exact"/>
        <w:rPr>
          <w:rFonts w:ascii="Times New Roman" w:cs="Times New Roman" w:eastAsia="Times New Roman" w:hAnsi="Times New Roman"/>
          <w:sz w:val="20"/>
          <w:szCs w:val="20"/>
          <w:color w:val="auto"/>
        </w:rPr>
      </w:pPr>
    </w:p>
    <w:p>
      <w:pPr>
        <w:ind w:left="1060" w:right="240" w:hanging="346"/>
        <w:spacing w:after="0" w:line="254" w:lineRule="auto"/>
        <w:tabs>
          <w:tab w:leader="none" w:pos="10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Uncertainties regarding the impact of federal and state healthcare reform measures and proposals on our business, including measures and proposals related to reimbursement for our current and potential future products, controls over drug pricing, drug pricing transparency, generic drug competition and the potential that efforts to extend or secure separate or otherwise adequate payment for radiopharmaceutical diagnostics are unsuccessful.</w:t>
      </w:r>
    </w:p>
    <w:p>
      <w:pPr>
        <w:spacing w:after="0" w:line="84" w:lineRule="exact"/>
        <w:rPr>
          <w:rFonts w:ascii="Times New Roman" w:cs="Times New Roman" w:eastAsia="Times New Roman" w:hAnsi="Times New Roman"/>
          <w:sz w:val="20"/>
          <w:szCs w:val="20"/>
          <w:color w:val="auto"/>
        </w:rPr>
      </w:pPr>
    </w:p>
    <w:p>
      <w:pPr>
        <w:jc w:val="both"/>
        <w:ind w:left="1060" w:right="180" w:hanging="346"/>
        <w:spacing w:after="0" w:line="258" w:lineRule="auto"/>
        <w:tabs>
          <w:tab w:leader="none" w:pos="10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extensive government regulation and oversight we and our business partners, suppliers and contract manufacturers are subject to, the ability to comply with those regulations and the costs of compliance, including costs to comply with new regulations or changes to the interpretation of existing regulations.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Risks Related to our Business Operations and Financial Results</w:t>
      </w:r>
    </w:p>
    <w:p>
      <w:pPr>
        <w:spacing w:after="0" w:line="131" w:lineRule="exact"/>
        <w:rPr>
          <w:sz w:val="20"/>
          <w:szCs w:val="20"/>
          <w:color w:val="auto"/>
        </w:rPr>
      </w:pPr>
    </w:p>
    <w:p>
      <w:pPr>
        <w:ind w:left="1060" w:right="600" w:hanging="346"/>
        <w:spacing w:after="0" w:line="271" w:lineRule="auto"/>
        <w:tabs>
          <w:tab w:leader="none" w:pos="10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hire or retain the number of qualified personnel, particularly scientific, medical and sales personnel, required for our business.</w:t>
      </w:r>
    </w:p>
    <w:p>
      <w:pPr>
        <w:spacing w:after="0" w:line="68" w:lineRule="exact"/>
        <w:rPr>
          <w:rFonts w:ascii="Times New Roman" w:cs="Times New Roman" w:eastAsia="Times New Roman" w:hAnsi="Times New Roman"/>
          <w:sz w:val="20"/>
          <w:szCs w:val="20"/>
          <w:color w:val="auto"/>
        </w:rPr>
      </w:pPr>
    </w:p>
    <w:p>
      <w:pPr>
        <w:ind w:left="1060" w:right="360" w:hanging="346"/>
        <w:spacing w:after="0" w:line="271" w:lineRule="auto"/>
        <w:tabs>
          <w:tab w:leader="none" w:pos="10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and our business partners’ abilities, to defend against any claims that we, or our partners, have infringed, misappropriated or otherwise violated the patent or other intellectual property rights of a third party.</w:t>
      </w:r>
    </w:p>
    <w:p>
      <w:pPr>
        <w:spacing w:after="0" w:line="68" w:lineRule="exact"/>
        <w:rPr>
          <w:rFonts w:ascii="Times New Roman" w:cs="Times New Roman" w:eastAsia="Times New Roman" w:hAnsi="Times New Roman"/>
          <w:sz w:val="20"/>
          <w:szCs w:val="20"/>
          <w:color w:val="auto"/>
        </w:rPr>
      </w:pPr>
    </w:p>
    <w:p>
      <w:pPr>
        <w:ind w:left="1060" w:right="780" w:hanging="346"/>
        <w:spacing w:after="0" w:line="271" w:lineRule="auto"/>
        <w:tabs>
          <w:tab w:leader="none" w:pos="10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continue to grow PYLARIFY and to successfully launch new PET diagnostic products, including MK-6240 and NAV-4694, is dependent upon the availability of PET scanners generally.</w:t>
      </w:r>
    </w:p>
    <w:p>
      <w:pPr>
        <w:spacing w:after="0" w:line="68" w:lineRule="exact"/>
        <w:rPr>
          <w:rFonts w:ascii="Times New Roman" w:cs="Times New Roman" w:eastAsia="Times New Roman" w:hAnsi="Times New Roman"/>
          <w:sz w:val="20"/>
          <w:szCs w:val="20"/>
          <w:color w:val="auto"/>
        </w:rPr>
      </w:pPr>
    </w:p>
    <w:p>
      <w:pPr>
        <w:ind w:left="1060" w:right="60" w:hanging="346"/>
        <w:spacing w:after="0" w:line="271" w:lineRule="auto"/>
        <w:tabs>
          <w:tab w:leader="none" w:pos="106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successfully integrate acquisitions, including of Life Molecular and Evergreen, including the potential for unforeseen expenses related to integration activities, the accuracy of our financial models, the potential for unforeseen liabilities within those businesses, the ability to integrate disparate information technology systems, retain key talent and create a merged corporate culture that successfully realizes the full potential of the combined organization.</w:t>
      </w:r>
    </w:p>
    <w:p>
      <w:pPr>
        <w:spacing w:after="0" w:line="71" w:lineRule="exact"/>
        <w:rPr>
          <w:rFonts w:ascii="Times New Roman" w:cs="Times New Roman" w:eastAsia="Times New Roman" w:hAnsi="Times New Roman"/>
          <w:sz w:val="19"/>
          <w:szCs w:val="19"/>
          <w:color w:val="auto"/>
        </w:rPr>
      </w:pPr>
    </w:p>
    <w:p>
      <w:pPr>
        <w:ind w:left="1060" w:hanging="346"/>
        <w:spacing w:after="0"/>
        <w:tabs>
          <w:tab w:leader="none" w:pos="10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introduce new products and adapt to an evolving technology and medical practice landscape.</w:t>
      </w:r>
    </w:p>
    <w:p>
      <w:pPr>
        <w:spacing w:after="0" w:line="122" w:lineRule="exact"/>
        <w:rPr>
          <w:rFonts w:ascii="Times New Roman" w:cs="Times New Roman" w:eastAsia="Times New Roman" w:hAnsi="Times New Roman"/>
          <w:sz w:val="20"/>
          <w:szCs w:val="20"/>
          <w:color w:val="auto"/>
        </w:rPr>
      </w:pPr>
    </w:p>
    <w:p>
      <w:pPr>
        <w:ind w:left="1060" w:right="60" w:hanging="346"/>
        <w:spacing w:after="0" w:line="254" w:lineRule="auto"/>
        <w:tabs>
          <w:tab w:leader="none" w:pos="10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influence and manage the decision-making process with our collaboration partners, in particular where our partners are responsible for the performance of certain key tasks or functions, for example related to manufacturing or regulatory strategy, or where decisions may be controlled by, or subject to the approval of our collaboration partners, who may have views that differ from our own.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Risks Related to Our and our Strategic Partners’ Portfolios of Clinical Development Candidates</w:t>
      </w:r>
    </w:p>
    <w:p>
      <w:pPr>
        <w:spacing w:after="0" w:line="131" w:lineRule="exact"/>
        <w:rPr>
          <w:sz w:val="20"/>
          <w:szCs w:val="20"/>
          <w:color w:val="auto"/>
        </w:rPr>
      </w:pPr>
    </w:p>
    <w:p>
      <w:pPr>
        <w:ind w:left="1060" w:hanging="346"/>
        <w:spacing w:after="0" w:line="266" w:lineRule="auto"/>
        <w:tabs>
          <w:tab w:leader="none" w:pos="106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Risks associated with the commercialization of our diagnostic product candidates, MK-6240 and NAV-4694, to be used in diagnosing, staging and monitoring Alzheimer’s disease, including (A) our ability to satisfy our obligations under our existing clinical development partnerships using those product candidates as a research tool; (B) disagreements with the counterparties to our license agreements for MK-6240 and NAV-4694 or the former stockholders of the companies we acquired who could receive future milestone and royalty-based payments that could arise over proprietary rights, contract interpretation or the preferred course of product research, development or marketing; and (C) our ability to further</w:t>
      </w:r>
    </w:p>
    <w:p>
      <w:pPr>
        <w:sectPr>
          <w:pgSz w:w="11880" w:h="15480" w:orient="portrait"/>
          <w:cols w:equalWidth="0" w:num="1">
            <w:col w:w="10580"/>
          </w:cols>
          <w:pgMar w:left="640" w:top="615" w:right="660" w:bottom="0" w:gutter="0" w:footer="0" w:header="0"/>
        </w:sect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880" w:h="15480" w:orient="portrait"/>
          <w:cols w:equalWidth="0" w:num="1">
            <w:col w:w="10580"/>
          </w:cols>
          <w:pgMar w:left="640" w:top="615" w:right="660" w:bottom="0" w:gutter="0" w:footer="0" w:header="0"/>
          <w:type w:val="continuous"/>
        </w:sectPr>
      </w:pPr>
    </w:p>
    <w:bookmarkStart w:id="8" w:name="page9"/>
    <w:bookmarkEnd w:id="8"/>
    <w:p>
      <w:pPr>
        <w:ind w:left="1060"/>
        <w:spacing w:after="0" w:line="271" w:lineRule="auto"/>
        <w:rPr>
          <w:sz w:val="20"/>
          <w:szCs w:val="20"/>
          <w:color w:val="auto"/>
        </w:rPr>
      </w:pPr>
      <w:r>
        <w:rPr>
          <w:rFonts w:ascii="Times New Roman" w:cs="Times New Roman" w:eastAsia="Times New Roman" w:hAnsi="Times New Roman"/>
          <w:sz w:val="20"/>
          <w:szCs w:val="20"/>
          <w:color w:val="auto"/>
        </w:rPr>
        <w:t>develop and commercialize MK-6240 and NAV-4694 as approved products, including obtaining regulatory approval and gaining post-approval market acceptance and adequate coding, coverage, and payment.</w:t>
      </w:r>
    </w:p>
    <w:p>
      <w:pPr>
        <w:spacing w:after="0" w:line="69" w:lineRule="exact"/>
        <w:rPr>
          <w:sz w:val="20"/>
          <w:szCs w:val="20"/>
          <w:color w:val="auto"/>
        </w:rPr>
      </w:pPr>
    </w:p>
    <w:p>
      <w:pPr>
        <w:ind w:left="1060" w:right="20" w:hanging="346"/>
        <w:spacing w:after="0" w:line="263" w:lineRule="auto"/>
        <w:tabs>
          <w:tab w:leader="none" w:pos="106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Risks associated with the development and commercialization of PNT2002, including (A) the outcome of the Phase 3 registrational clinical trial for PNT2002, which we refer to as SPLASH, after full data becomes available, (B) our ability to obtain regulatory approval for PNT2002; (C) the additional costs and risks associated with our ability to successfully launch PNT2002 as a commercial product; (D) the market and patient receptivity to PNT2002 as a radiopharmaceutical therapy; (E) the existence, availability and profile of competing products and therapies; (F) our ability to gain post-approval market acceptance and adequate coding, coverage, and payment for PNT2002; (G) POINT’s ability to successfully develop and scale the manufacturing capabilities to support the launch of PNT2002; and (H) the outcome of the patent infringement claim by Endocyte, Inc. (“Endocyte”), Novartis and Purdue Research Foundation against POINT and Eli Lilly and Co (“Lilly”) alleging that POINT’s manufacturing and sale of PNT2002 infringes an Endocyte patent.</w:t>
      </w:r>
    </w:p>
    <w:p>
      <w:pPr>
        <w:spacing w:after="0" w:line="79" w:lineRule="exact"/>
        <w:rPr>
          <w:rFonts w:ascii="Times New Roman" w:cs="Times New Roman" w:eastAsia="Times New Roman" w:hAnsi="Times New Roman"/>
          <w:sz w:val="19"/>
          <w:szCs w:val="19"/>
          <w:color w:val="auto"/>
        </w:rPr>
      </w:pPr>
    </w:p>
    <w:p>
      <w:pPr>
        <w:ind w:left="1060" w:hanging="346"/>
        <w:spacing w:after="0" w:line="249" w:lineRule="auto"/>
        <w:tabs>
          <w:tab w:leader="none" w:pos="10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associated with the commercialization of PNT2003, including (A) the outcome of the patent infringement claim by Advanced Accelerator Applications USA, Inc. and Advanced Accelerator Applications SA, each a Novartis entity, in response to our filing of our Abbreviated New Drug Application; (B) our ability to obtain regulatory approval for PNT2003, including the 180-day period of generic marketing exclusivity in the U.S. market as the “first applicant,” as provided under the Hatch-Waxman Act; (C) our ability to gain post-approval market acceptance and adequate coding, coverage, and payment for PNT2003; and (D) POINT’s ability to successfully develop and scale the manufacturing capabilities to support the launch of PNT2003.</w:t>
      </w:r>
    </w:p>
    <w:p>
      <w:pPr>
        <w:spacing w:after="0" w:line="93" w:lineRule="exact"/>
        <w:rPr>
          <w:rFonts w:ascii="Times New Roman" w:cs="Times New Roman" w:eastAsia="Times New Roman" w:hAnsi="Times New Roman"/>
          <w:sz w:val="20"/>
          <w:szCs w:val="20"/>
          <w:color w:val="auto"/>
        </w:rPr>
      </w:pPr>
    </w:p>
    <w:p>
      <w:pPr>
        <w:ind w:left="1060" w:right="340" w:hanging="346"/>
        <w:spacing w:after="0" w:line="258" w:lineRule="auto"/>
        <w:tabs>
          <w:tab w:leader="none" w:pos="10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associated with our agreements with Perspective, including finalizing the license agreements in the event we exercise our options to do so, the value of our current and any future equity interest in Perspective, and Perspective’s ability to successfully develop its alpha-particle therapy and innovative platform technology.</w:t>
      </w:r>
    </w:p>
    <w:p>
      <w:pPr>
        <w:spacing w:after="0" w:line="81" w:lineRule="exact"/>
        <w:rPr>
          <w:rFonts w:ascii="Times New Roman" w:cs="Times New Roman" w:eastAsia="Times New Roman" w:hAnsi="Times New Roman"/>
          <w:sz w:val="20"/>
          <w:szCs w:val="20"/>
          <w:color w:val="auto"/>
        </w:rPr>
      </w:pPr>
    </w:p>
    <w:p>
      <w:pPr>
        <w:ind w:left="1060" w:right="160" w:hanging="346"/>
        <w:spacing w:after="0" w:line="252" w:lineRule="auto"/>
        <w:tabs>
          <w:tab w:leader="none" w:pos="10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associated with the development of our pipeline assets, including (A) under agreements with third parties such as the license and collaboration agreement for LNTH-2401 and LNTH-2402 relating to RM2, (B) the development of LNTH-2403 and LNTH-2404, the associated investment in Radiopharm Theranostics Limited (“Radiopharm”) and our co-development partnership with Radiopharm relating to the clinical development of our innovative products and product candidates in Australia.</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Risks Related to our Capital Structure</w:t>
      </w:r>
    </w:p>
    <w:p>
      <w:pPr>
        <w:spacing w:after="0" w:line="131" w:lineRule="exact"/>
        <w:rPr>
          <w:sz w:val="20"/>
          <w:szCs w:val="20"/>
          <w:color w:val="auto"/>
        </w:rPr>
      </w:pPr>
    </w:p>
    <w:p>
      <w:pPr>
        <w:ind w:left="1060" w:right="820" w:hanging="346"/>
        <w:spacing w:after="0" w:line="271" w:lineRule="auto"/>
        <w:tabs>
          <w:tab w:leader="none" w:pos="10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our outstanding indebtedness and our ability to satisfy those obligations, including the 2.625% Convertible Senior Notes due 2027.</w:t>
      </w:r>
    </w:p>
    <w:p>
      <w:pPr>
        <w:spacing w:after="0" w:line="68"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the ownership of our common stock.</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REGARDING COMPANY REFERENCES</w:t>
      </w:r>
    </w:p>
    <w:p>
      <w:pPr>
        <w:spacing w:after="0" w:line="130" w:lineRule="exact"/>
        <w:rPr>
          <w:sz w:val="20"/>
          <w:szCs w:val="20"/>
          <w:color w:val="auto"/>
        </w:rPr>
      </w:pPr>
    </w:p>
    <w:p>
      <w:pPr>
        <w:ind w:right="60" w:firstLine="441"/>
        <w:spacing w:after="0" w:line="249" w:lineRule="auto"/>
        <w:rPr>
          <w:sz w:val="20"/>
          <w:szCs w:val="20"/>
          <w:color w:val="auto"/>
        </w:rPr>
      </w:pPr>
      <w:r>
        <w:rPr>
          <w:rFonts w:ascii="Times New Roman" w:cs="Times New Roman" w:eastAsia="Times New Roman" w:hAnsi="Times New Roman"/>
          <w:sz w:val="20"/>
          <w:szCs w:val="20"/>
          <w:color w:val="auto"/>
        </w:rPr>
        <w:t>Unless the context requires otherwise, references to “Lantheus,” “the Company,” “our company,” “we,” “us” and “our” refer to Lantheus Holdings, Inc. and its direct and indirect wholly-owned subsidiaries; reference to “Lantheus Holdings” refer to Lantheus Holdings, Inc. and not to any of its subsidiaries; references to “LMI” refer to Lantheus Medical Imaging, Inc., the wholly owned subsidiary of Lantheus Holdings; references to “Lantheus Alpha” and “Meilleur” refer to Lantheus Alpha Therapy, LLC and Meilleur Technologies, Inc., respectively, each a wholly owned subsidiary of Lantheus Holdings; references to “Cerveau,” “Lantheus Real Estate,” “Lantheus Two,” “Lantheus Three,” and “Progenics” refer to Cerveau Technologies, Inc.; Lantheus MI Real Estate, LLC; Lantheus Two, LLC; Lantheus Three, LLC; and Progenics Pharmaceuticals, Inc., respectively, each a wholly owned subsidiary of LMI, and references to “EXINI” refer to EXINI Diagnostics AB, a wholly owned subsidiary of Progenics.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REGARDING TRADEMARKS</w:t>
      </w:r>
    </w:p>
    <w:p>
      <w:pPr>
        <w:spacing w:after="0" w:line="130" w:lineRule="exact"/>
        <w:rPr>
          <w:sz w:val="20"/>
          <w:szCs w:val="20"/>
          <w:color w:val="auto"/>
        </w:rPr>
      </w:pPr>
    </w:p>
    <w:p>
      <w:pPr>
        <w:ind w:right="20" w:firstLine="441"/>
        <w:spacing w:after="0" w:line="238" w:lineRule="auto"/>
        <w:rPr>
          <w:sz w:val="20"/>
          <w:szCs w:val="20"/>
          <w:color w:val="auto"/>
        </w:rPr>
      </w:pPr>
      <w:r>
        <w:rPr>
          <w:rFonts w:ascii="Times New Roman" w:cs="Times New Roman" w:eastAsia="Times New Roman" w:hAnsi="Times New Roman"/>
          <w:sz w:val="20"/>
          <w:szCs w:val="20"/>
          <w:color w:val="auto"/>
        </w:rPr>
        <w:t>We own or have the rights to various trademarks, service marks and trade names, including, among others, the following: PYLARIFY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DEFINITY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and Find Fight and Follow</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referred to in this Form 10-K. Solely for convenience, we refer to trademarks and service marks in this Form 10-K without the TM, SM and ® symbols. Those references are not intended to indicate, in any way, that we will not assert, to the fullest extent permitted under applicable law, our rights to our trademarks and service marks. Each trademark, trade name or service mark of any other company appearing in this Form 10-K is, to our knowledge, owned by that other company.</w:t>
      </w:r>
    </w:p>
    <w:p>
      <w:pPr>
        <w:sectPr>
          <w:pgSz w:w="11880" w:h="15480" w:orient="portrait"/>
          <w:cols w:equalWidth="0" w:num="1">
            <w:col w:w="10560"/>
          </w:cols>
          <w:pgMar w:left="640" w:top="622" w:right="6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ectPr>
          <w:pgSz w:w="11880" w:h="15480" w:orient="portrait"/>
          <w:cols w:equalWidth="0" w:num="1">
            <w:col w:w="10560"/>
          </w:cols>
          <w:pgMar w:left="640" w:top="622" w:right="680" w:bottom="0" w:gutter="0" w:footer="0" w:header="0"/>
          <w:type w:val="continuous"/>
        </w:sectPr>
      </w:pPr>
    </w:p>
    <w:bookmarkStart w:id="9" w:name="page10"/>
    <w:bookmarkEnd w:id="9"/>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30"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9"/>
          <w:szCs w:val="19"/>
          <w:color w:val="auto"/>
        </w:rPr>
        <w:t>We are the leading radiopharmaceutical-focused company, delivering life-changing science to enable clinicians to Find, Fight and Follow disease to deliver better patient outcomes. We classify our products in three categories: Radiopharmaceutical Oncology, Precision Diagnostics, and Strategic Partnerships and Other Revenue. Our leading Radiopharmaceutical Oncology products help healthcare professionals (“HCPs”) Find, Fight and Follow cancer. Our leading Precision Diagnostic products assist HCPs to Find and Follow diseases, with a focus in cardiology. Our Strategic Partnerships include biomarkers and digital solutions in support of our partners’ therapeutic development, out-licensing agreements for non-core assets and optimization of our assets geographically.</w:t>
      </w:r>
    </w:p>
    <w:p>
      <w:pPr>
        <w:spacing w:after="0" w:line="194" w:lineRule="exact"/>
        <w:rPr>
          <w:sz w:val="20"/>
          <w:szCs w:val="20"/>
          <w:color w:val="auto"/>
        </w:rPr>
      </w:pPr>
    </w:p>
    <w:p>
      <w:pPr>
        <w:ind w:right="320" w:firstLine="441"/>
        <w:spacing w:after="0" w:line="254" w:lineRule="auto"/>
        <w:rPr>
          <w:sz w:val="20"/>
          <w:szCs w:val="20"/>
          <w:color w:val="auto"/>
        </w:rPr>
      </w:pPr>
      <w:r>
        <w:rPr>
          <w:rFonts w:ascii="Times New Roman" w:cs="Times New Roman" w:eastAsia="Times New Roman" w:hAnsi="Times New Roman"/>
          <w:sz w:val="20"/>
          <w:szCs w:val="20"/>
          <w:color w:val="auto"/>
        </w:rPr>
        <w:t>Our commercial products are used by cardiologists, internal medicine physicians, nuclear medicine physicians, oncologists, radiologists, sonographers, technologists, and urologists working in a variety of clinical settings. We believe that our diagnostic products provide information that enables HCPs to better detect and characterize, or rule out, disease, with the potential to achieve better patient outcomes, reduce patient risk, and limit overall costs.</w:t>
      </w:r>
    </w:p>
    <w:p>
      <w:pPr>
        <w:spacing w:after="0" w:line="202" w:lineRule="exact"/>
        <w:rPr>
          <w:sz w:val="20"/>
          <w:szCs w:val="20"/>
          <w:color w:val="auto"/>
        </w:rPr>
      </w:pPr>
    </w:p>
    <w:p>
      <w:pPr>
        <w:ind w:right="60" w:firstLine="441"/>
        <w:spacing w:after="0" w:line="254" w:lineRule="auto"/>
        <w:rPr>
          <w:sz w:val="20"/>
          <w:szCs w:val="20"/>
          <w:color w:val="auto"/>
        </w:rPr>
      </w:pPr>
      <w:r>
        <w:rPr>
          <w:rFonts w:ascii="Times New Roman" w:cs="Times New Roman" w:eastAsia="Times New Roman" w:hAnsi="Times New Roman"/>
          <w:sz w:val="20"/>
          <w:szCs w:val="20"/>
          <w:color w:val="auto"/>
        </w:rPr>
        <w:t>We produce and market our products throughout the United States (the “United States” or the “U.S.”), selling primarily to hospitals, independent diagnostic testing facilities, and radiopharmacies. We sell our products outside the U.S. through a combination of direct distribution in Canada and third party distribution relationships in Europe, Canada, Australia, Asia-Pacific, Central America and South America.</w:t>
      </w:r>
    </w:p>
    <w:p>
      <w:pPr>
        <w:spacing w:after="0" w:line="202" w:lineRule="exact"/>
        <w:rPr>
          <w:sz w:val="20"/>
          <w:szCs w:val="20"/>
          <w:color w:val="auto"/>
        </w:rPr>
      </w:pPr>
    </w:p>
    <w:p>
      <w:pPr>
        <w:ind w:firstLine="441"/>
        <w:spacing w:after="0" w:line="271" w:lineRule="auto"/>
        <w:rPr>
          <w:sz w:val="20"/>
          <w:szCs w:val="20"/>
          <w:color w:val="auto"/>
        </w:rPr>
      </w:pPr>
      <w:r>
        <w:rPr>
          <w:rFonts w:ascii="Times New Roman" w:cs="Times New Roman" w:eastAsia="Times New Roman" w:hAnsi="Times New Roman"/>
          <w:sz w:val="20"/>
          <w:szCs w:val="20"/>
          <w:color w:val="auto"/>
        </w:rPr>
        <w:t>Our executive offices are located in Bedford, Massachusetts, with additional offices in North Billerica, Massachusetts; Montreal, Canada and Lund, Sweden.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Chief Executive Officer Transition</w:t>
      </w:r>
    </w:p>
    <w:p>
      <w:pPr>
        <w:spacing w:after="0" w:line="130" w:lineRule="exact"/>
        <w:rPr>
          <w:sz w:val="20"/>
          <w:szCs w:val="20"/>
          <w:color w:val="auto"/>
        </w:rPr>
      </w:pPr>
    </w:p>
    <w:p>
      <w:pPr>
        <w:ind w:right="260" w:firstLine="441"/>
        <w:spacing w:after="0" w:line="254" w:lineRule="auto"/>
        <w:rPr>
          <w:sz w:val="20"/>
          <w:szCs w:val="20"/>
          <w:color w:val="auto"/>
        </w:rPr>
      </w:pPr>
      <w:r>
        <w:rPr>
          <w:rFonts w:ascii="Times New Roman" w:cs="Times New Roman" w:eastAsia="Times New Roman" w:hAnsi="Times New Roman"/>
          <w:sz w:val="20"/>
          <w:szCs w:val="20"/>
          <w:color w:val="auto"/>
        </w:rPr>
        <w:t>On March 1, 2024, Brian Markison, became our Chief Executive Officer (“CEO”), and Mary Anne Heino retired as our CEO and became the Chair of our Board of Directors (“Board”). As part of this leadership transition, Mr. Markison assumed the role of Executive Chair of the Board as of January 23, 2024 until the effectiveness of his CEO appointment in March 2024, and Board Member Julie McHugh became Lead Independent Director.</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Evolution into Fully-Integrated, Radiopharmaceutical Company</w:t>
      </w:r>
    </w:p>
    <w:p>
      <w:pPr>
        <w:spacing w:after="0" w:line="130" w:lineRule="exact"/>
        <w:rPr>
          <w:sz w:val="20"/>
          <w:szCs w:val="20"/>
          <w:color w:val="auto"/>
        </w:rPr>
      </w:pPr>
    </w:p>
    <w:p>
      <w:pPr>
        <w:ind w:right="60" w:firstLine="441"/>
        <w:spacing w:after="0" w:line="252" w:lineRule="auto"/>
        <w:rPr>
          <w:sz w:val="20"/>
          <w:szCs w:val="20"/>
          <w:color w:val="auto"/>
        </w:rPr>
      </w:pPr>
      <w:r>
        <w:rPr>
          <w:rFonts w:ascii="Times New Roman" w:cs="Times New Roman" w:eastAsia="Times New Roman" w:hAnsi="Times New Roman"/>
          <w:sz w:val="20"/>
          <w:szCs w:val="20"/>
          <w:color w:val="auto"/>
        </w:rPr>
        <w:t>During 2024, we executed on our strategy to evolve into a fully integrated radiopharmaceutical company, supported by our increasingly diversified portfolio and our targeted initiatives to expand our pipeline, commercial, development and manufacturing capabilities. Over the course of the year and into 2025, we announced multiple strategic transactions, which further our goals to focus on new high growth markets and expand and diversify our capabilities and development pipeline with complementary assets. A brief description of these transactions is summarized below.</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Pending Acquisition of Life Molecular Imaging</w:t>
      </w:r>
    </w:p>
    <w:p>
      <w:pPr>
        <w:spacing w:after="0" w:line="131" w:lineRule="exact"/>
        <w:rPr>
          <w:sz w:val="20"/>
          <w:szCs w:val="20"/>
          <w:color w:val="auto"/>
        </w:rPr>
      </w:pPr>
    </w:p>
    <w:p>
      <w:pPr>
        <w:ind w:right="200" w:firstLine="441"/>
        <w:spacing w:after="0" w:line="249" w:lineRule="auto"/>
        <w:rPr>
          <w:sz w:val="20"/>
          <w:szCs w:val="20"/>
          <w:color w:val="auto"/>
        </w:rPr>
      </w:pPr>
      <w:r>
        <w:rPr>
          <w:rFonts w:ascii="Times New Roman" w:cs="Times New Roman" w:eastAsia="Times New Roman" w:hAnsi="Times New Roman"/>
          <w:sz w:val="20"/>
          <w:szCs w:val="20"/>
          <w:color w:val="auto"/>
        </w:rPr>
        <w:t>On January 13, 2025, we announced that we entered into a definitive agreement to acquire Life Molecular. Life Molecular is based in Berlin, Germany and is dedicated to advancing novel PET radiopharmaceutical diagnostics. The definitive agreement provides for an upfront payment of $350.0 million and up to an additional $400.0 million in potential earn-out and milestone payments. The transaction is expected to close in the second half of 2025, subject to the satisfaction of customary regulatory and closing conditions. This acquisition would enable us to establish a commercial franchise in Alzheimer’s disease, expand our growth profile with Neuraceq, an approved Alzheimer’s disease radiodiagnostic, enhance our research and development and clinical development capabilities, and strengthen our innovative radiodiagnostic pipeline.</w:t>
      </w:r>
    </w:p>
    <w:p>
      <w:pPr>
        <w:spacing w:after="0" w:line="94" w:lineRule="exact"/>
        <w:rPr>
          <w:sz w:val="20"/>
          <w:szCs w:val="20"/>
          <w:color w:val="auto"/>
        </w:rPr>
      </w:pPr>
    </w:p>
    <w:p>
      <w:pPr>
        <w:ind w:right="40" w:firstLine="441"/>
        <w:spacing w:after="0" w:line="248" w:lineRule="auto"/>
        <w:rPr>
          <w:sz w:val="20"/>
          <w:szCs w:val="20"/>
          <w:color w:val="auto"/>
        </w:rPr>
      </w:pPr>
      <w:r>
        <w:rPr>
          <w:rFonts w:ascii="Times New Roman" w:cs="Times New Roman" w:eastAsia="Times New Roman" w:hAnsi="Times New Roman"/>
          <w:sz w:val="20"/>
          <w:szCs w:val="20"/>
          <w:color w:val="auto"/>
        </w:rPr>
        <w:t>Previously, on July 3, 2024,we acquired from Life Molecular the global rights to its clinical stage RM2, a gastrin-releasing peptide receptor (“GRPR”)-targeting agent, including the associated novel, clinical-stage radiotherapeutic and radiodiagnostic pair, previously referred to as 177Lu-DOTA-RM2 and 68Ga-DOTA-RM2 (and which we now refer to as LNTH-2402 and LNTH-2401, respectively), for an upfront payment of $35.0 million plus a $1.0 million payment made prior to the acquisition, and potential regulatory milestone payments plus royalties (the “RM2 Asset Purchase”). GRPR is a member of the bombesin G protein-coupled receptor family, which has been found to be overexpressed in multiple cancers, including prostate, breast and lung. First-in-human dosimetry showed a favorable safety and dosimetry profile and confirmed preclinical data demonstrating dose-dependent efficacy of LNTH-2402. We intend to begin a Phase 1/2a study with LNTH-2402 in prostate cancer patients in 2025. We expect LNTH-2401 could be used as a companion diagnostic, and that together, LNTH-2401 and LNTH-2402 could potentially allow us to enter into new disease areas.</w:t>
      </w:r>
    </w:p>
    <w:p>
      <w:pPr>
        <w:spacing w:after="0" w:line="90" w:lineRule="exact"/>
        <w:rPr>
          <w:sz w:val="20"/>
          <w:szCs w:val="20"/>
          <w:color w:val="auto"/>
        </w:rPr>
      </w:pPr>
    </w:p>
    <w:p>
      <w:pPr>
        <w:ind w:right="240" w:firstLine="441"/>
        <w:spacing w:after="0" w:line="302" w:lineRule="auto"/>
        <w:rPr>
          <w:sz w:val="20"/>
          <w:szCs w:val="20"/>
          <w:color w:val="auto"/>
        </w:rPr>
      </w:pPr>
      <w:r>
        <w:rPr>
          <w:rFonts w:ascii="Times New Roman" w:cs="Times New Roman" w:eastAsia="Times New Roman" w:hAnsi="Times New Roman"/>
          <w:sz w:val="19"/>
          <w:szCs w:val="19"/>
          <w:color w:val="auto"/>
        </w:rPr>
        <w:t xml:space="preserve">For more information on the acquisition of the global rights to RM2, see Note 21, </w:t>
      </w:r>
      <w:r>
        <w:rPr>
          <w:rFonts w:ascii="Times New Roman" w:cs="Times New Roman" w:eastAsia="Times New Roman" w:hAnsi="Times New Roman"/>
          <w:sz w:val="19"/>
          <w:szCs w:val="19"/>
          <w:i w:val="1"/>
          <w:iCs w:val="1"/>
          <w:color w:val="auto"/>
        </w:rPr>
        <w:t>“Acquisition of Assets”</w:t>
      </w:r>
      <w:r>
        <w:rPr>
          <w:rFonts w:ascii="Times New Roman" w:cs="Times New Roman" w:eastAsia="Times New Roman" w:hAnsi="Times New Roman"/>
          <w:sz w:val="19"/>
          <w:szCs w:val="19"/>
          <w:color w:val="auto"/>
        </w:rPr>
        <w:t xml:space="preserve"> to our consolidated financial statements included in Part II, Item 8, </w:t>
      </w:r>
      <w:r>
        <w:rPr>
          <w:rFonts w:ascii="Times New Roman" w:cs="Times New Roman" w:eastAsia="Times New Roman" w:hAnsi="Times New Roman"/>
          <w:sz w:val="19"/>
          <w:szCs w:val="19"/>
          <w:i w:val="1"/>
          <w:iCs w:val="1"/>
          <w:color w:val="auto"/>
        </w:rPr>
        <w:t>“Financial Statements and Supplementary Data”</w:t>
      </w:r>
      <w:r>
        <w:rPr>
          <w:rFonts w:ascii="Times New Roman" w:cs="Times New Roman" w:eastAsia="Times New Roman" w:hAnsi="Times New Roman"/>
          <w:sz w:val="19"/>
          <w:szCs w:val="19"/>
          <w:color w:val="auto"/>
        </w:rPr>
        <w:t xml:space="preserve"> of this Form 10-K.</w:t>
      </w:r>
    </w:p>
    <w:p>
      <w:pPr>
        <w:sectPr>
          <w:pgSz w:w="11880" w:h="15480" w:orient="portrait"/>
          <w:cols w:equalWidth="0" w:num="1">
            <w:col w:w="10540"/>
          </w:cols>
          <w:pgMar w:left="640" w:top="615" w:right="700" w:bottom="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w:t>
      </w:r>
    </w:p>
    <w:p>
      <w:pPr>
        <w:sectPr>
          <w:pgSz w:w="11880" w:h="15480" w:orient="portrait"/>
          <w:cols w:equalWidth="0" w:num="1">
            <w:col w:w="10540"/>
          </w:cols>
          <w:pgMar w:left="640" w:top="615" w:right="700" w:bottom="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i w:val="1"/>
          <w:iCs w:val="1"/>
          <w:color w:val="auto"/>
        </w:rPr>
        <w:t>Pending Acquisition of Evergreen Theragnostics</w:t>
      </w:r>
    </w:p>
    <w:p>
      <w:pPr>
        <w:spacing w:after="0" w:line="131" w:lineRule="exact"/>
        <w:rPr>
          <w:sz w:val="20"/>
          <w:szCs w:val="20"/>
          <w:color w:val="auto"/>
        </w:rPr>
      </w:pPr>
    </w:p>
    <w:p>
      <w:pPr>
        <w:ind w:right="20" w:firstLine="441"/>
        <w:spacing w:after="0" w:line="249" w:lineRule="auto"/>
        <w:rPr>
          <w:sz w:val="20"/>
          <w:szCs w:val="20"/>
          <w:color w:val="auto"/>
        </w:rPr>
      </w:pPr>
      <w:r>
        <w:rPr>
          <w:rFonts w:ascii="Times New Roman" w:cs="Times New Roman" w:eastAsia="Times New Roman" w:hAnsi="Times New Roman"/>
          <w:sz w:val="20"/>
          <w:szCs w:val="20"/>
          <w:color w:val="auto"/>
        </w:rPr>
        <w:t>On January 27, 2025, we announced that we entered into an Agreement and Plan of Merger (the “Evergreen Merger Agreement”) with Evergreen and Shareholder Representative Services LLC, pursuant to which we will acquire Evergreen by means of a statutory merger of our subsidiary with and into Evergreen, with Evergreen surviving as our wholly-owned subsidiary (the “Evergreen Merger”). Evergreen is a clinical-stage radiopharmaceutical company engaged in contract development and manufacturing services, as well as drug discovery and commercialization of proprietary products. Our acquisition of Evergreen would enhance our capabilities across the radiopharmaceutical value chain, specifically strengthening our clinical and commercial manufacturing capabilities in therapeutic oncology; expand our late-stage pipeline with a registrational-stage PET diagnostic agent that could complement PNT2003; and grow our early-stage pipeline with multiple clinical and pre-clinical theranostic pairs.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Acquisition of NAV-4694</w:t>
      </w:r>
    </w:p>
    <w:p>
      <w:pPr>
        <w:spacing w:after="0" w:line="131" w:lineRule="exact"/>
        <w:rPr>
          <w:sz w:val="20"/>
          <w:szCs w:val="20"/>
          <w:color w:val="auto"/>
        </w:rPr>
      </w:pPr>
    </w:p>
    <w:p>
      <w:pPr>
        <w:ind w:firstLine="441"/>
        <w:spacing w:after="0" w:line="265" w:lineRule="auto"/>
        <w:rPr>
          <w:sz w:val="20"/>
          <w:szCs w:val="20"/>
          <w:color w:val="auto"/>
        </w:rPr>
      </w:pPr>
      <w:r>
        <w:rPr>
          <w:rFonts w:ascii="Times New Roman" w:cs="Times New Roman" w:eastAsia="Times New Roman" w:hAnsi="Times New Roman"/>
          <w:sz w:val="19"/>
          <w:szCs w:val="19"/>
          <w:color w:val="auto"/>
        </w:rPr>
        <w:t>On June 18, 2024, we acquired Meilleur Technologies, Inc. (“Meilleur”), including its asset NAV-4694, an investigational F-18-PET imaging agent that targets beta amyloids in Alzheimer’s disease. Under the terms of the agreement, we paid the stockholders of Meilleur (“Meilleur Stockholders”) an upfront payment of $32.9 million and an additional $10.0 million payment in August 2024 after the successful completion of a technology transfer. We could pay additional milestone payments upon achievement of specified U.S. regulatory milestones related to NAV-4694. We could also pay double-digit milestone payments upon achievement of specified annual commercial sales and double-digit royalty payments for research revenue and commercial sales. Research revenue is derived from partnerships with pharmaceutical companies and academic institutions that use NAV-4694 in clinical trials.</w:t>
      </w:r>
    </w:p>
    <w:p>
      <w:pPr>
        <w:spacing w:after="0" w:line="72" w:lineRule="exact"/>
        <w:rPr>
          <w:sz w:val="20"/>
          <w:szCs w:val="20"/>
          <w:color w:val="auto"/>
        </w:rPr>
      </w:pPr>
    </w:p>
    <w:p>
      <w:pPr>
        <w:ind w:right="180" w:firstLine="441"/>
        <w:spacing w:after="0" w:line="275" w:lineRule="auto"/>
        <w:rPr>
          <w:sz w:val="20"/>
          <w:szCs w:val="20"/>
          <w:color w:val="auto"/>
        </w:rPr>
      </w:pPr>
      <w:r>
        <w:rPr>
          <w:rFonts w:ascii="Times New Roman" w:cs="Times New Roman" w:eastAsia="Times New Roman" w:hAnsi="Times New Roman"/>
          <w:sz w:val="20"/>
          <w:szCs w:val="20"/>
          <w:color w:val="auto"/>
        </w:rPr>
        <w:t xml:space="preserve">For more information, see Note 21, </w:t>
      </w:r>
      <w:r>
        <w:rPr>
          <w:rFonts w:ascii="Times New Roman" w:cs="Times New Roman" w:eastAsia="Times New Roman" w:hAnsi="Times New Roman"/>
          <w:sz w:val="20"/>
          <w:szCs w:val="20"/>
          <w:i w:val="1"/>
          <w:iCs w:val="1"/>
          <w:color w:val="auto"/>
        </w:rPr>
        <w:t>“Acquisition of Assets”</w:t>
      </w:r>
      <w:r>
        <w:rPr>
          <w:rFonts w:ascii="Times New Roman" w:cs="Times New Roman" w:eastAsia="Times New Roman" w:hAnsi="Times New Roman"/>
          <w:sz w:val="20"/>
          <w:szCs w:val="20"/>
          <w:color w:val="auto"/>
        </w:rPr>
        <w:t xml:space="preserve"> to our consolidated financial statements included in Part II, Item 8, </w:t>
      </w:r>
      <w:r>
        <w:rPr>
          <w:rFonts w:ascii="Times New Roman" w:cs="Times New Roman" w:eastAsia="Times New Roman" w:hAnsi="Times New Roman"/>
          <w:sz w:val="20"/>
          <w:szCs w:val="20"/>
          <w:i w:val="1"/>
          <w:iCs w:val="1"/>
          <w:color w:val="auto"/>
        </w:rPr>
        <w:t xml:space="preserve">“Financial Statements and Supplementary Data” </w:t>
      </w:r>
      <w:r>
        <w:rPr>
          <w:rFonts w:ascii="Times New Roman" w:cs="Times New Roman" w:eastAsia="Times New Roman" w:hAnsi="Times New Roman"/>
          <w:sz w:val="20"/>
          <w:szCs w:val="20"/>
          <w:color w:val="auto"/>
        </w:rPr>
        <w:t>of this Form 10-K.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Exclusive License for Radiopharm Theranostics Limited</w:t>
      </w:r>
    </w:p>
    <w:p>
      <w:pPr>
        <w:spacing w:after="0" w:line="115" w:lineRule="exact"/>
        <w:rPr>
          <w:sz w:val="20"/>
          <w:szCs w:val="20"/>
          <w:color w:val="auto"/>
        </w:rPr>
      </w:pPr>
    </w:p>
    <w:p>
      <w:pPr>
        <w:ind w:right="80" w:firstLine="441"/>
        <w:spacing w:after="0"/>
        <w:rPr>
          <w:sz w:val="20"/>
          <w:szCs w:val="20"/>
          <w:color w:val="auto"/>
        </w:rPr>
      </w:pPr>
      <w:r>
        <w:rPr>
          <w:rFonts w:ascii="Times New Roman" w:cs="Times New Roman" w:eastAsia="Times New Roman" w:hAnsi="Times New Roman"/>
          <w:sz w:val="20"/>
          <w:szCs w:val="20"/>
          <w:color w:val="auto"/>
        </w:rPr>
        <w:t>On June 15, 2024, we entered into an agreement with Radiopharm to acquire all of Radiopharm’s global, exclusive rights to two licensed preclinical assets for an upfront payment of $2.0 million (the “Radiopharm Asset Purchase”). We acquired global, exclusive rights to both a monoclonal antibody that targets LRRC15, a preclinical therapeutic candidate targeting osteosarcoma, and a Trophoblast cell surface antigen 2 (“TROP2”)-targeted nanobody, a preclinical stage therapy. In connection with this acquisition, we are assuming the underlying license agreements related to the two preclinical assets, together with their respective milestone and royalty payment obligations.</w:t>
      </w:r>
    </w:p>
    <w:p>
      <w:pPr>
        <w:spacing w:after="0" w:line="87" w:lineRule="exact"/>
        <w:rPr>
          <w:sz w:val="20"/>
          <w:szCs w:val="20"/>
          <w:color w:val="auto"/>
        </w:rPr>
      </w:pPr>
    </w:p>
    <w:p>
      <w:pPr>
        <w:ind w:right="180" w:firstLine="441"/>
        <w:spacing w:after="0" w:line="275" w:lineRule="auto"/>
        <w:rPr>
          <w:sz w:val="20"/>
          <w:szCs w:val="20"/>
          <w:color w:val="auto"/>
        </w:rPr>
      </w:pPr>
      <w:r>
        <w:rPr>
          <w:rFonts w:ascii="Times New Roman" w:cs="Times New Roman" w:eastAsia="Times New Roman" w:hAnsi="Times New Roman"/>
          <w:sz w:val="20"/>
          <w:szCs w:val="20"/>
          <w:color w:val="auto"/>
        </w:rPr>
        <w:t xml:space="preserve">For more information, see Note 21, </w:t>
      </w:r>
      <w:r>
        <w:rPr>
          <w:rFonts w:ascii="Times New Roman" w:cs="Times New Roman" w:eastAsia="Times New Roman" w:hAnsi="Times New Roman"/>
          <w:sz w:val="20"/>
          <w:szCs w:val="20"/>
          <w:i w:val="1"/>
          <w:iCs w:val="1"/>
          <w:color w:val="auto"/>
        </w:rPr>
        <w:t>“Acquisition of Assets”</w:t>
      </w:r>
      <w:r>
        <w:rPr>
          <w:rFonts w:ascii="Times New Roman" w:cs="Times New Roman" w:eastAsia="Times New Roman" w:hAnsi="Times New Roman"/>
          <w:sz w:val="20"/>
          <w:szCs w:val="20"/>
          <w:color w:val="auto"/>
        </w:rPr>
        <w:t xml:space="preserve"> to our consolidated financial statements included in Part II, Item 8, </w:t>
      </w:r>
      <w:r>
        <w:rPr>
          <w:rFonts w:ascii="Times New Roman" w:cs="Times New Roman" w:eastAsia="Times New Roman" w:hAnsi="Times New Roman"/>
          <w:sz w:val="20"/>
          <w:szCs w:val="20"/>
          <w:i w:val="1"/>
          <w:iCs w:val="1"/>
          <w:color w:val="auto"/>
        </w:rPr>
        <w:t xml:space="preserve">“Financial Statements and Supplementary Data” </w:t>
      </w:r>
      <w:r>
        <w:rPr>
          <w:rFonts w:ascii="Times New Roman" w:cs="Times New Roman" w:eastAsia="Times New Roman" w:hAnsi="Times New Roman"/>
          <w:sz w:val="20"/>
          <w:szCs w:val="20"/>
          <w:color w:val="auto"/>
        </w:rPr>
        <w:t>of this Form 10-K.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Strategic Agreements with Perspective Therapeutics, Inc.</w:t>
      </w:r>
    </w:p>
    <w:p>
      <w:pPr>
        <w:spacing w:after="0" w:line="131" w:lineRule="exact"/>
        <w:rPr>
          <w:sz w:val="20"/>
          <w:szCs w:val="20"/>
          <w:color w:val="auto"/>
        </w:rPr>
      </w:pPr>
    </w:p>
    <w:p>
      <w:pPr>
        <w:ind w:right="460" w:firstLine="441"/>
        <w:spacing w:after="0" w:line="251" w:lineRule="auto"/>
        <w:rPr>
          <w:sz w:val="20"/>
          <w:szCs w:val="20"/>
          <w:color w:val="auto"/>
        </w:rPr>
      </w:pPr>
      <w:r>
        <w:rPr>
          <w:rFonts w:ascii="Times New Roman" w:cs="Times New Roman" w:eastAsia="Times New Roman" w:hAnsi="Times New Roman"/>
          <w:sz w:val="20"/>
          <w:szCs w:val="20"/>
          <w:color w:val="auto"/>
        </w:rPr>
        <w:t xml:space="preserve">On January 8, 2024, we entered into multiple strategic agreements with Perspective, a radiopharmaceutical company that is pursuing advanced treatment applications for cancers throughout the body. Under the agreements, we obtained an option to exclusively license Perspective’s Pb212-VMT- </w:t>
      </w:r>
      <w:r>
        <w:rPr>
          <w:rFonts w:ascii="Arial" w:cs="Arial" w:eastAsia="Arial" w:hAnsi="Arial"/>
          <w:sz w:val="20"/>
          <w:szCs w:val="20"/>
          <w:color w:val="auto"/>
        </w:rPr>
        <w:t>α</w:t>
      </w:r>
      <w:r>
        <w:rPr>
          <w:rFonts w:ascii="Times New Roman" w:cs="Times New Roman" w:eastAsia="Times New Roman" w:hAnsi="Times New Roman"/>
          <w:sz w:val="20"/>
          <w:szCs w:val="20"/>
          <w:color w:val="auto"/>
        </w:rPr>
        <w:t>-NET, a clinical stage alpha therapy in development for the treatment of neuroendocrine tumors, and an option to co-develop certain early-stage therapeutic candidates targeting prostate cancer using Perspective’s innovative platform technology for an aggregate upfront payment of $28.0 million in cash.</w:t>
      </w:r>
    </w:p>
    <w:p>
      <w:pPr>
        <w:spacing w:after="0" w:line="90" w:lineRule="exact"/>
        <w:rPr>
          <w:sz w:val="20"/>
          <w:szCs w:val="20"/>
          <w:color w:val="auto"/>
        </w:rPr>
      </w:pPr>
    </w:p>
    <w:p>
      <w:pPr>
        <w:jc w:val="both"/>
        <w:ind w:right="160" w:firstLine="441"/>
        <w:spacing w:after="0" w:line="258" w:lineRule="auto"/>
        <w:rPr>
          <w:sz w:val="20"/>
          <w:szCs w:val="20"/>
          <w:color w:val="auto"/>
        </w:rPr>
      </w:pPr>
      <w:r>
        <w:rPr>
          <w:rFonts w:ascii="Times New Roman" w:cs="Times New Roman" w:eastAsia="Times New Roman" w:hAnsi="Times New Roman"/>
          <w:sz w:val="20"/>
          <w:szCs w:val="20"/>
          <w:color w:val="auto"/>
        </w:rPr>
        <w:t>On March 1, 2024, we transferred the fixed assets and associated lease of our Somerset, New Jersey facility to Perspective, and the parties entered into a transition services arrangement pursuant to which we provided certain services relating to final disposal of radioactive waste and certain other related services.</w:t>
      </w:r>
    </w:p>
    <w:p>
      <w:pPr>
        <w:spacing w:after="0" w:line="82" w:lineRule="exact"/>
        <w:rPr>
          <w:sz w:val="20"/>
          <w:szCs w:val="20"/>
          <w:color w:val="auto"/>
        </w:rPr>
      </w:pPr>
    </w:p>
    <w:p>
      <w:pPr>
        <w:ind w:right="200" w:firstLine="441"/>
        <w:spacing w:after="0" w:line="258" w:lineRule="auto"/>
        <w:rPr>
          <w:sz w:val="20"/>
          <w:szCs w:val="20"/>
          <w:color w:val="auto"/>
        </w:rPr>
      </w:pPr>
      <w:r>
        <w:rPr>
          <w:rFonts w:ascii="Times New Roman" w:cs="Times New Roman" w:eastAsia="Times New Roman" w:hAnsi="Times New Roman"/>
          <w:sz w:val="20"/>
          <w:szCs w:val="20"/>
          <w:color w:val="auto"/>
        </w:rPr>
        <w:t>During 2024, we also purchased an aggregate of 11,677,339 shares of Perspective’s common stock (the “Perspective Shares”), after giving effect to a 1-for-10 reverse stock split, resulting in the Company holding approximately 19.9% of Perspective’s outstanding common stock (or 17.35% on a fully diluted basis) as of March 6, 2024.</w:t>
      </w:r>
    </w:p>
    <w:p>
      <w:pPr>
        <w:spacing w:after="0" w:line="79" w:lineRule="exact"/>
        <w:rPr>
          <w:sz w:val="20"/>
          <w:szCs w:val="20"/>
          <w:color w:val="auto"/>
        </w:rPr>
      </w:pPr>
    </w:p>
    <w:p>
      <w:pPr>
        <w:ind w:right="180" w:firstLine="441"/>
        <w:spacing w:after="0" w:line="275" w:lineRule="auto"/>
        <w:rPr>
          <w:sz w:val="20"/>
          <w:szCs w:val="20"/>
          <w:color w:val="auto"/>
        </w:rPr>
      </w:pPr>
      <w:r>
        <w:rPr>
          <w:rFonts w:ascii="Times New Roman" w:cs="Times New Roman" w:eastAsia="Times New Roman" w:hAnsi="Times New Roman"/>
          <w:sz w:val="20"/>
          <w:szCs w:val="20"/>
          <w:color w:val="auto"/>
        </w:rPr>
        <w:t xml:space="preserve">For more information, see Note 21, </w:t>
      </w:r>
      <w:r>
        <w:rPr>
          <w:rFonts w:ascii="Times New Roman" w:cs="Times New Roman" w:eastAsia="Times New Roman" w:hAnsi="Times New Roman"/>
          <w:sz w:val="20"/>
          <w:szCs w:val="20"/>
          <w:i w:val="1"/>
          <w:iCs w:val="1"/>
          <w:color w:val="auto"/>
        </w:rPr>
        <w:t>“Acquisition of Assets”</w:t>
      </w:r>
      <w:r>
        <w:rPr>
          <w:rFonts w:ascii="Times New Roman" w:cs="Times New Roman" w:eastAsia="Times New Roman" w:hAnsi="Times New Roman"/>
          <w:sz w:val="20"/>
          <w:szCs w:val="20"/>
          <w:color w:val="auto"/>
        </w:rPr>
        <w:t xml:space="preserve"> to our consolidated financial statements included in Part II, Item 8, </w:t>
      </w:r>
      <w:r>
        <w:rPr>
          <w:rFonts w:ascii="Times New Roman" w:cs="Times New Roman" w:eastAsia="Times New Roman" w:hAnsi="Times New Roman"/>
          <w:sz w:val="20"/>
          <w:szCs w:val="20"/>
          <w:i w:val="1"/>
          <w:iCs w:val="1"/>
          <w:color w:val="auto"/>
        </w:rPr>
        <w:t xml:space="preserve">“Financial Statements and Supplementary Data” </w:t>
      </w:r>
      <w:r>
        <w:rPr>
          <w:rFonts w:ascii="Times New Roman" w:cs="Times New Roman" w:eastAsia="Times New Roman" w:hAnsi="Times New Roman"/>
          <w:sz w:val="20"/>
          <w:szCs w:val="20"/>
          <w:color w:val="auto"/>
        </w:rPr>
        <w:t>of this Form 10-K.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Notable Transactions</w:t>
      </w:r>
    </w:p>
    <w:p>
      <w:pPr>
        <w:spacing w:after="0" w:line="2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Prior to 2024, we executed on some additional transactions that are notable to our business, including the following:</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Exclusive License for PNT2002 &amp; PNT 2003</w:t>
      </w:r>
    </w:p>
    <w:p>
      <w:pPr>
        <w:spacing w:after="0" w:line="131" w:lineRule="exact"/>
        <w:rPr>
          <w:sz w:val="20"/>
          <w:szCs w:val="20"/>
          <w:color w:val="auto"/>
        </w:rPr>
      </w:pPr>
    </w:p>
    <w:p>
      <w:pPr>
        <w:ind w:right="100" w:firstLine="441"/>
        <w:spacing w:after="0" w:line="278" w:lineRule="auto"/>
        <w:rPr>
          <w:sz w:val="20"/>
          <w:szCs w:val="20"/>
          <w:color w:val="auto"/>
        </w:rPr>
      </w:pPr>
      <w:r>
        <w:rPr>
          <w:rFonts w:ascii="Times New Roman" w:cs="Times New Roman" w:eastAsia="Times New Roman" w:hAnsi="Times New Roman"/>
          <w:sz w:val="19"/>
          <w:szCs w:val="19"/>
          <w:color w:val="auto"/>
        </w:rPr>
        <w:t>On December 20, 2022, we announced the closing of a set of strategic collaborations with POINT Biopharma Global Inc. (“POINT”), in which we were granted a license to exclusive worldwide rights (excluding Japan, South Korea, China (including Hong Kong, Macau and Taiwan), Singapore, and Indonesia) to co-develop and commercialize POINT’s PNT2002 and PNT2003 product</w:t>
      </w:r>
    </w:p>
    <w:p>
      <w:pPr>
        <w:sectPr>
          <w:pgSz w:w="11880" w:h="15480" w:orient="portrait"/>
          <w:cols w:equalWidth="0" w:num="1">
            <w:col w:w="10580"/>
          </w:cols>
          <w:pgMar w:left="640" w:top="849" w:right="660" w:bottom="0" w:gutter="0" w:footer="0" w:header="0"/>
        </w:sect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ectPr>
          <w:pgSz w:w="11880" w:h="15480" w:orient="portrait"/>
          <w:cols w:equalWidth="0" w:num="1">
            <w:col w:w="10580"/>
          </w:cols>
          <w:pgMar w:left="640" w:top="849" w:right="660" w:bottom="0" w:gutter="0" w:footer="0" w:header="0"/>
          <w:type w:val="continuous"/>
        </w:sectPr>
      </w:pPr>
    </w:p>
    <w:bookmarkStart w:id="11" w:name="page12"/>
    <w:bookmarkEnd w:id="11"/>
    <w:p>
      <w:pPr>
        <w:jc w:val="both"/>
        <w:ind w:right="380"/>
        <w:spacing w:after="0" w:line="258" w:lineRule="auto"/>
        <w:rPr>
          <w:sz w:val="20"/>
          <w:szCs w:val="20"/>
          <w:color w:val="auto"/>
        </w:rPr>
      </w:pPr>
      <w:r>
        <w:rPr>
          <w:rFonts w:ascii="Times New Roman" w:cs="Times New Roman" w:eastAsia="Times New Roman" w:hAnsi="Times New Roman"/>
          <w:sz w:val="20"/>
          <w:szCs w:val="20"/>
          <w:color w:val="auto"/>
        </w:rPr>
        <w:t>candidates. PNT2002 is a PSMA-targeted radiopharmaceutical therapy in development for the treatment of metastatic castration-resistant prostate cancer (“mCRPC”). PNT2003 is a somatostatin receptor (“SSTR”) therapy with non-carrier added lutetium-177, which is in registration to treat patients with SSTR-positive neuroendocrine tumors.</w:t>
      </w:r>
    </w:p>
    <w:p>
      <w:pPr>
        <w:spacing w:after="0" w:line="199" w:lineRule="exact"/>
        <w:rPr>
          <w:sz w:val="20"/>
          <w:szCs w:val="20"/>
          <w:color w:val="auto"/>
        </w:rPr>
      </w:pPr>
    </w:p>
    <w:p>
      <w:pPr>
        <w:jc w:val="both"/>
        <w:ind w:right="20" w:firstLine="441"/>
        <w:spacing w:after="0" w:line="258" w:lineRule="auto"/>
        <w:rPr>
          <w:sz w:val="20"/>
          <w:szCs w:val="20"/>
          <w:color w:val="auto"/>
        </w:rPr>
      </w:pPr>
      <w:r>
        <w:rPr>
          <w:rFonts w:ascii="Times New Roman" w:cs="Times New Roman" w:eastAsia="Times New Roman" w:hAnsi="Times New Roman"/>
          <w:sz w:val="20"/>
          <w:szCs w:val="20"/>
          <w:color w:val="auto"/>
        </w:rPr>
        <w:t>On December 27, 2023, Lilly announced the completion of its acquisition of POINT. The acquisition has not impacted the status of the license agreements related to these product candidates or the work being performed in connection with those license agreements and our collaboration with POINT.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PNT2002</w:t>
      </w:r>
    </w:p>
    <w:p>
      <w:pPr>
        <w:spacing w:after="0" w:line="131" w:lineRule="exact"/>
        <w:rPr>
          <w:sz w:val="20"/>
          <w:szCs w:val="20"/>
          <w:color w:val="auto"/>
        </w:rPr>
      </w:pPr>
    </w:p>
    <w:p>
      <w:pPr>
        <w:jc w:val="both"/>
        <w:ind w:right="540" w:firstLine="441"/>
        <w:spacing w:after="0" w:line="258" w:lineRule="auto"/>
        <w:rPr>
          <w:sz w:val="20"/>
          <w:szCs w:val="20"/>
          <w:color w:val="auto"/>
        </w:rPr>
      </w:pPr>
      <w:r>
        <w:rPr>
          <w:rFonts w:ascii="Times New Roman" w:cs="Times New Roman" w:eastAsia="Times New Roman" w:hAnsi="Times New Roman"/>
          <w:sz w:val="19"/>
          <w:szCs w:val="19"/>
          <w:color w:val="auto"/>
        </w:rPr>
        <w:t>POINT is generally responsible for funding and development activities required for FDA approval of PNT2002, including generating all clinical and nonclinical data, analysis and other information, and we are responsible for preparing for and seeking regulatory approval, as well as performing and funding all future development and commercialization following such approval.</w:t>
      </w:r>
    </w:p>
    <w:p>
      <w:pPr>
        <w:spacing w:after="0" w:line="1"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20"/>
          <w:szCs w:val="20"/>
          <w:color w:val="auto"/>
        </w:rPr>
        <w:t>POINT will be responsible for all manufacturing of PNT2002, subject to certain exceptions described in the license and collaboration agreement between the Company and POINT, dated November 11, 2022 (the “PNT2002 License Agreement”).</w:t>
      </w:r>
    </w:p>
    <w:p>
      <w:pPr>
        <w:spacing w:after="0" w:line="186"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9"/>
          <w:szCs w:val="19"/>
          <w:color w:val="auto"/>
        </w:rPr>
        <w:t>The Phase 3 registrational clinical trial for PNT2002 (“SPLASH”) was designed to evaluate the efficacy and safety of PNT2002 in patients with mCRPC who have progressed following treatment with an androgen receptor pathway inhibitor (“ARPI”). On December 18, 2023, we announced that the SPLASH trial met its primary endpoint, demonstrating a median radiographic progression-free survival (“rPFS”) per blinded independent central review of 9.5 months for patients treated with PNT2002, compared to 6 months for patients treated with ARPI in the control arm, a statistically significant 29% reduction in the risk of radiographic progression or death (hazard ratio (“HR”) 0.71; p=0.0088). At the time of the analysis, interim overall survival (“OS”) results were immature (46% of protocol pre-specified target OS events reached), and the HR was 1.11. On September 15, 2024, we presented additional clinical data from initial topline results of SPLASH during the European Society of Medical Oncology Congress 2024. On November 6, 2024, we announced that the second interim analysis performed at 75% of protocol pre-specified overall survival events demonstrated results for both rPFS and OS that did not materially change from the interim analysis that was performed at 46% of pre-specified events. The OS results and HR in the intent-to-treat population remain confounded by the overwhelming number of patients who crossed over to receive PNT2002. Crossover adjusted analyses were post-hoc, and we are continuing to review the data and perform additional subset analyses in collaboration with our partner in preparation for further interactions on our path forward.</w:t>
      </w:r>
    </w:p>
    <w:p>
      <w:pPr>
        <w:spacing w:after="0" w:line="204" w:lineRule="exact"/>
        <w:rPr>
          <w:sz w:val="20"/>
          <w:szCs w:val="20"/>
          <w:color w:val="auto"/>
        </w:rPr>
      </w:pPr>
    </w:p>
    <w:p>
      <w:pPr>
        <w:ind w:right="300" w:firstLine="441"/>
        <w:spacing w:after="0" w:line="254" w:lineRule="auto"/>
        <w:rPr>
          <w:sz w:val="20"/>
          <w:szCs w:val="20"/>
          <w:color w:val="auto"/>
        </w:rPr>
      </w:pPr>
      <w:r>
        <w:rPr>
          <w:rFonts w:ascii="Times New Roman" w:cs="Times New Roman" w:eastAsia="Times New Roman" w:hAnsi="Times New Roman"/>
          <w:sz w:val="20"/>
          <w:szCs w:val="20"/>
          <w:color w:val="auto"/>
        </w:rPr>
        <w:t>PNT2002 demonstrated a favorable safety profile compared to patients treated with ARPI in the control arm. Only 3.0% of patients treated with PNT2002 halted or reduced therapy as a result of treatment-emergent adverse events (“TEAEs”), compared to 11.5% of patients treated with ARPI, and 17.1% of PNT2002 patients experienced serious TEAEs compared to 23.1% of ARPI patients.</w:t>
      </w:r>
    </w:p>
    <w:p>
      <w:pPr>
        <w:spacing w:after="0" w:line="202" w:lineRule="exact"/>
        <w:rPr>
          <w:sz w:val="20"/>
          <w:szCs w:val="20"/>
          <w:color w:val="auto"/>
        </w:rPr>
      </w:pPr>
    </w:p>
    <w:p>
      <w:pPr>
        <w:ind w:right="40" w:firstLine="441"/>
        <w:spacing w:after="0" w:line="252" w:lineRule="auto"/>
        <w:rPr>
          <w:sz w:val="20"/>
          <w:szCs w:val="20"/>
          <w:color w:val="auto"/>
        </w:rPr>
      </w:pPr>
      <w:r>
        <w:rPr>
          <w:rFonts w:ascii="Times New Roman" w:cs="Times New Roman" w:eastAsia="Times New Roman" w:hAnsi="Times New Roman"/>
          <w:sz w:val="20"/>
          <w:szCs w:val="20"/>
          <w:color w:val="auto"/>
        </w:rPr>
        <w:t>The open-label study randomized 412 patients with PSMA-expressing mCRPC who had progressed on ARPI therapy and either refused or were not eligible for chemotherapy, in a 2:1 randomization ratio. At the time of the first interim analysis, 84.6% of patients who experienced progressive disease in the control arm subsequently crossed over to receive PNT2002. SPLASH was conducted across the United States, Canada, Europe, and the United Kingdom. Eighty percent of SPLASH patients resided in North America and approximately ten percent of all participants were Black or African American.</w:t>
      </w:r>
    </w:p>
    <w:p>
      <w:pPr>
        <w:spacing w:after="0" w:line="204" w:lineRule="exact"/>
        <w:rPr>
          <w:sz w:val="20"/>
          <w:szCs w:val="20"/>
          <w:color w:val="auto"/>
        </w:rPr>
      </w:pPr>
    </w:p>
    <w:p>
      <w:pPr>
        <w:ind w:right="80" w:firstLine="441"/>
        <w:spacing w:after="0" w:line="271" w:lineRule="auto"/>
        <w:rPr>
          <w:sz w:val="20"/>
          <w:szCs w:val="20"/>
          <w:color w:val="auto"/>
        </w:rPr>
      </w:pPr>
      <w:r>
        <w:rPr>
          <w:rFonts w:ascii="Times New Roman" w:cs="Times New Roman" w:eastAsia="Times New Roman" w:hAnsi="Times New Roman"/>
          <w:sz w:val="20"/>
          <w:szCs w:val="20"/>
          <w:color w:val="auto"/>
        </w:rPr>
        <w:t>In June 2024, Endocyte, Novartis and Purdue Research Foundation sued POINT and Lilly alleging that POINT’s manufacturing and sale of PNT2002 infringes an Endocyte patent.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PNT2003</w:t>
      </w:r>
    </w:p>
    <w:p>
      <w:pPr>
        <w:spacing w:after="0" w:line="131" w:lineRule="exact"/>
        <w:rPr>
          <w:sz w:val="20"/>
          <w:szCs w:val="20"/>
          <w:color w:val="auto"/>
        </w:rPr>
      </w:pPr>
    </w:p>
    <w:p>
      <w:pPr>
        <w:ind w:firstLine="441"/>
        <w:spacing w:after="0" w:line="268" w:lineRule="auto"/>
        <w:rPr>
          <w:sz w:val="20"/>
          <w:szCs w:val="20"/>
          <w:color w:val="auto"/>
        </w:rPr>
      </w:pPr>
      <w:r>
        <w:rPr>
          <w:rFonts w:ascii="Times New Roman" w:cs="Times New Roman" w:eastAsia="Times New Roman" w:hAnsi="Times New Roman"/>
          <w:sz w:val="19"/>
          <w:szCs w:val="19"/>
          <w:color w:val="auto"/>
        </w:rPr>
        <w:t>POINT is responsible for curating all data, analysis and other information necessary for regulatory approval, and supporting us in the preparation of regulatory filings for PNT2003. We are responsible for preparing for and seeking regulatory approval of all such applications, as well as performing and funding all future development and commercialization following such approval. POINT will be responsible for all manufacturing of PNT2003, subject to certain exceptions described in the license and collaboration agreement between our subsidiary, Lantheus Three and POINT, dated November 11, 2022 (the “PNT2003 License Agreement”).</w:t>
      </w:r>
    </w:p>
    <w:p>
      <w:pPr>
        <w:spacing w:after="0" w:line="191" w:lineRule="exact"/>
        <w:rPr>
          <w:sz w:val="20"/>
          <w:szCs w:val="20"/>
          <w:color w:val="auto"/>
        </w:rPr>
      </w:pPr>
    </w:p>
    <w:p>
      <w:pPr>
        <w:ind w:firstLine="441"/>
        <w:spacing w:after="0" w:line="263" w:lineRule="auto"/>
        <w:rPr>
          <w:sz w:val="20"/>
          <w:szCs w:val="20"/>
          <w:color w:val="auto"/>
        </w:rPr>
      </w:pPr>
      <w:r>
        <w:rPr>
          <w:rFonts w:ascii="Times New Roman" w:cs="Times New Roman" w:eastAsia="Times New Roman" w:hAnsi="Times New Roman"/>
          <w:sz w:val="19"/>
          <w:szCs w:val="19"/>
          <w:color w:val="auto"/>
        </w:rPr>
        <w:t>On January 11, 2024, we announced that our Abbreviated New Drug Application (“ANDA”) for PNT2003 had been accepted for filing by the FDA. On January 26, 2024, we were sued in the District Court for the District of Delaware by Advanced Accelerator Applications USA, Inc. and Advanced Accelerator Applications SA, each a Novartis entity, for patent infringement in response to our ANDA filing and Paragraph IV certification, consistent with the process established by the Hatch-Waxman Act. Under the terms of the Hatch-Waxman Act, full FDA approval of our ANDA filing could be subject to a stay of up to 30 months. If our filing is stayed for the full 30-month period and we are successful in obtaining FDA approval, we would expect to launch PNT2003 in 2026, although there can be no assurance of that approval or timing. Based on the most recent update to the FDA’s online Paragraph IV database listings, we believe we are the first applicant to have filed a substantially complete ANDA for lutetium Lu 177 dotatate containing a Paragraph IV certification under the provisions of the Hatch-Waxman Act. As the first applicant, if our ANDA is approved, we</w:t>
      </w:r>
    </w:p>
    <w:p>
      <w:pPr>
        <w:sectPr>
          <w:pgSz w:w="11880" w:h="15480" w:orient="portrait"/>
          <w:cols w:equalWidth="0" w:num="1">
            <w:col w:w="10580"/>
          </w:cols>
          <w:pgMar w:left="640" w:top="622" w:right="660" w:bottom="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ectPr>
          <w:pgSz w:w="11880" w:h="15480" w:orient="portrait"/>
          <w:cols w:equalWidth="0" w:num="1">
            <w:col w:w="10580"/>
          </w:cols>
          <w:pgMar w:left="640" w:top="622" w:right="660" w:bottom="0" w:gutter="0" w:footer="0" w:header="0"/>
          <w:type w:val="continuous"/>
        </w:sectPr>
      </w:pPr>
    </w:p>
    <w:bookmarkStart w:id="12" w:name="page13"/>
    <w:bookmarkEnd w:id="12"/>
    <w:p>
      <w:pPr>
        <w:ind w:right="160"/>
        <w:spacing w:after="0" w:line="252" w:lineRule="auto"/>
        <w:rPr>
          <w:sz w:val="20"/>
          <w:szCs w:val="20"/>
          <w:color w:val="auto"/>
        </w:rPr>
      </w:pPr>
      <w:r>
        <w:rPr>
          <w:rFonts w:ascii="Times New Roman" w:cs="Times New Roman" w:eastAsia="Times New Roman" w:hAnsi="Times New Roman"/>
          <w:sz w:val="20"/>
          <w:szCs w:val="20"/>
          <w:color w:val="auto"/>
        </w:rPr>
        <w:t>believe we will be eligible for 180 days of generic marketing exclusivity in the U.S. Upon approval, we believe PNT2003 will be the first radioequivalent to lutetium Lu 177 dotatate, which is indicated for the treatment of somatostatin receptor-positive gastroenteropancreatic neuroendocrine tumors (“GEP-NETs”), including foregut, midgut, and hindgut neuroendocrine tumors. We define radioequivalent as a radiopharmaceutical whose mechanism of action is determined to be equivalent to that of the reference product by the FDA, or a similar regulator outside the United States.</w:t>
      </w:r>
    </w:p>
    <w:p>
      <w:pPr>
        <w:spacing w:after="0" w:line="83" w:lineRule="exact"/>
        <w:rPr>
          <w:sz w:val="20"/>
          <w:szCs w:val="20"/>
          <w:color w:val="auto"/>
        </w:rPr>
      </w:pPr>
    </w:p>
    <w:p>
      <w:pPr>
        <w:ind w:right="180" w:firstLine="441"/>
        <w:spacing w:after="0" w:line="275" w:lineRule="auto"/>
        <w:rPr>
          <w:sz w:val="20"/>
          <w:szCs w:val="20"/>
          <w:color w:val="auto"/>
        </w:rPr>
      </w:pPr>
      <w:r>
        <w:rPr>
          <w:rFonts w:ascii="Times New Roman" w:cs="Times New Roman" w:eastAsia="Times New Roman" w:hAnsi="Times New Roman"/>
          <w:sz w:val="20"/>
          <w:szCs w:val="20"/>
          <w:color w:val="auto"/>
        </w:rPr>
        <w:t xml:space="preserve">For more information, see Note 21, </w:t>
      </w:r>
      <w:r>
        <w:rPr>
          <w:rFonts w:ascii="Times New Roman" w:cs="Times New Roman" w:eastAsia="Times New Roman" w:hAnsi="Times New Roman"/>
          <w:sz w:val="20"/>
          <w:szCs w:val="20"/>
          <w:i w:val="1"/>
          <w:iCs w:val="1"/>
          <w:color w:val="auto"/>
        </w:rPr>
        <w:t>“Acquisition of Assets”</w:t>
      </w:r>
      <w:r>
        <w:rPr>
          <w:rFonts w:ascii="Times New Roman" w:cs="Times New Roman" w:eastAsia="Times New Roman" w:hAnsi="Times New Roman"/>
          <w:sz w:val="20"/>
          <w:szCs w:val="20"/>
          <w:color w:val="auto"/>
        </w:rPr>
        <w:t xml:space="preserve"> to our consolidated financial statements included in Part II, Item 8, </w:t>
      </w:r>
      <w:r>
        <w:rPr>
          <w:rFonts w:ascii="Times New Roman" w:cs="Times New Roman" w:eastAsia="Times New Roman" w:hAnsi="Times New Roman"/>
          <w:sz w:val="20"/>
          <w:szCs w:val="20"/>
          <w:i w:val="1"/>
          <w:iCs w:val="1"/>
          <w:color w:val="auto"/>
        </w:rPr>
        <w:t xml:space="preserve">“Financial Statements and Supplementary Data” </w:t>
      </w:r>
      <w:r>
        <w:rPr>
          <w:rFonts w:ascii="Times New Roman" w:cs="Times New Roman" w:eastAsia="Times New Roman" w:hAnsi="Times New Roman"/>
          <w:sz w:val="20"/>
          <w:szCs w:val="20"/>
          <w:color w:val="auto"/>
        </w:rPr>
        <w:t>of this Form 10-K.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Portfolio of Commercial Products and Other Sources of Revenue</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u w:val="single" w:color="auto"/>
          <w:color w:val="auto"/>
        </w:rPr>
        <w:t>Radiopharmaceutical Oncology</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Our commercial product in our Radiopharmaceutical Oncology category includes the following:</w:t>
      </w:r>
    </w:p>
    <w:p>
      <w:pPr>
        <w:spacing w:after="0" w:line="123" w:lineRule="exact"/>
        <w:rPr>
          <w:sz w:val="20"/>
          <w:szCs w:val="20"/>
          <w:color w:val="auto"/>
        </w:rPr>
      </w:pPr>
    </w:p>
    <w:p>
      <w:pPr>
        <w:ind w:left="1060" w:right="200" w:hanging="346"/>
        <w:spacing w:after="0" w:line="252" w:lineRule="auto"/>
        <w:tabs>
          <w:tab w:leader="none" w:pos="10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PYLARIFY (also known as piflufolastat F-18, 18F-DCFPyL or PyL) is an F-18-labelled PSMA-targeted PET imaging agent used with PET/computed tomography (“CT”). PYLARIFY is indicated in the U.S. for PET imaging of PSMA-positive lesions in men with prostate cancer with suspected metastasis who are candidates for initial definitive therapy and in men with suspected recurrence based on elevated serum prostate-specific antigen (“PSA”) levels. Piflufolastat F-18 is approved under the name PYLCLARI in Europe and licensed by us to Curium.</w:t>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u w:val="single" w:color="auto"/>
          <w:color w:val="auto"/>
        </w:rPr>
        <w:t>Precision Diagnostics</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Our commercial products in our Precision Diagnostics category include the following:</w:t>
      </w:r>
    </w:p>
    <w:p>
      <w:pPr>
        <w:spacing w:after="0" w:line="123" w:lineRule="exact"/>
        <w:rPr>
          <w:sz w:val="20"/>
          <w:szCs w:val="20"/>
          <w:color w:val="auto"/>
        </w:rPr>
      </w:pPr>
    </w:p>
    <w:p>
      <w:pPr>
        <w:ind w:left="1060" w:right="140" w:hanging="346"/>
        <w:spacing w:after="0" w:line="250" w:lineRule="auto"/>
        <w:tabs>
          <w:tab w:leader="none" w:pos="10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DEFINITY is an injectable ultrasound enhancing agent with perflutren-containing lipid microspheres, or microbubbles, that is used in echocardiography exams. The indication for DEFINITY in the U.S. is for use in adult and pediatric patients with suboptimal echocardiograms to opacify the left ventricular chamber and to improve the delineation of the left ventricular endocardial border. We believe we are currently the most utilized worldwide provider of ultrasound enhancing agents for use in echocardiography. DEFINITY is approved under the name LUMINITY in Europe and sold through third-party distribution relationships.</w:t>
      </w:r>
    </w:p>
    <w:p>
      <w:pPr>
        <w:spacing w:after="0" w:line="91" w:lineRule="exact"/>
        <w:rPr>
          <w:rFonts w:ascii="Times New Roman" w:cs="Times New Roman" w:eastAsia="Times New Roman" w:hAnsi="Times New Roman"/>
          <w:sz w:val="20"/>
          <w:szCs w:val="20"/>
          <w:color w:val="auto"/>
        </w:rPr>
      </w:pPr>
    </w:p>
    <w:p>
      <w:pPr>
        <w:ind w:left="1060" w:right="180" w:hanging="346"/>
        <w:spacing w:after="0" w:line="258" w:lineRule="auto"/>
        <w:tabs>
          <w:tab w:leader="none" w:pos="10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TechneLite is a Technetium (“Tc-99m”) generator that provides the essential nuclear material used by radiopharmacies to radiolabel NEUROLITE, CARDIOLITE and other Tc-99m-based radiopharmaceuticals used in nuclear medicine procedures. TechneLite uses Molybdenum-99 (“Mo-99”) as its active ingredient.</w:t>
      </w:r>
    </w:p>
    <w:p>
      <w:pPr>
        <w:spacing w:after="0" w:line="81" w:lineRule="exact"/>
        <w:rPr>
          <w:rFonts w:ascii="Times New Roman" w:cs="Times New Roman" w:eastAsia="Times New Roman" w:hAnsi="Times New Roman"/>
          <w:sz w:val="20"/>
          <w:szCs w:val="20"/>
          <w:color w:val="auto"/>
        </w:rPr>
      </w:pPr>
    </w:p>
    <w:p>
      <w:pPr>
        <w:ind w:left="1060" w:right="80" w:hanging="346"/>
        <w:spacing w:after="0" w:line="298" w:lineRule="auto"/>
        <w:tabs>
          <w:tab w:leader="none" w:pos="106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NEUROLITE is an injectable, Tc-99m-labeled imaging agent used with single-photon emission computed tomography (“SPECT”) technology to identify the area within the brain where blood flow has been blocked or reduced due to stroke.</w:t>
      </w:r>
    </w:p>
    <w:p>
      <w:pPr>
        <w:spacing w:after="0" w:line="45" w:lineRule="exact"/>
        <w:rPr>
          <w:rFonts w:ascii="Times New Roman" w:cs="Times New Roman" w:eastAsia="Times New Roman" w:hAnsi="Times New Roman"/>
          <w:sz w:val="19"/>
          <w:szCs w:val="19"/>
          <w:color w:val="auto"/>
        </w:rPr>
      </w:pPr>
    </w:p>
    <w:p>
      <w:pPr>
        <w:ind w:left="1060" w:right="40" w:hanging="346"/>
        <w:spacing w:after="0" w:line="258" w:lineRule="auto"/>
        <w:tabs>
          <w:tab w:leader="none" w:pos="10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Xenon-133 (“Xenon”) is a radiopharmaceutical gas that is inhaled and used to assess pulmonary function and also to image cerebral blood flow. Xenon is manufactured by a third party as a bi-product of Mo-99 production and is processed and finished by us.</w:t>
      </w:r>
    </w:p>
    <w:p>
      <w:pPr>
        <w:spacing w:after="0" w:line="81" w:lineRule="exact"/>
        <w:rPr>
          <w:rFonts w:ascii="Times New Roman" w:cs="Times New Roman" w:eastAsia="Times New Roman" w:hAnsi="Times New Roman"/>
          <w:sz w:val="20"/>
          <w:szCs w:val="20"/>
          <w:color w:val="auto"/>
        </w:rPr>
      </w:pPr>
    </w:p>
    <w:p>
      <w:pPr>
        <w:ind w:left="1060" w:right="580" w:hanging="346"/>
        <w:spacing w:after="0" w:line="258" w:lineRule="auto"/>
        <w:tabs>
          <w:tab w:leader="none" w:pos="10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CARDIOLITE, also known by its generic name sestamibi, is an injectable, Tc-99m-labeled imaging agent used in myocardial perfusion imaging (“MPI”) procedures to assess blood flow to the muscle of the heart using SPECT. Included in CARDIOLITE revenues are branded CARDIOLITE and generic sestamibi revenues.</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u w:val="single" w:color="auto"/>
          <w:color w:val="auto"/>
        </w:rPr>
        <w:t>Strategic Partnerships and Other Revenue</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Our commercial products in our Strategic Partnerships and Other Revenue product category include the following:</w:t>
      </w:r>
    </w:p>
    <w:p>
      <w:pPr>
        <w:spacing w:after="0" w:line="123" w:lineRule="exact"/>
        <w:rPr>
          <w:sz w:val="20"/>
          <w:szCs w:val="20"/>
          <w:color w:val="auto"/>
        </w:rPr>
      </w:pPr>
    </w:p>
    <w:p>
      <w:pPr>
        <w:ind w:left="1060" w:right="300" w:hanging="346"/>
        <w:spacing w:after="0" w:line="258" w:lineRule="auto"/>
        <w:tabs>
          <w:tab w:leader="none" w:pos="10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Automated Bone Scan Index (“aBSI”) automatically calculates the disease burden of prostate cancer by detecting and classifying bone scan tracer uptakes as metastatic or benign lesions using an artificial neural network. aBSI is FDA cleared and received a European Conformity Marking (“CE mark”).</w:t>
      </w:r>
    </w:p>
    <w:p>
      <w:pPr>
        <w:spacing w:after="0" w:line="81" w:lineRule="exact"/>
        <w:rPr>
          <w:rFonts w:ascii="Times New Roman" w:cs="Times New Roman" w:eastAsia="Times New Roman" w:hAnsi="Times New Roman"/>
          <w:sz w:val="20"/>
          <w:szCs w:val="20"/>
          <w:color w:val="auto"/>
        </w:rPr>
      </w:pPr>
    </w:p>
    <w:p>
      <w:pPr>
        <w:ind w:left="1060" w:hanging="346"/>
        <w:spacing w:after="0" w:line="258" w:lineRule="auto"/>
        <w:tabs>
          <w:tab w:leader="none" w:pos="10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aPROMISE, or PYLARIFY AI, is artificial intelligence medical device software that is designed to allow HCPs and researchers to perform standardized quantitative assessment of PSMA PET/CT images in prostate cancer, including those images obtained by using PYLARIFY.</w:t>
      </w:r>
    </w:p>
    <w:p>
      <w:pPr>
        <w:spacing w:after="0" w:line="82" w:lineRule="exact"/>
        <w:rPr>
          <w:sz w:val="20"/>
          <w:szCs w:val="20"/>
          <w:color w:val="auto"/>
        </w:rPr>
      </w:pPr>
    </w:p>
    <w:p>
      <w:pPr>
        <w:ind w:right="20" w:firstLine="353"/>
        <w:spacing w:after="0" w:line="263" w:lineRule="auto"/>
        <w:rPr>
          <w:sz w:val="20"/>
          <w:szCs w:val="20"/>
          <w:color w:val="auto"/>
        </w:rPr>
      </w:pPr>
      <w:r>
        <w:rPr>
          <w:rFonts w:ascii="Times New Roman" w:cs="Times New Roman" w:eastAsia="Times New Roman" w:hAnsi="Times New Roman"/>
          <w:sz w:val="19"/>
          <w:szCs w:val="19"/>
          <w:color w:val="auto"/>
        </w:rPr>
        <w:t>Our Strategic Partnerships and Other Revenue, also includes revenue derived from partnerships with pharmaceutical companies and academic institutions that use our investigational products, such as MK-6240 and NAV-4694, in clinical trials as research tools, as well as royalties and other milestone payments received from our strategic partners that have commercialized products pursuant to license arrangements with us. For example, flurpiridaz is an F-18-based PET MPI agent that we previously licensed to GE Healthcare Limited (“GE Healthcare”). Flurpiridaz was approved by the FDA in 2024 under the name Flyrcado for PET MPI under rest or stress (pharmacologic or exercise) in adult patients with known or suspected coronary artery disease (“CAD”) to evaluate for myocardial ischemia and infarction. Similarly, RELISTOR (methylnaltrexone bromide) is a treatment for opioid-induced constipation that decreases the constipating side effects induced by opioid pain medications such as morphine and codeine without diminishing their ability to relieve pain. RELISTOR is approved in two forms: a subcutaneous injection and an oral tablet. In 2011 Progenics licensed</w:t>
      </w:r>
    </w:p>
    <w:p>
      <w:pPr>
        <w:sectPr>
          <w:pgSz w:w="11880" w:h="15480" w:orient="portrait"/>
          <w:cols w:equalWidth="0" w:num="1">
            <w:col w:w="10580"/>
          </w:cols>
          <w:pgMar w:left="640" w:top="622" w:right="660" w:bottom="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ectPr>
          <w:pgSz w:w="11880" w:h="15480" w:orient="portrait"/>
          <w:cols w:equalWidth="0" w:num="1">
            <w:col w:w="10580"/>
          </w:cols>
          <w:pgMar w:left="640" w:top="622" w:right="660" w:bottom="0" w:gutter="0" w:footer="0" w:header="0"/>
          <w:type w:val="continuous"/>
        </w:sectPr>
      </w:pPr>
    </w:p>
    <w:bookmarkStart w:id="13" w:name="page14"/>
    <w:bookmarkEnd w:id="13"/>
    <w:p>
      <w:pPr>
        <w:ind w:right="280"/>
        <w:spacing w:after="0" w:line="258" w:lineRule="auto"/>
        <w:rPr>
          <w:sz w:val="20"/>
          <w:szCs w:val="20"/>
          <w:color w:val="auto"/>
        </w:rPr>
      </w:pPr>
      <w:r>
        <w:rPr>
          <w:rFonts w:ascii="Times New Roman" w:cs="Times New Roman" w:eastAsia="Times New Roman" w:hAnsi="Times New Roman"/>
          <w:sz w:val="20"/>
          <w:szCs w:val="20"/>
          <w:color w:val="auto"/>
        </w:rPr>
        <w:t>methylnaltrexone (“MNTX”) along with products containing MNTX, including both approved forms of RELISTOR, to Salix Pharmaceuticals, Inc., a Bausch Health Companies, Inc. (“Bausch”) and on August 2, 2023, we sold the right to the RELISTOR net sales royalties under that license agreement and retained the rights to future sales-based milestone payments.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Additional Information about our Product Categories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Radiopharmaceutical Oncology</w:t>
      </w:r>
    </w:p>
    <w:p>
      <w:pPr>
        <w:spacing w:after="0" w:line="247" w:lineRule="exact"/>
        <w:rPr>
          <w:sz w:val="20"/>
          <w:szCs w:val="20"/>
          <w:color w:val="auto"/>
        </w:rPr>
      </w:pPr>
    </w:p>
    <w:p>
      <w:pPr>
        <w:ind w:right="140" w:firstLine="441"/>
        <w:spacing w:after="0" w:line="252" w:lineRule="auto"/>
        <w:rPr>
          <w:sz w:val="20"/>
          <w:szCs w:val="20"/>
          <w:color w:val="auto"/>
        </w:rPr>
      </w:pPr>
      <w:r>
        <w:rPr>
          <w:rFonts w:ascii="Times New Roman" w:cs="Times New Roman" w:eastAsia="Times New Roman" w:hAnsi="Times New Roman"/>
          <w:sz w:val="20"/>
          <w:szCs w:val="20"/>
          <w:color w:val="auto"/>
        </w:rPr>
        <w:t>PYLARIFY is the most utilized radiopharmaceutical diagnostic agent indicated for PET imaging of PSMA-positive lesions in patients with prostate cancer with suspected metastasis who are candidates for initial definitive therapy and in patients with suspected recurrence based on elevated PSA levels. PYLARIFY works by binding to PSMA, a protein that is overexpressed on the surface of more than 90% of primary and metastatic prostate cancer cells. PYLARIFY works with PET/CT technology to produce a combined scan that enables the scan reader to detect and locate the disease.</w:t>
      </w:r>
    </w:p>
    <w:p>
      <w:pPr>
        <w:spacing w:after="0" w:line="204" w:lineRule="exact"/>
        <w:rPr>
          <w:sz w:val="20"/>
          <w:szCs w:val="20"/>
          <w:color w:val="auto"/>
        </w:rPr>
      </w:pPr>
    </w:p>
    <w:p>
      <w:pPr>
        <w:ind w:right="20" w:firstLine="441"/>
        <w:spacing w:after="0" w:line="252" w:lineRule="auto"/>
        <w:rPr>
          <w:sz w:val="20"/>
          <w:szCs w:val="20"/>
          <w:color w:val="auto"/>
        </w:rPr>
      </w:pPr>
      <w:r>
        <w:rPr>
          <w:rFonts w:ascii="Times New Roman" w:cs="Times New Roman" w:eastAsia="Times New Roman" w:hAnsi="Times New Roman"/>
          <w:sz w:val="20"/>
          <w:szCs w:val="20"/>
          <w:color w:val="auto"/>
        </w:rPr>
        <w:t>According to the American Cancer Society, prostate cancer is the second most common cancer in American men - one in eight American men will be diagnosed with prostate cancer in their lifetimes and over 3.3 million American men are living with prostate cancer today. Based on estimates from third-party sources regarding the incidence of prostate cancer in men in the U.S., we believe the current market potential for PSMA PET imaging agents in the U.S. for 2025 could be about 525,000 scans, and the total addressable market by 2030 could be approximately 750,000 annual scans.</w:t>
      </w:r>
    </w:p>
    <w:p>
      <w:pPr>
        <w:spacing w:after="0" w:line="204" w:lineRule="exact"/>
        <w:rPr>
          <w:sz w:val="20"/>
          <w:szCs w:val="20"/>
          <w:color w:val="auto"/>
        </w:rPr>
      </w:pPr>
    </w:p>
    <w:p>
      <w:pPr>
        <w:ind w:firstLine="441"/>
        <w:spacing w:after="0" w:line="249" w:lineRule="auto"/>
        <w:rPr>
          <w:sz w:val="20"/>
          <w:szCs w:val="20"/>
          <w:color w:val="auto"/>
        </w:rPr>
      </w:pPr>
      <w:r>
        <w:rPr>
          <w:rFonts w:ascii="Times New Roman" w:cs="Times New Roman" w:eastAsia="Times New Roman" w:hAnsi="Times New Roman"/>
          <w:sz w:val="20"/>
          <w:szCs w:val="20"/>
          <w:color w:val="auto"/>
        </w:rPr>
        <w:t>PYLARIFY is manufactured on a diverse, F-18 distributor supply network of PMFs, ensuring convenient and reliable supply. After being made on a cyclotron at a PMF, the F-18 is then combined with certain chemical ingredients in specially designed chemistry synthesis boxes to manufacture PYLARIFY. The finished PYLARIFY is then quality control tested and transferred to a radiopharmacist who prepares and dispenses patient-specific doses of the final product. Because each PMF manufacturing PYLARIFY is deemed by the FDA to be a separate manufacturing site, each is separately approved by the FDA. As of December 31, 2024, we had activated a total of 62 PMF manufacturing sites in our PMF network, up from 54 activated sites as of December 31, 2023. These additional sites provide geographic breadth, out-the-door time flexibility and added optionality. Overall, we have achieved broad national distribution of PYLARIFY with customers in 48 of 50 states, the District of Columbia and Puerto Rico.</w:t>
      </w:r>
    </w:p>
    <w:p>
      <w:pPr>
        <w:spacing w:after="0" w:line="208" w:lineRule="exact"/>
        <w:rPr>
          <w:sz w:val="20"/>
          <w:szCs w:val="20"/>
          <w:color w:val="auto"/>
        </w:rPr>
      </w:pPr>
    </w:p>
    <w:p>
      <w:pPr>
        <w:ind w:right="60" w:firstLine="441"/>
        <w:spacing w:after="0" w:line="252" w:lineRule="auto"/>
        <w:rPr>
          <w:sz w:val="20"/>
          <w:szCs w:val="20"/>
          <w:color w:val="auto"/>
        </w:rPr>
      </w:pPr>
      <w:r>
        <w:rPr>
          <w:rFonts w:ascii="Times New Roman" w:cs="Times New Roman" w:eastAsia="Times New Roman" w:hAnsi="Times New Roman"/>
          <w:sz w:val="20"/>
          <w:szCs w:val="20"/>
          <w:color w:val="auto"/>
        </w:rPr>
        <w:t>In addition to our network of commercial PMFs, we also work with academic medical centers in the U.S. that have radioisotope-producing cyclotrons and that have expressed an interest in manufacturing PYLARIFY. For this initiative, we enter into a fee-for-service arrangement under which the academic medical center manufactures F-18 on its cyclotron and completes the manufacturing process for PYLARIFY. PYLARIFY can then be used by the academic medical center itself, and in some cases distributed to other customers under separate purchase agreements.</w:t>
      </w:r>
    </w:p>
    <w:p>
      <w:pPr>
        <w:spacing w:after="0" w:line="204" w:lineRule="exact"/>
        <w:rPr>
          <w:sz w:val="20"/>
          <w:szCs w:val="20"/>
          <w:color w:val="auto"/>
        </w:rPr>
      </w:pPr>
    </w:p>
    <w:p>
      <w:pPr>
        <w:ind w:right="60" w:firstLine="441"/>
        <w:spacing w:after="0" w:line="252" w:lineRule="auto"/>
        <w:rPr>
          <w:sz w:val="20"/>
          <w:szCs w:val="20"/>
          <w:color w:val="auto"/>
        </w:rPr>
      </w:pPr>
      <w:r>
        <w:rPr>
          <w:rFonts w:ascii="Times New Roman" w:cs="Times New Roman" w:eastAsia="Times New Roman" w:hAnsi="Times New Roman"/>
          <w:sz w:val="20"/>
          <w:szCs w:val="20"/>
          <w:color w:val="auto"/>
        </w:rPr>
        <w:t>Our Healthcare Procedure Coding System code, which enables streamlined billing, went into effect as of January 1, 2022. In addition, effective January 1, 2022, the Centers for Medicare and Medicaid Services (“CMS”) granted transitional pass-through payment status (“TPT Status”) in the hospital outpatient setting for PYLARIFY, enabling traditional Medicare fee-for-service (“FFS”) to provide separate payment for PYLARIFY in addition to the payment for the PET/CT procedure in that setting. TPT Status for PYLARIFY expired on December 31, 2024.</w:t>
      </w:r>
    </w:p>
    <w:p>
      <w:pPr>
        <w:spacing w:after="0" w:line="204" w:lineRule="exact"/>
        <w:rPr>
          <w:sz w:val="20"/>
          <w:szCs w:val="20"/>
          <w:color w:val="auto"/>
        </w:rPr>
      </w:pPr>
    </w:p>
    <w:p>
      <w:pPr>
        <w:ind w:right="100" w:firstLine="441"/>
        <w:spacing w:after="0" w:line="264" w:lineRule="auto"/>
        <w:rPr>
          <w:sz w:val="20"/>
          <w:szCs w:val="20"/>
          <w:color w:val="auto"/>
        </w:rPr>
      </w:pPr>
      <w:r>
        <w:rPr>
          <w:rFonts w:ascii="Times New Roman" w:cs="Times New Roman" w:eastAsia="Times New Roman" w:hAnsi="Times New Roman"/>
          <w:sz w:val="19"/>
          <w:szCs w:val="19"/>
          <w:color w:val="auto"/>
        </w:rPr>
        <w:t>In November 2024, CMS released the final rule for its calendar year 2025 Medicare Hospital Outpatient Prospective Payment System (the “CMS 2025 OPPS Rule”), which recognizes the value and need for broad access in diagnostic radiopharmaceuticals. The rule provides separate payment for those diagnostic radiopharmaceuticals with per day costs greater than $630. Effective January 1, 2025, CMS is maintaining separate payment for PYLARIFY after the expiration of TPT Status for the approximately 20% of patients with traditional Medicare FFS insurance coverage who are treated in the hospital outpatient setting. The calendar year 2025 payment rate for PYLARIFY is listed in Addendum B of the final rule. We plan to continue working with CMS on the potential adoption of payment based on Average Sales Price (“ASP”) in the future. We have been reporting ASP since our first dose sold, helping to provide a clear path forward for CMS to potentially make payments based on ASP instead of mean unit cost (“MUC”).</w:t>
      </w:r>
    </w:p>
    <w:p>
      <w:pPr>
        <w:spacing w:after="0" w:line="194" w:lineRule="exact"/>
        <w:rPr>
          <w:sz w:val="20"/>
          <w:szCs w:val="20"/>
          <w:color w:val="auto"/>
        </w:rPr>
      </w:pPr>
    </w:p>
    <w:p>
      <w:pPr>
        <w:ind w:right="240" w:firstLine="441"/>
        <w:spacing w:after="0" w:line="264" w:lineRule="auto"/>
        <w:rPr>
          <w:sz w:val="20"/>
          <w:szCs w:val="20"/>
          <w:color w:val="auto"/>
        </w:rPr>
      </w:pPr>
      <w:r>
        <w:rPr>
          <w:rFonts w:ascii="Times New Roman" w:cs="Times New Roman" w:eastAsia="Times New Roman" w:hAnsi="Times New Roman"/>
          <w:sz w:val="19"/>
          <w:szCs w:val="19"/>
          <w:color w:val="auto"/>
        </w:rPr>
        <w:t>Our continued growth of PYLARIFY will depend on our ability to clinically and commercially differentiate PYLARIFY from other products on the market and to maintain PYLARIFY as the most utilized PSMA PET imaging agent in a competitive space. PYLARIFY’s current competition is primarily two Gallium-68 (“Ga-68”)-based PSMA imaging agents, an F-18-based PSMA imaging agent, and other non-PSMA-based imaging agents commonly referred to as conventional imaging. The potential for future generic entrants to the market as a result of the expiry of PYLARIFY’s five-year new chemical entity (“NCE”) exclusivity period in 2026, on the fifth anniversary of the FDA’s approval, could generate increased competition for PYLARIFY. Continued growth and revenue contribution from PYLARIFY will also depend on our ability to differentiate PYLARIFY, including through flexible and dependable access to PYLARIFY nationally, a best-in-class customer experience and through long-term strategic contracts.</w:t>
      </w:r>
    </w:p>
    <w:p>
      <w:pPr>
        <w:sectPr>
          <w:pgSz w:w="11880" w:h="15480" w:orient="portrait"/>
          <w:cols w:equalWidth="0" w:num="1">
            <w:col w:w="10600"/>
          </w:cols>
          <w:pgMar w:left="640" w:top="622"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880" w:h="15480" w:orient="portrait"/>
          <w:cols w:equalWidth="0" w:num="1">
            <w:col w:w="10600"/>
          </w:cols>
          <w:pgMar w:left="640" w:top="622" w:right="640" w:bottom="0" w:gutter="0" w:footer="0" w:header="0"/>
          <w:type w:val="continuous"/>
        </w:sectPr>
      </w:pPr>
    </w:p>
    <w:bookmarkStart w:id="14" w:name="page15"/>
    <w:bookmarkEnd w:id="14"/>
    <w:p>
      <w:pPr>
        <w:ind w:right="80" w:firstLine="441"/>
        <w:spacing w:after="0" w:line="254" w:lineRule="auto"/>
        <w:rPr>
          <w:sz w:val="20"/>
          <w:szCs w:val="20"/>
          <w:color w:val="auto"/>
        </w:rPr>
      </w:pPr>
      <w:r>
        <w:rPr>
          <w:rFonts w:ascii="Times New Roman" w:cs="Times New Roman" w:eastAsia="Times New Roman" w:hAnsi="Times New Roman"/>
          <w:sz w:val="20"/>
          <w:szCs w:val="20"/>
          <w:color w:val="auto"/>
        </w:rPr>
        <w:t>We actively pursue patents in connection with PYLARIFY, both in the U.S. and internationally. In the U.S. for PYLARIFY, we have patents listed in the FDA’s publication, “</w:t>
      </w:r>
      <w:r>
        <w:rPr>
          <w:rFonts w:ascii="Times New Roman" w:cs="Times New Roman" w:eastAsia="Times New Roman" w:hAnsi="Times New Roman"/>
          <w:sz w:val="20"/>
          <w:szCs w:val="20"/>
          <w:i w:val="1"/>
          <w:iCs w:val="1"/>
          <w:color w:val="auto"/>
        </w:rPr>
        <w:t>Approved Drug Products with Therapeutic Equivalence Evaluations”</w:t>
      </w:r>
      <w:r>
        <w:rPr>
          <w:rFonts w:ascii="Times New Roman" w:cs="Times New Roman" w:eastAsia="Times New Roman" w:hAnsi="Times New Roman"/>
          <w:sz w:val="20"/>
          <w:szCs w:val="20"/>
          <w:color w:val="auto"/>
        </w:rPr>
        <w:t xml:space="preserve"> (the “Orange Book”), including composition of matter patents, the last of which expires in 2037. Outside of the U.S., we have, and are currently pursuing, additional patents related to piflufolastat F-18 to obtain similar patent protection as in the U.S.</w:t>
      </w:r>
    </w:p>
    <w:p>
      <w:pPr>
        <w:spacing w:after="0" w:line="199" w:lineRule="exact"/>
        <w:rPr>
          <w:sz w:val="20"/>
          <w:szCs w:val="20"/>
          <w:color w:val="auto"/>
        </w:rPr>
      </w:pPr>
    </w:p>
    <w:p>
      <w:pPr>
        <w:ind w:right="440" w:firstLine="441"/>
        <w:spacing w:after="0" w:line="255" w:lineRule="auto"/>
        <w:rPr>
          <w:sz w:val="20"/>
          <w:szCs w:val="20"/>
          <w:color w:val="auto"/>
        </w:rPr>
      </w:pPr>
      <w:r>
        <w:rPr>
          <w:rFonts w:ascii="Times New Roman" w:cs="Times New Roman" w:eastAsia="Times New Roman" w:hAnsi="Times New Roman"/>
          <w:sz w:val="20"/>
          <w:szCs w:val="20"/>
          <w:color w:val="auto"/>
        </w:rPr>
        <w:t xml:space="preserve">See Part I, Item 1A.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xml:space="preserve"> for information regarding certain risks associated with PYLARIFY and Part II, Item 7. “</w:t>
      </w:r>
      <w:r>
        <w:rPr>
          <w:rFonts w:ascii="Times New Roman" w:cs="Times New Roman" w:eastAsia="Times New Roman" w:hAnsi="Times New Roman"/>
          <w:sz w:val="20"/>
          <w:szCs w:val="20"/>
          <w:i w:val="1"/>
          <w:iCs w:val="1"/>
          <w:color w:val="auto"/>
        </w:rPr>
        <w:t>Management’s Discussion and Analysis of Financial Condition and Results of Operations - Comparison of the Periods Ended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December 31, 2024 and 2023 - Revenues” </w:t>
      </w:r>
      <w:r>
        <w:rPr>
          <w:rFonts w:ascii="Times New Roman" w:cs="Times New Roman" w:eastAsia="Times New Roman" w:hAnsi="Times New Roman"/>
          <w:sz w:val="20"/>
          <w:szCs w:val="20"/>
          <w:color w:val="auto"/>
        </w:rPr>
        <w:t>of this Form 10-K for further information on total revenue contributed by PYLARIFY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since its approval.</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Precision Diagnostics</w:t>
      </w:r>
    </w:p>
    <w:p>
      <w:pPr>
        <w:spacing w:after="0" w:line="247" w:lineRule="exact"/>
        <w:rPr>
          <w:sz w:val="20"/>
          <w:szCs w:val="20"/>
          <w:color w:val="auto"/>
        </w:rPr>
      </w:pPr>
    </w:p>
    <w:p>
      <w:pPr>
        <w:ind w:right="380" w:firstLine="441"/>
        <w:spacing w:after="0" w:line="254" w:lineRule="auto"/>
        <w:rPr>
          <w:sz w:val="20"/>
          <w:szCs w:val="20"/>
          <w:color w:val="auto"/>
        </w:rPr>
      </w:pPr>
      <w:r>
        <w:rPr>
          <w:rFonts w:ascii="Times New Roman" w:cs="Times New Roman" w:eastAsia="Times New Roman" w:hAnsi="Times New Roman"/>
          <w:sz w:val="20"/>
          <w:szCs w:val="20"/>
          <w:color w:val="auto"/>
        </w:rPr>
        <w:t>DEFINITY is the most utilized ultrasound enhancing agent in the U.S. and is indicated for use in adult and pediatric patients with suboptimal echocardiograms to opacify the left ventricular chamber and to improve the delineation of the left ventricular endocardial border. Numerous patient conditions can decrease the quality of images of the left ventricle, the primary pumping chamber of the heart. The term DEFINITY refers to both its activated and non-activated forms.</w:t>
      </w:r>
    </w:p>
    <w:p>
      <w:pPr>
        <w:spacing w:after="0" w:line="202" w:lineRule="exact"/>
        <w:rPr>
          <w:sz w:val="20"/>
          <w:szCs w:val="20"/>
          <w:color w:val="auto"/>
        </w:rPr>
      </w:pPr>
    </w:p>
    <w:p>
      <w:pPr>
        <w:ind w:right="340" w:firstLine="441"/>
        <w:spacing w:after="0" w:line="252" w:lineRule="auto"/>
        <w:rPr>
          <w:sz w:val="20"/>
          <w:szCs w:val="20"/>
          <w:color w:val="auto"/>
        </w:rPr>
      </w:pPr>
      <w:r>
        <w:rPr>
          <w:rFonts w:ascii="Times New Roman" w:cs="Times New Roman" w:eastAsia="Times New Roman" w:hAnsi="Times New Roman"/>
          <w:sz w:val="20"/>
          <w:szCs w:val="20"/>
          <w:color w:val="auto"/>
        </w:rPr>
        <w:t>DEFINITY is a clear, colorless, sterile liquid that, upon activation in a VIALMIX or VIALMIX RFID, medical devices specifically designed for DEFINITY, becomes a homogenous, opaque, milky white injectable suspension of perflutren-containing lipid microspheres. After activation and intravenous injection, DEFINITY opacifies the left ventricular chamber and improves the delineation of the left ventricular endocardial border, or innermost layer of tissue that lines the chamber of the left ventricle. Better visualization of the left ventricle allows clinicians to make more informed decisions about disease status.</w:t>
      </w:r>
    </w:p>
    <w:p>
      <w:pPr>
        <w:spacing w:after="0" w:line="204" w:lineRule="exact"/>
        <w:rPr>
          <w:sz w:val="20"/>
          <w:szCs w:val="20"/>
          <w:color w:val="auto"/>
        </w:rPr>
      </w:pPr>
    </w:p>
    <w:p>
      <w:pPr>
        <w:ind w:right="140" w:firstLine="441"/>
        <w:spacing w:after="0" w:line="254" w:lineRule="auto"/>
        <w:rPr>
          <w:sz w:val="20"/>
          <w:szCs w:val="20"/>
          <w:color w:val="auto"/>
        </w:rPr>
      </w:pPr>
      <w:r>
        <w:rPr>
          <w:rFonts w:ascii="Times New Roman" w:cs="Times New Roman" w:eastAsia="Times New Roman" w:hAnsi="Times New Roman"/>
          <w:sz w:val="20"/>
          <w:szCs w:val="20"/>
          <w:color w:val="auto"/>
        </w:rPr>
        <w:t>Based on estimates from third party sources, we believe there were approximately 27 to 32 million echocardiograms performed in the U.S. in 2023 (the latest time period for which full year data is available). Assuming that between 20% and 30% of echocardiograms produce suboptimal images, as stated in the clinical literature, we estimate that approximately 5 to 10 million echocardiograms in 2023 produced suboptimal images.</w:t>
      </w:r>
    </w:p>
    <w:p>
      <w:pPr>
        <w:spacing w:after="0" w:line="202" w:lineRule="exact"/>
        <w:rPr>
          <w:sz w:val="20"/>
          <w:szCs w:val="20"/>
          <w:color w:val="auto"/>
        </w:rPr>
      </w:pPr>
    </w:p>
    <w:p>
      <w:pPr>
        <w:ind w:firstLine="441"/>
        <w:spacing w:after="0" w:line="248" w:lineRule="auto"/>
        <w:rPr>
          <w:sz w:val="20"/>
          <w:szCs w:val="20"/>
          <w:color w:val="auto"/>
        </w:rPr>
      </w:pPr>
      <w:r>
        <w:rPr>
          <w:rFonts w:ascii="Times New Roman" w:cs="Times New Roman" w:eastAsia="Times New Roman" w:hAnsi="Times New Roman"/>
          <w:sz w:val="20"/>
          <w:szCs w:val="20"/>
          <w:color w:val="auto"/>
        </w:rPr>
        <w:t xml:space="preserve">Since its launch in 2001, DEFINITY has been used in imaging procedures in more than 28 million echocardiograms throughout the world. In March 2024, we received FDA approval for our supplemental new drug application for the use of DEFINITY in pediatric patients with suboptimal echocardiograms. The FDA decision was based on usage data from three pediatric clinical trials conducted with DEFINITY. We estimate that, as of December 31, 2024, DEFINITY had over 80% share of the U.S. segment for ultrasound enhancing agents in echocardiography procedures. DEFINITY currently competes with two other FDA-approved ultrasound enhancing agents, as well as echocardiography without the use of ultrasound enhancing agents and non-echocardiography imaging modalities. DEFINITY and the other FDA-approved ultrasound enhancing agents all carry an FDA-required boxed warning, which has been modified over time, to notify physicians and patients about potentially serious safety concerns or risks posed by the products. See Part I, Item 1A. </w:t>
      </w:r>
      <w:r>
        <w:rPr>
          <w:rFonts w:ascii="Times New Roman" w:cs="Times New Roman" w:eastAsia="Times New Roman" w:hAnsi="Times New Roman"/>
          <w:sz w:val="20"/>
          <w:szCs w:val="20"/>
          <w:i w:val="1"/>
          <w:iCs w:val="1"/>
          <w:color w:val="auto"/>
        </w:rPr>
        <w:t>“Risk Factors-Ultrasound enhancing agents may cause side effects which could limit our ability to sell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DEFINITY,” </w:t>
      </w:r>
      <w:r>
        <w:rPr>
          <w:rFonts w:ascii="Times New Roman" w:cs="Times New Roman" w:eastAsia="Times New Roman" w:hAnsi="Times New Roman"/>
          <w:sz w:val="20"/>
          <w:szCs w:val="20"/>
          <w:color w:val="auto"/>
        </w:rPr>
        <w:t>of this Form 10-K for more information.</w:t>
      </w:r>
    </w:p>
    <w:p>
      <w:pPr>
        <w:spacing w:after="0" w:line="211"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20"/>
          <w:szCs w:val="20"/>
          <w:color w:val="auto"/>
        </w:rPr>
        <w:t>We continue to actively pursue additional patents in connection with DEFINITY, both in the U.S. and internationally. In the U.S. for DEFINITY, we have Orange Book-listed method-of-use patents, the last of which expires in 2037, as well as additional manufacturing patents that are not Orange Book-listed expiring in 2037. The Orange Book-listed patents include a patent on the use of VIALMIX RFID (see below), which expires in 2037; we have submitted additional VIALMIX RFID patent applications in major markets throughout the world.</w:t>
      </w:r>
    </w:p>
    <w:p>
      <w:pPr>
        <w:spacing w:after="0" w:line="204" w:lineRule="exact"/>
        <w:rPr>
          <w:sz w:val="20"/>
          <w:szCs w:val="20"/>
          <w:color w:val="auto"/>
        </w:rPr>
      </w:pPr>
    </w:p>
    <w:p>
      <w:pPr>
        <w:ind w:right="80" w:firstLine="441"/>
        <w:spacing w:after="0" w:line="252" w:lineRule="auto"/>
        <w:rPr>
          <w:sz w:val="20"/>
          <w:szCs w:val="20"/>
          <w:color w:val="auto"/>
        </w:rPr>
      </w:pPr>
      <w:r>
        <w:rPr>
          <w:rFonts w:ascii="Times New Roman" w:cs="Times New Roman" w:eastAsia="Times New Roman" w:hAnsi="Times New Roman"/>
          <w:sz w:val="20"/>
          <w:szCs w:val="20"/>
          <w:color w:val="auto"/>
        </w:rPr>
        <w:t>DEFINITY is activated through the use of medical devices branded as VIALMIX and VIALMIX RFID. The activation rate and time are controlled by VIALMIX RFID through the use of radio-frequency identification technology (“RFID”) to ensure reproducible activation of DEFINITY. The RFID tag, which is affixed to the vial label, enables the DEFINITY vial to be appropriately activated with the VIALMIX RFID activation device. We rely on Jubilant HollisterStier (“JHS”) as a significant supplier of DEFINITY. We also produce DEFINITY in our in-house manufacturing facility at our North Billerica campus.</w:t>
      </w:r>
    </w:p>
    <w:p>
      <w:pPr>
        <w:spacing w:after="0" w:line="201" w:lineRule="exact"/>
        <w:rPr>
          <w:sz w:val="20"/>
          <w:szCs w:val="20"/>
          <w:color w:val="auto"/>
        </w:rPr>
      </w:pPr>
    </w:p>
    <w:p>
      <w:pPr>
        <w:jc w:val="both"/>
        <w:ind w:right="540" w:firstLine="441"/>
        <w:spacing w:after="0" w:line="260" w:lineRule="auto"/>
        <w:rPr>
          <w:sz w:val="20"/>
          <w:szCs w:val="20"/>
          <w:color w:val="auto"/>
        </w:rPr>
      </w:pPr>
      <w:r>
        <w:rPr>
          <w:rFonts w:ascii="Times New Roman" w:cs="Times New Roman" w:eastAsia="Times New Roman" w:hAnsi="Times New Roman"/>
          <w:sz w:val="20"/>
          <w:szCs w:val="20"/>
          <w:color w:val="auto"/>
        </w:rPr>
        <w:t xml:space="preserve">See Part I, Item 1A.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xml:space="preserve"> for information regarding certain risks associated with DEFINITY and Part II, Item 7. </w:t>
      </w:r>
      <w:r>
        <w:rPr>
          <w:rFonts w:ascii="Times New Roman" w:cs="Times New Roman" w:eastAsia="Times New Roman" w:hAnsi="Times New Roman"/>
          <w:sz w:val="20"/>
          <w:szCs w:val="20"/>
          <w:i w:val="1"/>
          <w:iCs w:val="1"/>
          <w:color w:val="auto"/>
        </w:rPr>
        <w:t xml:space="preserve">“Management’s Discussion and Analysis of Financial Condition and Results of Operations - Comparison of the Periods Ended December 31, 2024 and 2023 - Revenues” </w:t>
      </w:r>
      <w:r>
        <w:rPr>
          <w:rFonts w:ascii="Times New Roman" w:cs="Times New Roman" w:eastAsia="Times New Roman" w:hAnsi="Times New Roman"/>
          <w:sz w:val="20"/>
          <w:szCs w:val="20"/>
          <w:color w:val="auto"/>
        </w:rPr>
        <w:t>for further information on revenue contributed by DEFINITY.</w:t>
      </w:r>
    </w:p>
    <w:p>
      <w:pPr>
        <w:sectPr>
          <w:pgSz w:w="11880" w:h="15480" w:orient="portrait"/>
          <w:cols w:equalWidth="0" w:num="1">
            <w:col w:w="10580"/>
          </w:cols>
          <w:pgMar w:left="640" w:top="622"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ectPr>
          <w:pgSz w:w="11880" w:h="15480" w:orient="portrait"/>
          <w:cols w:equalWidth="0" w:num="1">
            <w:col w:w="10580"/>
          </w:cols>
          <w:pgMar w:left="640" w:top="622" w:right="660" w:bottom="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i w:val="1"/>
          <w:iCs w:val="1"/>
          <w:color w:val="auto"/>
        </w:rPr>
        <w:t>TechneLite</w:t>
      </w:r>
    </w:p>
    <w:p>
      <w:pPr>
        <w:spacing w:after="0" w:line="131" w:lineRule="exact"/>
        <w:rPr>
          <w:sz w:val="20"/>
          <w:szCs w:val="20"/>
          <w:color w:val="auto"/>
        </w:rPr>
      </w:pPr>
    </w:p>
    <w:p>
      <w:pPr>
        <w:ind w:right="100" w:firstLine="441"/>
        <w:spacing w:after="0" w:line="249" w:lineRule="auto"/>
        <w:rPr>
          <w:sz w:val="20"/>
          <w:szCs w:val="20"/>
          <w:color w:val="auto"/>
        </w:rPr>
      </w:pPr>
      <w:r>
        <w:rPr>
          <w:rFonts w:ascii="Times New Roman" w:cs="Times New Roman" w:eastAsia="Times New Roman" w:hAnsi="Times New Roman"/>
          <w:sz w:val="20"/>
          <w:szCs w:val="20"/>
          <w:color w:val="auto"/>
        </w:rPr>
        <w:t>TechneLite is a self-contained system or generator of Tc-99m, a radioactive isotope with a six hour half-life, used by radiopharmacies to prepare various nuclear imaging agents. Tc-99m results from the radioactive decay of Mo-99, itself a radioisotope with a 66-hour half-life sourced in our supply chain in nuclear research reactors located in Belgium, South Africa and Australia from enriched uranium. The TechneLite generator houses a vertical glass column at its core that contains Mo-99, which degrades to Tc-99m. During our manufacturing process, Mo-99 is added to the column within the generator where it is adsorbed onto alumina powder. The column is sterilized, enclosed in a lead shield and further sealed in a cylindrical plastic container, which is then immediately shipped to our radiopharmacy customers. Because of the half-lives of Mo-99 and Tc-99m, radiopharmacies typically purchase TechneLite generators on a weekly basis pursuant to standing orders.</w:t>
      </w:r>
    </w:p>
    <w:p>
      <w:pPr>
        <w:spacing w:after="0" w:line="205" w:lineRule="exact"/>
        <w:rPr>
          <w:sz w:val="20"/>
          <w:szCs w:val="20"/>
          <w:color w:val="auto"/>
        </w:rPr>
      </w:pPr>
    </w:p>
    <w:p>
      <w:pPr>
        <w:ind w:right="400" w:firstLine="441"/>
        <w:spacing w:after="0" w:line="275" w:lineRule="auto"/>
        <w:rPr>
          <w:sz w:val="20"/>
          <w:szCs w:val="20"/>
          <w:color w:val="auto"/>
        </w:rPr>
      </w:pPr>
      <w:r>
        <w:rPr>
          <w:rFonts w:ascii="Times New Roman" w:cs="Times New Roman" w:eastAsia="Times New Roman" w:hAnsi="Times New Roman"/>
          <w:sz w:val="20"/>
          <w:szCs w:val="20"/>
          <w:color w:val="auto"/>
        </w:rPr>
        <w:t xml:space="preserve">Our ability to produce and market TechneLite is highly dependent on our supply of Mo-99. See </w:t>
      </w:r>
      <w:r>
        <w:rPr>
          <w:rFonts w:ascii="Times New Roman" w:cs="Times New Roman" w:eastAsia="Times New Roman" w:hAnsi="Times New Roman"/>
          <w:sz w:val="20"/>
          <w:szCs w:val="20"/>
          <w:i w:val="1"/>
          <w:iCs w:val="1"/>
          <w:color w:val="auto"/>
        </w:rPr>
        <w:t>“Raw Materials and Supply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Relationships—Molybdenum-99” </w:t>
      </w:r>
      <w:r>
        <w:rPr>
          <w:rFonts w:ascii="Times New Roman" w:cs="Times New Roman" w:eastAsia="Times New Roman" w:hAnsi="Times New Roman"/>
          <w:sz w:val="20"/>
          <w:szCs w:val="20"/>
          <w:color w:val="auto"/>
        </w:rPr>
        <w:t>below.</w:t>
      </w:r>
    </w:p>
    <w:p>
      <w:pPr>
        <w:spacing w:after="0" w:line="182"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20"/>
          <w:szCs w:val="20"/>
          <w:color w:val="auto"/>
        </w:rPr>
        <w:t>TechneLite is currently marketed primarily in the U.S., Canada, Central America and South America, largely to radiopharmacies that prepare unit doses of radiopharmaceutical imaging agents and ship these preparations directly to hospitals for administration to patients.</w:t>
      </w:r>
    </w:p>
    <w:p>
      <w:pPr>
        <w:spacing w:after="0" w:line="196" w:lineRule="exact"/>
        <w:rPr>
          <w:sz w:val="20"/>
          <w:szCs w:val="20"/>
          <w:color w:val="auto"/>
        </w:rPr>
      </w:pPr>
    </w:p>
    <w:p>
      <w:pPr>
        <w:ind w:right="100" w:firstLine="441"/>
        <w:spacing w:after="0" w:line="302" w:lineRule="auto"/>
        <w:rPr>
          <w:sz w:val="20"/>
          <w:szCs w:val="20"/>
          <w:color w:val="auto"/>
        </w:rPr>
      </w:pPr>
      <w:r>
        <w:rPr>
          <w:rFonts w:ascii="Times New Roman" w:cs="Times New Roman" w:eastAsia="Times New Roman" w:hAnsi="Times New Roman"/>
          <w:sz w:val="19"/>
          <w:szCs w:val="19"/>
          <w:color w:val="auto"/>
        </w:rPr>
        <w:t xml:space="preserve">See Part II, Item 7. </w:t>
      </w:r>
      <w:r>
        <w:rPr>
          <w:rFonts w:ascii="Times New Roman" w:cs="Times New Roman" w:eastAsia="Times New Roman" w:hAnsi="Times New Roman"/>
          <w:sz w:val="19"/>
          <w:szCs w:val="19"/>
          <w:i w:val="1"/>
          <w:iCs w:val="1"/>
          <w:color w:val="auto"/>
        </w:rPr>
        <w:t>“Management’s Discussion and Analysis of Financial Condition and Results of Operations - Comparison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the Periods Ended December 31, 2024 and 2023 - Revenues” </w:t>
      </w:r>
      <w:r>
        <w:rPr>
          <w:rFonts w:ascii="Times New Roman" w:cs="Times New Roman" w:eastAsia="Times New Roman" w:hAnsi="Times New Roman"/>
          <w:sz w:val="19"/>
          <w:szCs w:val="19"/>
          <w:color w:val="auto"/>
        </w:rPr>
        <w:t>for further information on revenue contributed by TechneLite.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Strategic Partnerships and Other Revenue</w:t>
      </w:r>
    </w:p>
    <w:p>
      <w:pPr>
        <w:spacing w:after="0" w:line="130" w:lineRule="exact"/>
        <w:rPr>
          <w:sz w:val="20"/>
          <w:szCs w:val="20"/>
          <w:color w:val="auto"/>
        </w:rPr>
      </w:pPr>
    </w:p>
    <w:p>
      <w:pPr>
        <w:ind w:right="20" w:firstLine="441"/>
        <w:spacing w:after="0" w:line="249" w:lineRule="auto"/>
        <w:rPr>
          <w:sz w:val="20"/>
          <w:szCs w:val="20"/>
          <w:color w:val="auto"/>
        </w:rPr>
      </w:pPr>
      <w:r>
        <w:rPr>
          <w:rFonts w:ascii="Times New Roman" w:cs="Times New Roman" w:eastAsia="Times New Roman" w:hAnsi="Times New Roman"/>
          <w:sz w:val="20"/>
          <w:szCs w:val="20"/>
          <w:color w:val="auto"/>
        </w:rPr>
        <w:t>We continue to seek ways to further increase the overall value of our products and product candidates. In addition to our recently announced plans to acquire Life Molecular and Evergreen, we are evaluating a number of different opportunities to collaborate, in-license or acquire additional products, product candidates, businesses and technologies to drive our future growth. In particular, we are focused on radiopharmaceutical diagnostic and therapeutic product opportunities in oncology, neurology and other strategic areas that complement our existing portfolio. Our Biomarker Solutions business focuses on advancing innovative imaging biomarker solutions, such as our investigational late-stage Alzheimer’s disease radiodiagnostic candidates, MK-6240 and NAV-4694, through collaborations with pharmaceutical companies and academic centers.</w:t>
      </w:r>
    </w:p>
    <w:p>
      <w:pPr>
        <w:spacing w:after="0" w:line="94" w:lineRule="exact"/>
        <w:rPr>
          <w:sz w:val="20"/>
          <w:szCs w:val="20"/>
          <w:color w:val="auto"/>
        </w:rPr>
      </w:pPr>
    </w:p>
    <w:p>
      <w:pPr>
        <w:ind w:right="80" w:firstLine="441"/>
        <w:spacing w:after="0" w:line="268" w:lineRule="auto"/>
        <w:rPr>
          <w:sz w:val="20"/>
          <w:szCs w:val="20"/>
          <w:color w:val="auto"/>
        </w:rPr>
      </w:pPr>
      <w:r>
        <w:rPr>
          <w:rFonts w:ascii="Times New Roman" w:cs="Times New Roman" w:eastAsia="Times New Roman" w:hAnsi="Times New Roman"/>
          <w:sz w:val="19"/>
          <w:szCs w:val="19"/>
          <w:color w:val="auto"/>
        </w:rPr>
        <w:t>Our Biomarker Solutions business also includes our Microbubble Platform, in which we generally enter into collaborations with partners seeking to include our microbubble as part of a kit used with our partner’s medical device for therapeutic applications. In these collaborations, our microbubble is generally intended to be used as a vehicle to deliver a therapeutic drug. Our Digital Solutions business focuses on developing and commercializing 510(k) cleared and CE marked digital applications to enhance the performance of imaging agents; our Digital Solutions portfolio currently includes aBSI, aPROMISE, and PYLARIFY AI.</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Oncology</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As we continue to pursue expanding strategic partnerships, our Biomarker Solutions activities in oncology include:</w:t>
      </w:r>
    </w:p>
    <w:p>
      <w:pPr>
        <w:spacing w:after="0" w:line="120" w:lineRule="exact"/>
        <w:rPr>
          <w:sz w:val="20"/>
          <w:szCs w:val="20"/>
          <w:color w:val="auto"/>
        </w:rPr>
      </w:pPr>
    </w:p>
    <w:p>
      <w:pPr>
        <w:ind w:left="720" w:hanging="183"/>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Prostate Cancer </w:t>
      </w:r>
      <w:r>
        <w:rPr>
          <w:rFonts w:ascii="Times New Roman" w:cs="Times New Roman" w:eastAsia="Times New Roman" w:hAnsi="Times New Roman"/>
          <w:sz w:val="20"/>
          <w:szCs w:val="20"/>
          <w:color w:val="auto"/>
        </w:rPr>
        <w:t>– We collaborate with pharmaceutical companies developing therapies and diagnostics in prostate cancer.</w:t>
      </w:r>
    </w:p>
    <w:p>
      <w:pPr>
        <w:spacing w:after="0" w:line="125" w:lineRule="exact"/>
        <w:rPr>
          <w:rFonts w:ascii="Times New Roman" w:cs="Times New Roman" w:eastAsia="Times New Roman" w:hAnsi="Times New Roman"/>
          <w:sz w:val="20"/>
          <w:szCs w:val="20"/>
          <w:color w:val="auto"/>
        </w:rPr>
      </w:pPr>
    </w:p>
    <w:p>
      <w:pPr>
        <w:ind w:left="1420" w:right="140" w:hanging="177"/>
        <w:spacing w:after="0" w:line="252" w:lineRule="auto"/>
        <w:tabs>
          <w:tab w:leader="none" w:pos="142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Curium (our licensee for piflufolastat F-18 in Europe) is commercializing piflufolastat F-18 under the name PYLCLARI in Europe. In addition, we previously entered into an agreement with Curium to add PYLARIFY to its U.S. ECLIPSE trial, a multi-center, open-label, randomized Phase 3 trial comparing the safety and efficacy of Curium’s PSMA-targeted therapeutic versus hormone therapy in patients mCRPC. PYLARIFY is being used to determine PSMA-avidity as part of patient selection.</w:t>
      </w:r>
    </w:p>
    <w:p>
      <w:pPr>
        <w:spacing w:after="0" w:line="86" w:lineRule="exact"/>
        <w:rPr>
          <w:sz w:val="20"/>
          <w:szCs w:val="20"/>
          <w:color w:val="auto"/>
        </w:rPr>
      </w:pPr>
    </w:p>
    <w:p>
      <w:pPr>
        <w:ind w:left="1420" w:hanging="177"/>
        <w:spacing w:after="0" w:line="268" w:lineRule="auto"/>
        <w:tabs>
          <w:tab w:leader="none" w:pos="1420" w:val="left"/>
        </w:tabs>
        <w:numPr>
          <w:ilvl w:val="1"/>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have also entered into several other separate agreements, including with POINT and Regeneron Pharmaceuticals, Inc., under which we supply PYLARIFY in connection with their clinical trials. Under a strategic collaboration with the Prostate Cancer Clinical Trial Consortium (“PCCTC”), a premier multicenter clinical research organization that specializes in prostate cancer research, our artificial intelligence (“AI”) platform is being integrated into PCCTC studies to advance the development and validation of novel AI-enabled biomarkers.</w:t>
      </w:r>
    </w:p>
    <w:p>
      <w:pPr>
        <w:spacing w:after="0" w:line="70" w:lineRule="exact"/>
        <w:rPr>
          <w:rFonts w:ascii="Times New Roman" w:cs="Times New Roman" w:eastAsia="Times New Roman" w:hAnsi="Times New Roman"/>
          <w:sz w:val="19"/>
          <w:szCs w:val="19"/>
          <w:color w:val="auto"/>
        </w:rPr>
      </w:pPr>
    </w:p>
    <w:p>
      <w:pPr>
        <w:ind w:left="720" w:right="140" w:hanging="183"/>
        <w:spacing w:after="0" w:line="252"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Pan-Oncology </w:t>
      </w:r>
      <w:r>
        <w:rPr>
          <w:rFonts w:ascii="Times New Roman" w:cs="Times New Roman" w:eastAsia="Times New Roman" w:hAnsi="Times New Roman"/>
          <w:sz w:val="20"/>
          <w:szCs w:val="20"/>
          <w:color w:val="auto"/>
        </w:rPr>
        <w:t>- In collaboration with Ratio Therapeutics LLC (previously Noria Therapeutics, Inc.), we are developing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LNTH-1363S, a novel copper-64 labeled PET imaging agent, targeting fibroblast activation protein alpha. We believe this diagnostic agent candidate could have broad potential applicability and use in oncology as well as inflammatory diseases. In 2024, we completed a Phase 1 study for LNTH-1363S to evaluate the pharmacokinetics, biodistribution and radiation dosimetry in adult healthy volunteers and initiated a Phase 1/2a study.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Microbubble Platform</w:t>
      </w:r>
    </w:p>
    <w:p>
      <w:pPr>
        <w:sectPr>
          <w:pgSz w:w="11880" w:h="15480" w:orient="portrait"/>
          <w:cols w:equalWidth="0" w:num="1">
            <w:col w:w="10580"/>
          </w:cols>
          <w:pgMar w:left="640" w:top="614"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ectPr>
          <w:pgSz w:w="11880" w:h="15480" w:orient="portrait"/>
          <w:cols w:equalWidth="0" w:num="1">
            <w:col w:w="10580"/>
          </w:cols>
          <w:pgMar w:left="640" w:top="614" w:right="660" w:bottom="0" w:gutter="0" w:footer="0" w:header="0"/>
          <w:type w:val="continuous"/>
        </w:sectPr>
      </w:pPr>
    </w:p>
    <w:bookmarkStart w:id="16" w:name="page17"/>
    <w:bookmarkEnd w:id="16"/>
    <w:p>
      <w:pPr>
        <w:ind w:right="180" w:firstLine="441"/>
        <w:spacing w:after="0" w:line="252" w:lineRule="auto"/>
        <w:rPr>
          <w:sz w:val="20"/>
          <w:szCs w:val="20"/>
          <w:color w:val="auto"/>
        </w:rPr>
      </w:pPr>
      <w:r>
        <w:rPr>
          <w:rFonts w:ascii="Times New Roman" w:cs="Times New Roman" w:eastAsia="Times New Roman" w:hAnsi="Times New Roman"/>
          <w:sz w:val="20"/>
          <w:szCs w:val="20"/>
          <w:color w:val="auto"/>
        </w:rPr>
        <w:t>We previously entered into microbubble collaborations with strategic partners that are using our microbubbles in connection with the development of their medical devices. For example, CarThera SAS is developing SonoCloud, a proprietary implantable device in development for the treatment of recurrent glioblastoma that will be used in combination with our microbubbles. Similarly, Insightec Ltd. is developing a transcranial guided focused ultrasound device for the treatment of glioblastoma, as well as other neurodegenerative conditions, and such device will also be used in combination with our microbubbles.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MK-6240</w:t>
      </w:r>
    </w:p>
    <w:p>
      <w:pPr>
        <w:spacing w:after="0" w:line="131"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20"/>
          <w:szCs w:val="20"/>
          <w:color w:val="auto"/>
        </w:rPr>
        <w:t>MK-6240 is an investigational late-stage F-18-labeled PET imaging agent designed to detect tau protein in the form of neurofibrillary tangles in the brains of patients with known or suspected Alzheimer’s disease. MK-6240 is currently in Phase 3 development and is also being used as a biomarker in more than 100 ongoing academic and industry sponsored clinical trials, many for late-stage therapeutic candidates. Research revenue is derived from the use of MK-6240 in those clinical trials and includes milestone and dose-related payments.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NAV-4694</w:t>
      </w:r>
    </w:p>
    <w:p>
      <w:pPr>
        <w:spacing w:after="0" w:line="131" w:lineRule="exact"/>
        <w:rPr>
          <w:sz w:val="20"/>
          <w:szCs w:val="20"/>
          <w:color w:val="auto"/>
        </w:rPr>
      </w:pPr>
    </w:p>
    <w:p>
      <w:pPr>
        <w:jc w:val="both"/>
        <w:ind w:right="360" w:firstLine="441"/>
        <w:spacing w:after="0" w:line="278" w:lineRule="auto"/>
        <w:rPr>
          <w:sz w:val="20"/>
          <w:szCs w:val="20"/>
          <w:color w:val="auto"/>
        </w:rPr>
      </w:pPr>
      <w:r>
        <w:rPr>
          <w:rFonts w:ascii="Times New Roman" w:cs="Times New Roman" w:eastAsia="Times New Roman" w:hAnsi="Times New Roman"/>
          <w:sz w:val="19"/>
          <w:szCs w:val="19"/>
          <w:color w:val="auto"/>
        </w:rPr>
        <w:t>NAV-4694 is an investigational late-stage F-18-labeled PET imaging agent that targets beta amyloid in Alzheimer’s disease. NAV-4694 is currently in Phase 3 development and is also being used in academic and industry sponsored clinical trials. Research revenue is derived from the use of NAV-4694 in those clinical trials and includes milestone and dose-related payments.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RELISTOR</w:t>
      </w:r>
    </w:p>
    <w:p>
      <w:pPr>
        <w:spacing w:after="0" w:line="131" w:lineRule="exact"/>
        <w:rPr>
          <w:sz w:val="20"/>
          <w:szCs w:val="20"/>
          <w:color w:val="auto"/>
        </w:rPr>
      </w:pPr>
    </w:p>
    <w:p>
      <w:pPr>
        <w:ind w:right="80" w:firstLine="441"/>
        <w:spacing w:after="0" w:line="244" w:lineRule="auto"/>
        <w:rPr>
          <w:sz w:val="20"/>
          <w:szCs w:val="20"/>
          <w:color w:val="auto"/>
        </w:rPr>
      </w:pPr>
      <w:r>
        <w:rPr>
          <w:rFonts w:ascii="Times New Roman" w:cs="Times New Roman" w:eastAsia="Times New Roman" w:hAnsi="Times New Roman"/>
          <w:sz w:val="20"/>
          <w:szCs w:val="20"/>
          <w:color w:val="auto"/>
        </w:rPr>
        <w:t>On August 2, 2023, we sold our right to our RELISTOR net sales royalty asset under our license agreement with Bausch; we retained the rights to future sales-based milestone payments. We received an initial payment of approximately $98.0 million in connection with the sale. Pursuant to our license agreement with Bausch, we are eligible to receive one-time sales milestone payments upon achievement of specified U.S. net sales targets, including:</w:t>
      </w:r>
    </w:p>
    <w:p>
      <w:pPr>
        <w:spacing w:after="0" w:line="386" w:lineRule="exact"/>
        <w:rPr>
          <w:sz w:val="20"/>
          <w:szCs w:val="20"/>
          <w:color w:val="auto"/>
        </w:rPr>
      </w:pPr>
    </w:p>
    <w:tbl>
      <w:tblPr>
        <w:tblLayout w:type="fixed"/>
        <w:tblInd w:w="1920" w:type="dxa"/>
        <w:tblCellMar>
          <w:top w:w="0" w:type="dxa"/>
          <w:left w:w="0" w:type="dxa"/>
          <w:bottom w:w="0" w:type="dxa"/>
          <w:right w:w="0" w:type="dxa"/>
        </w:tblCellMar>
      </w:tblPr>
      <w:tr>
        <w:trPr>
          <w:trHeight w:val="259"/>
        </w:trPr>
        <w:tc>
          <w:tcPr>
            <w:tcW w:w="47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U.S. Net Sales Levels in any Single Calendar Year</w:t>
            </w:r>
          </w:p>
        </w:tc>
        <w:tc>
          <w:tcPr>
            <w:tcW w:w="100" w:type="dxa"/>
            <w:vAlign w:val="bottom"/>
          </w:tcPr>
          <w:p>
            <w:pPr>
              <w:spacing w:after="0"/>
              <w:rPr>
                <w:sz w:val="22"/>
                <w:szCs w:val="22"/>
                <w:color w:val="auto"/>
              </w:rPr>
            </w:pPr>
          </w:p>
        </w:tc>
        <w:tc>
          <w:tcPr>
            <w:tcW w:w="19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Payment</w:t>
            </w: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9E9E9"/>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64"/>
        </w:trPr>
        <w:tc>
          <w:tcPr>
            <w:tcW w:w="4700" w:type="dxa"/>
            <w:vAlign w:val="bottom"/>
            <w:tcBorders>
              <w:bottom w:val="single" w:sz="8" w:color="E9E9E9"/>
            </w:tcBorders>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In excess of $150 million</w:t>
            </w:r>
          </w:p>
        </w:tc>
        <w:tc>
          <w:tcPr>
            <w:tcW w:w="100" w:type="dxa"/>
            <w:vAlign w:val="bottom"/>
            <w:tcBorders>
              <w:bottom w:val="single" w:sz="8" w:color="E9E9E9"/>
            </w:tcBorders>
            <w:shd w:val="clear" w:color="auto" w:fill="E9E9E9"/>
          </w:tcPr>
          <w:p>
            <w:pPr>
              <w:spacing w:after="0"/>
              <w:rPr>
                <w:sz w:val="22"/>
                <w:szCs w:val="22"/>
                <w:color w:val="auto"/>
              </w:rPr>
            </w:pPr>
          </w:p>
        </w:tc>
        <w:tc>
          <w:tcPr>
            <w:tcW w:w="1960" w:type="dxa"/>
            <w:vAlign w:val="bottom"/>
            <w:tcBorders>
              <w:bottom w:val="single" w:sz="8" w:color="E9E9E9"/>
            </w:tcBorders>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$15.0 million</w:t>
            </w:r>
          </w:p>
        </w:tc>
      </w:tr>
      <w:tr>
        <w:trPr>
          <w:trHeight w:val="267"/>
        </w:trPr>
        <w:tc>
          <w:tcPr>
            <w:tcW w:w="4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 excess of $200 million</w:t>
            </w:r>
          </w:p>
        </w:tc>
        <w:tc>
          <w:tcPr>
            <w:tcW w:w="100" w:type="dxa"/>
            <w:vAlign w:val="bottom"/>
          </w:tcPr>
          <w:p>
            <w:pPr>
              <w:spacing w:after="0"/>
              <w:rPr>
                <w:sz w:val="23"/>
                <w:szCs w:val="23"/>
                <w:color w:val="auto"/>
              </w:rPr>
            </w:pPr>
          </w:p>
        </w:tc>
        <w:tc>
          <w:tcPr>
            <w:tcW w:w="1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$20.0 million</w:t>
            </w:r>
          </w:p>
        </w:tc>
      </w:tr>
      <w:tr>
        <w:trPr>
          <w:trHeight w:val="27"/>
        </w:trPr>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4"/>
        </w:trPr>
        <w:tc>
          <w:tcPr>
            <w:tcW w:w="4700" w:type="dxa"/>
            <w:vAlign w:val="bottom"/>
            <w:tcBorders>
              <w:bottom w:val="single" w:sz="8" w:color="E9E9E9"/>
            </w:tcBorders>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In excess of $300 million</w:t>
            </w:r>
          </w:p>
        </w:tc>
        <w:tc>
          <w:tcPr>
            <w:tcW w:w="100" w:type="dxa"/>
            <w:vAlign w:val="bottom"/>
            <w:tcBorders>
              <w:bottom w:val="single" w:sz="8" w:color="E9E9E9"/>
            </w:tcBorders>
            <w:shd w:val="clear" w:color="auto" w:fill="E9E9E9"/>
          </w:tcPr>
          <w:p>
            <w:pPr>
              <w:spacing w:after="0"/>
              <w:rPr>
                <w:sz w:val="23"/>
                <w:szCs w:val="23"/>
                <w:color w:val="auto"/>
              </w:rPr>
            </w:pPr>
          </w:p>
        </w:tc>
        <w:tc>
          <w:tcPr>
            <w:tcW w:w="1960" w:type="dxa"/>
            <w:vAlign w:val="bottom"/>
            <w:tcBorders>
              <w:bottom w:val="single" w:sz="8" w:color="E9E9E9"/>
            </w:tcBorders>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$30.0 million</w:t>
            </w:r>
          </w:p>
        </w:tc>
      </w:tr>
      <w:tr>
        <w:trPr>
          <w:trHeight w:val="267"/>
        </w:trPr>
        <w:tc>
          <w:tcPr>
            <w:tcW w:w="4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 excess of $750 million</w:t>
            </w:r>
          </w:p>
        </w:tc>
        <w:tc>
          <w:tcPr>
            <w:tcW w:w="100" w:type="dxa"/>
            <w:vAlign w:val="bottom"/>
          </w:tcPr>
          <w:p>
            <w:pPr>
              <w:spacing w:after="0"/>
              <w:rPr>
                <w:sz w:val="23"/>
                <w:szCs w:val="23"/>
                <w:color w:val="auto"/>
              </w:rPr>
            </w:pPr>
          </w:p>
        </w:tc>
        <w:tc>
          <w:tcPr>
            <w:tcW w:w="1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$50.0 million</w:t>
            </w:r>
          </w:p>
        </w:tc>
      </w:tr>
      <w:tr>
        <w:trPr>
          <w:trHeight w:val="27"/>
        </w:trPr>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67"/>
        </w:trPr>
        <w:tc>
          <w:tcPr>
            <w:tcW w:w="470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In excess of $1 billion</w:t>
            </w:r>
          </w:p>
        </w:tc>
        <w:tc>
          <w:tcPr>
            <w:tcW w:w="100" w:type="dxa"/>
            <w:vAlign w:val="bottom"/>
            <w:shd w:val="clear" w:color="auto" w:fill="E9E9E9"/>
          </w:tcPr>
          <w:p>
            <w:pPr>
              <w:spacing w:after="0"/>
              <w:rPr>
                <w:sz w:val="23"/>
                <w:szCs w:val="23"/>
                <w:color w:val="auto"/>
              </w:rPr>
            </w:pPr>
          </w:p>
        </w:tc>
        <w:tc>
          <w:tcPr>
            <w:tcW w:w="196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$75.0 million</w:t>
            </w:r>
          </w:p>
        </w:tc>
      </w:tr>
      <w:tr>
        <w:trPr>
          <w:trHeight w:val="27"/>
        </w:trPr>
        <w:tc>
          <w:tcPr>
            <w:tcW w:w="4700" w:type="dxa"/>
            <w:vAlign w:val="bottom"/>
            <w:shd w:val="clear" w:color="auto" w:fill="E9E9E9"/>
          </w:tcPr>
          <w:p>
            <w:pPr>
              <w:spacing w:after="0"/>
              <w:rPr>
                <w:sz w:val="2"/>
                <w:szCs w:val="2"/>
                <w:color w:val="auto"/>
              </w:rPr>
            </w:pPr>
          </w:p>
        </w:tc>
        <w:tc>
          <w:tcPr>
            <w:tcW w:w="100" w:type="dxa"/>
            <w:vAlign w:val="bottom"/>
            <w:shd w:val="clear" w:color="auto" w:fill="E9E9E9"/>
          </w:tcPr>
          <w:p>
            <w:pPr>
              <w:spacing w:after="0"/>
              <w:rPr>
                <w:sz w:val="2"/>
                <w:szCs w:val="2"/>
                <w:color w:val="auto"/>
              </w:rPr>
            </w:pPr>
          </w:p>
        </w:tc>
        <w:tc>
          <w:tcPr>
            <w:tcW w:w="1960" w:type="dxa"/>
            <w:vAlign w:val="bottom"/>
            <w:shd w:val="clear" w:color="auto" w:fill="E9E9E9"/>
          </w:tcPr>
          <w:p>
            <w:pPr>
              <w:spacing w:after="0"/>
              <w:rPr>
                <w:sz w:val="2"/>
                <w:szCs w:val="2"/>
                <w:color w:val="auto"/>
              </w:rPr>
            </w:pPr>
          </w:p>
        </w:tc>
      </w:tr>
    </w:tbl>
    <w:p>
      <w:pPr>
        <w:spacing w:after="0" w:line="272"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20"/>
          <w:szCs w:val="20"/>
          <w:color w:val="auto"/>
        </w:rPr>
        <w:t>During the fourth quarter of 2023, the Company earned the $15.0 million sales-based milestone payment listed above and did not earn a sales-based milestone payment in 2024. Each sales milestone payment is payable one time only, regardless of the number of times the condition is satisfied. The remaining milestone payments could be made within the same calendar year if the highest sales levels were reached in any single calendar year.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aBSI</w:t>
      </w:r>
    </w:p>
    <w:p>
      <w:pPr>
        <w:spacing w:after="0" w:line="131" w:lineRule="exact"/>
        <w:rPr>
          <w:sz w:val="20"/>
          <w:szCs w:val="20"/>
          <w:color w:val="auto"/>
        </w:rPr>
      </w:pPr>
    </w:p>
    <w:p>
      <w:pPr>
        <w:ind w:right="20" w:firstLine="441"/>
        <w:spacing w:after="0" w:line="241" w:lineRule="auto"/>
        <w:rPr>
          <w:sz w:val="20"/>
          <w:szCs w:val="20"/>
          <w:color w:val="auto"/>
        </w:rPr>
      </w:pPr>
      <w:r>
        <w:rPr>
          <w:rFonts w:ascii="Times New Roman" w:cs="Times New Roman" w:eastAsia="Times New Roman" w:hAnsi="Times New Roman"/>
          <w:sz w:val="20"/>
          <w:szCs w:val="20"/>
          <w:color w:val="auto"/>
        </w:rPr>
        <w:t>aBSI automatically calculates the disease burden of prostate cancer by detecting and classifying bone scan tracer uptakes as metastatic or benign lesions using an artificial neural network. The cloud based aBSI was made available for clinical use in the U.S. on August 5, 2019. In February 2020, Progenics received a CE mark for the standalone workstation model of aBSI, meeting the quality standards set by the European Economic Area. In September 2020, the FDA granted 510(k) clearance for the use of aBSI as software-as-a-medical device on a GE Healthcare imaging system.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PYLARIFY AI</w:t>
      </w:r>
    </w:p>
    <w:p>
      <w:pPr>
        <w:spacing w:after="0" w:line="131" w:lineRule="exact"/>
        <w:rPr>
          <w:sz w:val="20"/>
          <w:szCs w:val="20"/>
          <w:color w:val="auto"/>
        </w:rPr>
      </w:pPr>
    </w:p>
    <w:p>
      <w:pPr>
        <w:ind w:right="100" w:firstLine="441"/>
        <w:spacing w:after="0" w:line="252" w:lineRule="auto"/>
        <w:rPr>
          <w:sz w:val="20"/>
          <w:szCs w:val="20"/>
          <w:color w:val="auto"/>
        </w:rPr>
      </w:pPr>
      <w:r>
        <w:rPr>
          <w:rFonts w:ascii="Times New Roman" w:cs="Times New Roman" w:eastAsia="Times New Roman" w:hAnsi="Times New Roman"/>
          <w:sz w:val="20"/>
          <w:szCs w:val="20"/>
          <w:color w:val="auto"/>
        </w:rPr>
        <w:t>PYLARIFY AI is an FDA-cleared AI medical device software that is designed to allow healthcare professionals and researchers to perform standardized quantitative assessment of PSMA PET/CT images in prostate cancer, including those images obtained by using PYLARIFY. Our subsidiary, EXINI, was granted 510(k) clearance by the FDA in the U.S. and received a CE mark in Europe for aPROMISE. We commercially launched aPROMISE under the name PYLARIFY AI in the U.S. in November 2021 and the FDA granted us an additional 510(k) clearance during the second quarter of 2022.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Flurpiridaz</w:t>
      </w:r>
    </w:p>
    <w:p>
      <w:pPr>
        <w:spacing w:after="0" w:line="131" w:lineRule="exact"/>
        <w:rPr>
          <w:sz w:val="20"/>
          <w:szCs w:val="20"/>
          <w:color w:val="auto"/>
        </w:rPr>
      </w:pPr>
    </w:p>
    <w:p>
      <w:pPr>
        <w:ind w:right="40" w:firstLine="441"/>
        <w:spacing w:after="0" w:line="271" w:lineRule="auto"/>
        <w:rPr>
          <w:sz w:val="20"/>
          <w:szCs w:val="20"/>
          <w:color w:val="auto"/>
        </w:rPr>
      </w:pPr>
      <w:r>
        <w:rPr>
          <w:rFonts w:ascii="Times New Roman" w:cs="Times New Roman" w:eastAsia="Times New Roman" w:hAnsi="Times New Roman"/>
          <w:sz w:val="19"/>
          <w:szCs w:val="19"/>
          <w:color w:val="auto"/>
        </w:rPr>
        <w:t>In 2017, we entered into a definitive, exclusive global Collaboration and License Agreement with GE Healthcare for development and worldwide commercialization of flurpiridaz, an F-18-based PET MPI agent designed to assess blood flow to the heart in patients suspected of CAD. Under the agreement, we received an upfront cash payment of $5.0 million and are eligible to receive up to $60.0 million in regulatory and sales milestone payments, tiered double-digit royalties on U.S. sales, and mid-single digit</w:t>
      </w:r>
    </w:p>
    <w:p>
      <w:pPr>
        <w:sectPr>
          <w:pgSz w:w="11880" w:h="15480" w:orient="portrait"/>
          <w:cols w:equalWidth="0" w:num="1">
            <w:col w:w="10600"/>
          </w:cols>
          <w:pgMar w:left="640" w:top="622" w:right="640" w:bottom="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880" w:h="15480" w:orient="portrait"/>
          <w:cols w:equalWidth="0" w:num="1">
            <w:col w:w="10600"/>
          </w:cols>
          <w:pgMar w:left="640" w:top="622" w:right="640" w:bottom="0" w:gutter="0" w:footer="0" w:header="0"/>
          <w:type w:val="continuous"/>
        </w:sectPr>
      </w:pPr>
    </w:p>
    <w:bookmarkStart w:id="17" w:name="page18"/>
    <w:bookmarkEnd w:id="17"/>
    <w:p>
      <w:pPr>
        <w:ind w:right="200"/>
        <w:spacing w:after="0" w:line="298" w:lineRule="auto"/>
        <w:rPr>
          <w:sz w:val="20"/>
          <w:szCs w:val="20"/>
          <w:color w:val="auto"/>
        </w:rPr>
      </w:pPr>
      <w:r>
        <w:rPr>
          <w:rFonts w:ascii="Times New Roman" w:cs="Times New Roman" w:eastAsia="Times New Roman" w:hAnsi="Times New Roman"/>
          <w:sz w:val="19"/>
          <w:szCs w:val="19"/>
          <w:color w:val="auto"/>
        </w:rPr>
        <w:t>royalties on sales outside of the U.S. In September 2024, GE Healthcare announced that it had received FDA approval of flurpiridaz under the name Flyrcado for coronary artery disease diagnosis and anticipated commercialization to begin in the first half of 2025.</w:t>
      </w:r>
    </w:p>
    <w:p>
      <w:pPr>
        <w:spacing w:after="0" w:line="160" w:lineRule="exact"/>
        <w:rPr>
          <w:sz w:val="20"/>
          <w:szCs w:val="20"/>
          <w:color w:val="auto"/>
        </w:rPr>
      </w:pPr>
    </w:p>
    <w:p>
      <w:pPr>
        <w:ind w:right="1160" w:firstLine="441"/>
        <w:spacing w:after="0" w:line="431" w:lineRule="auto"/>
        <w:rPr>
          <w:sz w:val="20"/>
          <w:szCs w:val="20"/>
          <w:color w:val="auto"/>
        </w:rPr>
      </w:pPr>
      <w:r>
        <w:rPr>
          <w:rFonts w:ascii="Times New Roman" w:cs="Times New Roman" w:eastAsia="Times New Roman" w:hAnsi="Times New Roman"/>
          <w:sz w:val="20"/>
          <w:szCs w:val="20"/>
          <w:color w:val="auto"/>
        </w:rPr>
        <w:t xml:space="preserve">See Part I, Item 1A.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xml:space="preserve"> for information regarding certain risks associated with our strategic activities. </w:t>
      </w:r>
      <w:r>
        <w:rPr>
          <w:rFonts w:ascii="Times New Roman" w:cs="Times New Roman" w:eastAsia="Times New Roman" w:hAnsi="Times New Roman"/>
          <w:sz w:val="20"/>
          <w:szCs w:val="20"/>
          <w:b w:val="1"/>
          <w:bCs w:val="1"/>
          <w:color w:val="auto"/>
        </w:rPr>
        <w:t>Our Clinical Development Candidates</w:t>
      </w:r>
    </w:p>
    <w:p>
      <w:pPr>
        <w:ind w:right="120" w:firstLine="441"/>
        <w:spacing w:after="0" w:line="271" w:lineRule="auto"/>
        <w:rPr>
          <w:sz w:val="20"/>
          <w:szCs w:val="20"/>
          <w:color w:val="auto"/>
        </w:rPr>
      </w:pPr>
      <w:r>
        <w:rPr>
          <w:rFonts w:ascii="Times New Roman" w:cs="Times New Roman" w:eastAsia="Times New Roman" w:hAnsi="Times New Roman"/>
          <w:sz w:val="20"/>
          <w:szCs w:val="20"/>
          <w:color w:val="auto"/>
        </w:rPr>
        <w:t>In addition to our commercial products and strategic partnerships with third parties, we also have ongoing clinical development programs, including the following:</w:t>
      </w:r>
    </w:p>
    <w:p>
      <w:pPr>
        <w:spacing w:after="0" w:line="65" w:lineRule="exact"/>
        <w:rPr>
          <w:sz w:val="20"/>
          <w:szCs w:val="20"/>
          <w:color w:val="auto"/>
        </w:rPr>
      </w:pPr>
    </w:p>
    <w:p>
      <w:pPr>
        <w:ind w:left="720" w:right="40" w:hanging="183"/>
        <w:spacing w:after="0" w:line="260"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MK-6240 </w:t>
      </w:r>
      <w:r>
        <w:rPr>
          <w:rFonts w:ascii="Times New Roman" w:cs="Times New Roman" w:eastAsia="Times New Roman" w:hAnsi="Times New Roman"/>
          <w:sz w:val="20"/>
          <w:szCs w:val="20"/>
          <w:color w:val="auto"/>
        </w:rPr>
        <w:t>is an investigational late-stage F-18-labeled PET imaging agent that targets tau tangles in Alzheimer’s disease.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MK-6240 is currently in Phase 3 development and is also being used in over 100 ongoing academic and industry trials, many for late-stage therapeutic candidates.</w:t>
      </w:r>
    </w:p>
    <w:p>
      <w:pPr>
        <w:spacing w:after="0" w:line="75" w:lineRule="exact"/>
        <w:rPr>
          <w:rFonts w:ascii="Times New Roman" w:cs="Times New Roman" w:eastAsia="Times New Roman" w:hAnsi="Times New Roman"/>
          <w:sz w:val="20"/>
          <w:szCs w:val="20"/>
          <w:color w:val="auto"/>
        </w:rPr>
      </w:pPr>
    </w:p>
    <w:p>
      <w:pPr>
        <w:ind w:left="720" w:right="80" w:hanging="183"/>
        <w:spacing w:after="0" w:line="302" w:lineRule="auto"/>
        <w:tabs>
          <w:tab w:leader="none" w:pos="72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NAV-4694 </w:t>
      </w:r>
      <w:r>
        <w:rPr>
          <w:rFonts w:ascii="Times New Roman" w:cs="Times New Roman" w:eastAsia="Times New Roman" w:hAnsi="Times New Roman"/>
          <w:sz w:val="19"/>
          <w:szCs w:val="19"/>
          <w:color w:val="auto"/>
        </w:rPr>
        <w:t>is an investigational late-stage F-18-labeled PET imaging agent that targets beta amyloid in Alzheimer’s disease,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NAV-4694 is currently in Phase 3 development and is also being used in academic and industry sponsored clinical trials.</w:t>
      </w:r>
    </w:p>
    <w:p>
      <w:pPr>
        <w:spacing w:after="0" w:line="38" w:lineRule="exact"/>
        <w:rPr>
          <w:rFonts w:ascii="Times New Roman" w:cs="Times New Roman" w:eastAsia="Times New Roman" w:hAnsi="Times New Roman"/>
          <w:sz w:val="19"/>
          <w:szCs w:val="19"/>
          <w:color w:val="auto"/>
        </w:rPr>
      </w:pPr>
    </w:p>
    <w:p>
      <w:pPr>
        <w:ind w:left="720" w:hanging="183"/>
        <w:spacing w:after="0" w:line="248"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PNT2002 </w:t>
      </w:r>
      <w:r>
        <w:rPr>
          <w:rFonts w:ascii="Times New Roman" w:cs="Times New Roman" w:eastAsia="Times New Roman" w:hAnsi="Times New Roman"/>
          <w:sz w:val="20"/>
          <w:szCs w:val="20"/>
          <w:color w:val="auto"/>
        </w:rPr>
        <w:t>is an investigational PSMA-targeted radiopharmaceutical therapy for the treatment of mCRPC. On December 18,</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2023, we announced positive topline results from SPLASH, the Phase 3 registrational trial for PNT2002 designed to evaluate superiority to the standard of care in mCRPC pre-chemotherapy patients who have failed one androgen receptor pathway inhibitor. At the time of the analysis, interim OS results were immature (46% of protocol pre-specified target OS events reached), and the HR was 1.11. On September 15, 2024, we presented additional clinical data from initial topline results of SPLASH during the European Society of Medical Oncology Congress 2024. On November 6, 2024, we announced that the second interim analysis performed at 75% of protocol pre-specified OS demonstrated results for both rPFS and OS that did not materially change from the interim analysis that was performed at 46% of pre-specified OS events. Crossover adjusted analyses were post hoc, and we are continuing to review the data and perform additional subset analyses in collaboration with our partner in preparation for further interactions on our path forward.</w:t>
      </w:r>
    </w:p>
    <w:p>
      <w:pPr>
        <w:spacing w:after="0" w:line="93" w:lineRule="exact"/>
        <w:rPr>
          <w:rFonts w:ascii="Times New Roman" w:cs="Times New Roman" w:eastAsia="Times New Roman" w:hAnsi="Times New Roman"/>
          <w:sz w:val="20"/>
          <w:szCs w:val="20"/>
          <w:color w:val="auto"/>
        </w:rPr>
      </w:pPr>
    </w:p>
    <w:p>
      <w:pPr>
        <w:ind w:left="720" w:right="140" w:hanging="183"/>
        <w:spacing w:after="0" w:line="251"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PNT2003 </w:t>
      </w:r>
      <w:r>
        <w:rPr>
          <w:rFonts w:ascii="Times New Roman" w:cs="Times New Roman" w:eastAsia="Times New Roman" w:hAnsi="Times New Roman"/>
          <w:sz w:val="20"/>
          <w:szCs w:val="20"/>
          <w:color w:val="auto"/>
        </w:rPr>
        <w:t>is an investigational SSTR therapy with non-carrier added lutetium-177, which is in registration to treat patients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with SSTR-positive neuroendocrine tumors. On January 11, 2024, we announced that our ANDA for PNT2003, which included Paragraph IV certification, was accepted for filing by the FDA. Pursuant to the procedure set forth in the Hatch Waxman Act, we were sued for patent infringement by Advanced Accelerator Applications USA, Inc. and Advanced Accelerator Applications SA, each a Novartis entity. See Part I, Item 1. </w:t>
      </w:r>
      <w:r>
        <w:rPr>
          <w:rFonts w:ascii="Times New Roman" w:cs="Times New Roman" w:eastAsia="Times New Roman" w:hAnsi="Times New Roman"/>
          <w:sz w:val="20"/>
          <w:szCs w:val="20"/>
          <w:i w:val="1"/>
          <w:iCs w:val="1"/>
          <w:color w:val="auto"/>
        </w:rPr>
        <w:t>“Business - Other Notable Transactions - Exclusive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License for PNT2002 &amp; PNT2003 - PNT2003,” </w:t>
      </w:r>
      <w:r>
        <w:rPr>
          <w:rFonts w:ascii="Times New Roman" w:cs="Times New Roman" w:eastAsia="Times New Roman" w:hAnsi="Times New Roman"/>
          <w:sz w:val="20"/>
          <w:szCs w:val="20"/>
          <w:color w:val="auto"/>
        </w:rPr>
        <w:t>for more information on the litigation.</w:t>
      </w:r>
    </w:p>
    <w:p>
      <w:pPr>
        <w:spacing w:after="0" w:line="85" w:lineRule="exact"/>
        <w:rPr>
          <w:rFonts w:ascii="Times New Roman" w:cs="Times New Roman" w:eastAsia="Times New Roman" w:hAnsi="Times New Roman"/>
          <w:sz w:val="20"/>
          <w:szCs w:val="20"/>
          <w:color w:val="auto"/>
        </w:rPr>
      </w:pPr>
    </w:p>
    <w:p>
      <w:pPr>
        <w:ind w:left="720" w:right="100" w:hanging="183"/>
        <w:spacing w:after="0" w:line="255"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LNTH-1363S </w:t>
      </w:r>
      <w:r>
        <w:rPr>
          <w:rFonts w:ascii="Times New Roman" w:cs="Times New Roman" w:eastAsia="Times New Roman" w:hAnsi="Times New Roman"/>
          <w:sz w:val="20"/>
          <w:szCs w:val="20"/>
          <w:color w:val="auto"/>
        </w:rPr>
        <w:t>is an investigational fibroblast activation protein, alpha targeted, copper-64 labeled PET imaging agent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candidate that we believe could have broad potential imaging applicability and use in oncology. We completed a Phase 1 study for LNTH-1363S to evaluate the pharmacokinetics, biodistribution and radiation dosimetry in adult healthy volunteers and initiated a Phase 1/2a study.</w:t>
      </w:r>
    </w:p>
    <w:p>
      <w:pPr>
        <w:spacing w:after="0" w:line="80" w:lineRule="exact"/>
        <w:rPr>
          <w:rFonts w:ascii="Times New Roman" w:cs="Times New Roman" w:eastAsia="Times New Roman" w:hAnsi="Times New Roman"/>
          <w:sz w:val="20"/>
          <w:szCs w:val="20"/>
          <w:color w:val="auto"/>
        </w:rPr>
      </w:pPr>
    </w:p>
    <w:p>
      <w:pPr>
        <w:ind w:left="720" w:right="220" w:hanging="183"/>
        <w:spacing w:after="0" w:line="275"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LNTH-2401</w:t>
      </w:r>
      <w:r>
        <w:rPr>
          <w:rFonts w:ascii="Times New Roman" w:cs="Times New Roman" w:eastAsia="Times New Roman" w:hAnsi="Times New Roman"/>
          <w:sz w:val="20"/>
          <w:szCs w:val="20"/>
          <w:color w:val="auto"/>
        </w:rPr>
        <w:t>, also known as 68Ga-DOTA-RM2, is a novel radiodiagnostic targeting the gastrin-releasing peptide receptor.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We expect LNTH-2401 could be used as a companion diagnostic to LNTH-2402.</w:t>
      </w:r>
    </w:p>
    <w:p>
      <w:pPr>
        <w:spacing w:after="0" w:line="60" w:lineRule="exact"/>
        <w:rPr>
          <w:rFonts w:ascii="Times New Roman" w:cs="Times New Roman" w:eastAsia="Times New Roman" w:hAnsi="Times New Roman"/>
          <w:sz w:val="20"/>
          <w:szCs w:val="20"/>
          <w:color w:val="auto"/>
        </w:rPr>
      </w:pPr>
    </w:p>
    <w:p>
      <w:pPr>
        <w:jc w:val="both"/>
        <w:ind w:left="720" w:right="200" w:hanging="183"/>
        <w:spacing w:after="0" w:line="260"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LNTH-2402</w:t>
      </w:r>
      <w:r>
        <w:rPr>
          <w:rFonts w:ascii="Times New Roman" w:cs="Times New Roman" w:eastAsia="Times New Roman" w:hAnsi="Times New Roman"/>
          <w:sz w:val="20"/>
          <w:szCs w:val="20"/>
          <w:color w:val="auto"/>
        </w:rPr>
        <w:t>, also known as 177Lu-DOTA-RM2, is a novel gastrin-releasing peptide receptor targeted radiotherapeutic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solid tumors including prostate, breast, lung and other cancers. We intend to begin a Phase 1/2a study with LNTH-2402 in prostate cancer patients in 2025.</w:t>
      </w:r>
    </w:p>
    <w:p>
      <w:pPr>
        <w:spacing w:after="0" w:line="75" w:lineRule="exact"/>
        <w:rPr>
          <w:rFonts w:ascii="Times New Roman" w:cs="Times New Roman" w:eastAsia="Times New Roman" w:hAnsi="Times New Roman"/>
          <w:sz w:val="20"/>
          <w:szCs w:val="20"/>
          <w:color w:val="auto"/>
        </w:rPr>
      </w:pPr>
    </w:p>
    <w:p>
      <w:pPr>
        <w:ind w:left="720" w:right="140" w:hanging="183"/>
        <w:spacing w:after="0" w:line="275"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LNTH-2403</w:t>
      </w:r>
      <w:r>
        <w:rPr>
          <w:rFonts w:ascii="Times New Roman" w:cs="Times New Roman" w:eastAsia="Times New Roman" w:hAnsi="Times New Roman"/>
          <w:sz w:val="20"/>
          <w:szCs w:val="20"/>
          <w:color w:val="auto"/>
        </w:rPr>
        <w:t>, also known as LRRC15, is a leucine-Rich Repeat-Containing Protein 15 targeted radiotherapeutic. It received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Orphan Drug and Rare Pediatric Disease designation from the FDA for the treatment of osteosarcoma.</w:t>
      </w:r>
    </w:p>
    <w:p>
      <w:pPr>
        <w:spacing w:after="0" w:line="60" w:lineRule="exact"/>
        <w:rPr>
          <w:rFonts w:ascii="Times New Roman" w:cs="Times New Roman" w:eastAsia="Times New Roman" w:hAnsi="Times New Roman"/>
          <w:sz w:val="20"/>
          <w:szCs w:val="20"/>
          <w:color w:val="auto"/>
        </w:rPr>
      </w:pPr>
    </w:p>
    <w:p>
      <w:pPr>
        <w:jc w:val="both"/>
        <w:ind w:left="720" w:right="420" w:hanging="183"/>
        <w:spacing w:after="0" w:line="260"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LNTH-2404 </w:t>
      </w:r>
      <w:r>
        <w:rPr>
          <w:rFonts w:ascii="Times New Roman" w:cs="Times New Roman" w:eastAsia="Times New Roman" w:hAnsi="Times New Roman"/>
          <w:sz w:val="20"/>
          <w:szCs w:val="20"/>
          <w:color w:val="auto"/>
        </w:rPr>
        <w:t>is a Trophoblast cell surface antigen-2 targeted radiotherapeutic designed to target TROP2, an intracellular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calcium signal transducer that is overexpressed in various types of adenocarcinomas with minimal expression in normal tissues and is associated with tumor aggressiveness, poor prognosis and drug resistance.</w:t>
      </w:r>
    </w:p>
    <w:p>
      <w:pPr>
        <w:spacing w:after="0" w:line="197" w:lineRule="exact"/>
        <w:rPr>
          <w:sz w:val="20"/>
          <w:szCs w:val="20"/>
          <w:color w:val="auto"/>
        </w:rPr>
      </w:pPr>
    </w:p>
    <w:p>
      <w:pPr>
        <w:ind w:right="100" w:firstLine="441"/>
        <w:spacing w:after="0" w:line="254" w:lineRule="auto"/>
        <w:rPr>
          <w:sz w:val="20"/>
          <w:szCs w:val="20"/>
          <w:color w:val="auto"/>
        </w:rPr>
      </w:pPr>
      <w:r>
        <w:rPr>
          <w:rFonts w:ascii="Times New Roman" w:cs="Times New Roman" w:eastAsia="Times New Roman" w:hAnsi="Times New Roman"/>
          <w:sz w:val="20"/>
          <w:szCs w:val="20"/>
          <w:color w:val="auto"/>
        </w:rPr>
        <w:t>For the years ended December 31, 2024, 2023 and 2022, we invested $168.1 million, $77.7 million and $311.7 million in research and development (“R&amp;D”), respectively, primarily related to our clinical development candidates. In addition to our clinical development group, our R&amp;D team also includes our Medical Affairs, Regulatory, Clinical Operations, Research and Pharmaceutical Development, and Isotope Strategy functions.</w:t>
      </w:r>
    </w:p>
    <w:p>
      <w:pPr>
        <w:spacing w:after="0" w:line="199" w:lineRule="exact"/>
        <w:rPr>
          <w:sz w:val="20"/>
          <w:szCs w:val="20"/>
          <w:color w:val="auto"/>
        </w:rPr>
      </w:pPr>
    </w:p>
    <w:p>
      <w:pPr>
        <w:ind w:firstLine="441"/>
        <w:spacing w:after="0" w:line="275" w:lineRule="auto"/>
        <w:rPr>
          <w:sz w:val="20"/>
          <w:szCs w:val="20"/>
          <w:color w:val="auto"/>
        </w:rPr>
      </w:pPr>
      <w:r>
        <w:rPr>
          <w:rFonts w:ascii="Times New Roman" w:cs="Times New Roman" w:eastAsia="Times New Roman" w:hAnsi="Times New Roman"/>
          <w:sz w:val="20"/>
          <w:szCs w:val="20"/>
          <w:color w:val="auto"/>
        </w:rPr>
        <w:t xml:space="preserve">See Part I, Item 1A.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xml:space="preserve"> for information regarding certain risks associated with our strategic partnerships and clinical development programs.</w:t>
      </w:r>
    </w:p>
    <w:p>
      <w:pPr>
        <w:sectPr>
          <w:pgSz w:w="11880" w:h="15480" w:orient="portrait"/>
          <w:cols w:equalWidth="0" w:num="1">
            <w:col w:w="10560"/>
          </w:cols>
          <w:pgMar w:left="640" w:top="622" w:right="6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w:t>
      </w:r>
    </w:p>
    <w:p>
      <w:pPr>
        <w:sectPr>
          <w:pgSz w:w="11880" w:h="15480" w:orient="portrait"/>
          <w:cols w:equalWidth="0" w:num="1">
            <w:col w:w="10560"/>
          </w:cols>
          <w:pgMar w:left="640" w:top="622" w:right="680" w:bottom="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color w:val="auto"/>
        </w:rPr>
        <w:t>Distribution, Marketing and Sales</w:t>
      </w:r>
    </w:p>
    <w:p>
      <w:pPr>
        <w:spacing w:after="0" w:line="130" w:lineRule="exact"/>
        <w:rPr>
          <w:sz w:val="20"/>
          <w:szCs w:val="20"/>
          <w:color w:val="auto"/>
        </w:rPr>
      </w:pPr>
    </w:p>
    <w:p>
      <w:pPr>
        <w:ind w:right="240" w:firstLine="441"/>
        <w:spacing w:after="0" w:line="271" w:lineRule="auto"/>
        <w:rPr>
          <w:sz w:val="20"/>
          <w:szCs w:val="20"/>
          <w:color w:val="auto"/>
        </w:rPr>
      </w:pPr>
      <w:r>
        <w:rPr>
          <w:rFonts w:ascii="Times New Roman" w:cs="Times New Roman" w:eastAsia="Times New Roman" w:hAnsi="Times New Roman"/>
          <w:sz w:val="20"/>
          <w:szCs w:val="20"/>
          <w:color w:val="auto"/>
        </w:rPr>
        <w:t>The following table sets forth certain key market information for each of our commercial pharmaceutical products within each product category:</w:t>
      </w:r>
    </w:p>
    <w:p>
      <w:pPr>
        <w:spacing w:after="0" w:line="116"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2820" w:type="dxa"/>
            <w:vAlign w:val="bottom"/>
            <w:gridSpan w:val="3"/>
          </w:tcPr>
          <w:p>
            <w:pPr>
              <w:ind w:left="1400"/>
              <w:spacing w:after="0"/>
              <w:rPr>
                <w:sz w:val="20"/>
                <w:szCs w:val="20"/>
                <w:color w:val="auto"/>
              </w:rPr>
            </w:pPr>
            <w:r>
              <w:rPr>
                <w:rFonts w:ascii="Times New Roman" w:cs="Times New Roman" w:eastAsia="Times New Roman" w:hAnsi="Times New Roman"/>
                <w:sz w:val="16"/>
                <w:szCs w:val="16"/>
                <w:b w:val="1"/>
                <w:bCs w:val="1"/>
                <w:color w:val="auto"/>
              </w:rPr>
              <w:t>Product</w:t>
            </w:r>
          </w:p>
        </w:tc>
        <w:tc>
          <w:tcPr>
            <w:tcW w:w="5760" w:type="dxa"/>
            <w:vAlign w:val="bottom"/>
          </w:tcPr>
          <w:p>
            <w:pPr>
              <w:jc w:val="center"/>
              <w:ind w:left="482"/>
              <w:spacing w:after="0"/>
              <w:rPr>
                <w:sz w:val="20"/>
                <w:szCs w:val="20"/>
                <w:color w:val="auto"/>
              </w:rPr>
            </w:pPr>
            <w:r>
              <w:rPr>
                <w:rFonts w:ascii="Times New Roman" w:cs="Times New Roman" w:eastAsia="Times New Roman" w:hAnsi="Times New Roman"/>
                <w:sz w:val="16"/>
                <w:szCs w:val="16"/>
                <w:b w:val="1"/>
                <w:bCs w:val="1"/>
                <w:color w:val="auto"/>
                <w:w w:val="98"/>
              </w:rPr>
              <w:t>Approved Markets</w:t>
            </w: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880" w:type="dxa"/>
            <w:vAlign w:val="bottom"/>
            <w:gridSpan w:val="4"/>
            <w:shd w:val="clear" w:color="auto" w:fill="E9E9E9"/>
          </w:tcPr>
          <w:p>
            <w:pPr>
              <w:ind w:left="60"/>
              <w:spacing w:after="0"/>
              <w:rPr>
                <w:sz w:val="20"/>
                <w:szCs w:val="20"/>
                <w:color w:val="auto"/>
              </w:rPr>
            </w:pPr>
            <w:r>
              <w:rPr>
                <w:rFonts w:ascii="Times New Roman" w:cs="Times New Roman" w:eastAsia="Times New Roman" w:hAnsi="Times New Roman"/>
                <w:sz w:val="16"/>
                <w:szCs w:val="16"/>
                <w:b w:val="1"/>
                <w:bCs w:val="1"/>
                <w:color w:val="auto"/>
              </w:rPr>
              <w:t>Radiopharmaceutical Oncology</w:t>
            </w:r>
          </w:p>
        </w:tc>
        <w:tc>
          <w:tcPr>
            <w:tcW w:w="5760" w:type="dxa"/>
            <w:vAlign w:val="bottom"/>
            <w:shd w:val="clear" w:color="auto" w:fill="E9E9E9"/>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Borders>
              <w:top w:val="single" w:sz="8" w:color="E9E9E9"/>
            </w:tcBorders>
            <w:shd w:val="clear" w:color="auto" w:fill="E9E9E9"/>
          </w:tcPr>
          <w:p>
            <w:pPr>
              <w:spacing w:after="0"/>
              <w:rPr>
                <w:sz w:val="2"/>
                <w:szCs w:val="2"/>
                <w:color w:val="auto"/>
              </w:rPr>
            </w:pPr>
          </w:p>
        </w:tc>
        <w:tc>
          <w:tcPr>
            <w:tcW w:w="1420" w:type="dxa"/>
            <w:vAlign w:val="bottom"/>
            <w:tcBorders>
              <w:top w:val="single" w:sz="8" w:color="auto"/>
            </w:tcBorders>
            <w:shd w:val="clear" w:color="auto" w:fill="E9E9E9"/>
          </w:tcPr>
          <w:p>
            <w:pPr>
              <w:spacing w:after="0"/>
              <w:rPr>
                <w:sz w:val="2"/>
                <w:szCs w:val="2"/>
                <w:color w:val="auto"/>
              </w:rPr>
            </w:pPr>
          </w:p>
        </w:tc>
        <w:tc>
          <w:tcPr>
            <w:tcW w:w="700" w:type="dxa"/>
            <w:vAlign w:val="bottom"/>
            <w:tcBorders>
              <w:top w:val="single" w:sz="8" w:color="auto"/>
            </w:tcBorders>
            <w:shd w:val="clear" w:color="auto" w:fill="E9E9E9"/>
          </w:tcPr>
          <w:p>
            <w:pPr>
              <w:spacing w:after="0"/>
              <w:rPr>
                <w:sz w:val="2"/>
                <w:szCs w:val="2"/>
                <w:color w:val="auto"/>
              </w:rPr>
            </w:pPr>
          </w:p>
        </w:tc>
        <w:tc>
          <w:tcPr>
            <w:tcW w:w="700" w:type="dxa"/>
            <w:vAlign w:val="bottom"/>
            <w:tcBorders>
              <w:top w:val="single" w:sz="8" w:color="E9E9E9"/>
            </w:tcBorders>
            <w:shd w:val="clear" w:color="auto" w:fill="E9E9E9"/>
          </w:tcPr>
          <w:p>
            <w:pPr>
              <w:spacing w:after="0"/>
              <w:rPr>
                <w:sz w:val="2"/>
                <w:szCs w:val="2"/>
                <w:color w:val="auto"/>
              </w:rPr>
            </w:pPr>
          </w:p>
        </w:tc>
        <w:tc>
          <w:tcPr>
            <w:tcW w:w="5760" w:type="dxa"/>
            <w:vAlign w:val="bottom"/>
            <w:tcBorders>
              <w:top w:val="single" w:sz="8" w:color="E9E9E9"/>
            </w:tcBorders>
            <w:shd w:val="clear" w:color="auto" w:fill="E9E9E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8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PYLARIFY</w:t>
            </w:r>
          </w:p>
        </w:tc>
        <w:tc>
          <w:tcPr>
            <w:tcW w:w="5760" w:type="dxa"/>
            <w:vAlign w:val="bottom"/>
          </w:tcPr>
          <w:p>
            <w:pPr>
              <w:jc w:val="center"/>
              <w:ind w:left="542"/>
              <w:spacing w:after="0"/>
              <w:rPr>
                <w:sz w:val="20"/>
                <w:szCs w:val="20"/>
                <w:color w:val="auto"/>
              </w:rPr>
            </w:pPr>
            <w:r>
              <w:rPr>
                <w:rFonts w:ascii="Times New Roman" w:cs="Times New Roman" w:eastAsia="Times New Roman" w:hAnsi="Times New Roman"/>
                <w:sz w:val="16"/>
                <w:szCs w:val="16"/>
                <w:color w:val="auto"/>
                <w:w w:val="97"/>
              </w:rPr>
              <w:t>European Union*, United States</w:t>
            </w:r>
          </w:p>
        </w:tc>
        <w:tc>
          <w:tcPr>
            <w:tcW w:w="0" w:type="dxa"/>
            <w:vAlign w:val="bottom"/>
          </w:tcPr>
          <w:p>
            <w:pPr>
              <w:spacing w:after="0"/>
              <w:rPr>
                <w:sz w:val="1"/>
                <w:szCs w:val="1"/>
                <w:color w:val="auto"/>
              </w:rPr>
            </w:pPr>
          </w:p>
        </w:tc>
      </w:tr>
      <w:tr>
        <w:trPr>
          <w:trHeight w:val="206"/>
        </w:trPr>
        <w:tc>
          <w:tcPr>
            <w:tcW w:w="2880" w:type="dxa"/>
            <w:vAlign w:val="bottom"/>
            <w:gridSpan w:val="4"/>
            <w:shd w:val="clear" w:color="auto" w:fill="E9E9E9"/>
          </w:tcPr>
          <w:p>
            <w:pPr>
              <w:ind w:left="60"/>
              <w:spacing w:after="0"/>
              <w:rPr>
                <w:sz w:val="20"/>
                <w:szCs w:val="20"/>
                <w:color w:val="auto"/>
              </w:rPr>
            </w:pPr>
            <w:r>
              <w:rPr>
                <w:rFonts w:ascii="Times New Roman" w:cs="Times New Roman" w:eastAsia="Times New Roman" w:hAnsi="Times New Roman"/>
                <w:sz w:val="16"/>
                <w:szCs w:val="16"/>
                <w:b w:val="1"/>
                <w:bCs w:val="1"/>
                <w:color w:val="auto"/>
              </w:rPr>
              <w:t>Precision Diagnostics</w:t>
            </w:r>
          </w:p>
        </w:tc>
        <w:tc>
          <w:tcPr>
            <w:tcW w:w="5760" w:type="dxa"/>
            <w:vAlign w:val="bottom"/>
            <w:shd w:val="clear" w:color="auto" w:fill="E9E9E9"/>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Borders>
              <w:top w:val="single" w:sz="8" w:color="E9E9E9"/>
            </w:tcBorders>
            <w:shd w:val="clear" w:color="auto" w:fill="E9E9E9"/>
          </w:tcPr>
          <w:p>
            <w:pPr>
              <w:spacing w:after="0"/>
              <w:rPr>
                <w:sz w:val="2"/>
                <w:szCs w:val="2"/>
                <w:color w:val="auto"/>
              </w:rPr>
            </w:pPr>
          </w:p>
        </w:tc>
        <w:tc>
          <w:tcPr>
            <w:tcW w:w="1420" w:type="dxa"/>
            <w:vAlign w:val="bottom"/>
            <w:tcBorders>
              <w:top w:val="single" w:sz="8" w:color="auto"/>
            </w:tcBorders>
            <w:shd w:val="clear" w:color="auto" w:fill="E9E9E9"/>
          </w:tcPr>
          <w:p>
            <w:pPr>
              <w:spacing w:after="0"/>
              <w:rPr>
                <w:sz w:val="2"/>
                <w:szCs w:val="2"/>
                <w:color w:val="auto"/>
              </w:rPr>
            </w:pPr>
          </w:p>
        </w:tc>
        <w:tc>
          <w:tcPr>
            <w:tcW w:w="700" w:type="dxa"/>
            <w:vAlign w:val="bottom"/>
            <w:tcBorders>
              <w:top w:val="single" w:sz="8" w:color="E9E9E9"/>
            </w:tcBorders>
            <w:shd w:val="clear" w:color="auto" w:fill="E9E9E9"/>
          </w:tcPr>
          <w:p>
            <w:pPr>
              <w:spacing w:after="0"/>
              <w:rPr>
                <w:sz w:val="2"/>
                <w:szCs w:val="2"/>
                <w:color w:val="auto"/>
              </w:rPr>
            </w:pPr>
          </w:p>
        </w:tc>
        <w:tc>
          <w:tcPr>
            <w:tcW w:w="700" w:type="dxa"/>
            <w:vAlign w:val="bottom"/>
            <w:tcBorders>
              <w:top w:val="single" w:sz="8" w:color="E9E9E9"/>
            </w:tcBorders>
            <w:shd w:val="clear" w:color="auto" w:fill="E9E9E9"/>
          </w:tcPr>
          <w:p>
            <w:pPr>
              <w:spacing w:after="0"/>
              <w:rPr>
                <w:sz w:val="2"/>
                <w:szCs w:val="2"/>
                <w:color w:val="auto"/>
              </w:rPr>
            </w:pPr>
          </w:p>
        </w:tc>
        <w:tc>
          <w:tcPr>
            <w:tcW w:w="5760" w:type="dxa"/>
            <w:vAlign w:val="bottom"/>
            <w:tcBorders>
              <w:top w:val="single" w:sz="8" w:color="E9E9E9"/>
            </w:tcBorders>
            <w:shd w:val="clear" w:color="auto" w:fill="E9E9E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288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auto"/>
              </w:rPr>
              <w:t>DEFINITY (or LUMINITY)</w:t>
            </w:r>
          </w:p>
        </w:tc>
        <w:tc>
          <w:tcPr>
            <w:tcW w:w="5760" w:type="dxa"/>
            <w:vAlign w:val="bottom"/>
          </w:tcPr>
          <w:p>
            <w:pPr>
              <w:jc w:val="center"/>
              <w:ind w:left="502"/>
              <w:spacing w:after="0"/>
              <w:rPr>
                <w:sz w:val="20"/>
                <w:szCs w:val="20"/>
                <w:color w:val="auto"/>
              </w:rPr>
            </w:pPr>
            <w:r>
              <w:rPr>
                <w:rFonts w:ascii="Times New Roman" w:cs="Times New Roman" w:eastAsia="Times New Roman" w:hAnsi="Times New Roman"/>
                <w:sz w:val="16"/>
                <w:szCs w:val="16"/>
                <w:color w:val="auto"/>
                <w:w w:val="98"/>
              </w:rPr>
              <w:t>Australia, Canada, China, European Union, European Economic Area, Israel,</w:t>
            </w:r>
          </w:p>
        </w:tc>
        <w:tc>
          <w:tcPr>
            <w:tcW w:w="0" w:type="dxa"/>
            <w:vAlign w:val="bottom"/>
          </w:tcPr>
          <w:p>
            <w:pPr>
              <w:spacing w:after="0"/>
              <w:rPr>
                <w:sz w:val="1"/>
                <w:szCs w:val="1"/>
                <w:color w:val="auto"/>
              </w:rPr>
            </w:pPr>
          </w:p>
        </w:tc>
      </w:tr>
      <w:tr>
        <w:trPr>
          <w:trHeight w:val="124"/>
        </w:trPr>
        <w:tc>
          <w:tcPr>
            <w:tcW w:w="2880" w:type="dxa"/>
            <w:vAlign w:val="bottom"/>
            <w:gridSpan w:val="4"/>
            <w:vMerge w:val="continue"/>
          </w:tcPr>
          <w:p>
            <w:pPr>
              <w:spacing w:after="0"/>
              <w:rPr>
                <w:sz w:val="10"/>
                <w:szCs w:val="10"/>
                <w:color w:val="auto"/>
              </w:rPr>
            </w:pPr>
          </w:p>
        </w:tc>
        <w:tc>
          <w:tcPr>
            <w:tcW w:w="5760" w:type="dxa"/>
            <w:vAlign w:val="bottom"/>
            <w:vMerge w:val="restart"/>
          </w:tcPr>
          <w:p>
            <w:pPr>
              <w:jc w:val="center"/>
              <w:ind w:left="502"/>
              <w:spacing w:after="0"/>
              <w:rPr>
                <w:sz w:val="20"/>
                <w:szCs w:val="20"/>
                <w:color w:val="auto"/>
              </w:rPr>
            </w:pPr>
            <w:r>
              <w:rPr>
                <w:rFonts w:ascii="Times New Roman" w:cs="Times New Roman" w:eastAsia="Times New Roman" w:hAnsi="Times New Roman"/>
                <w:sz w:val="16"/>
                <w:szCs w:val="16"/>
                <w:color w:val="auto"/>
                <w:w w:val="98"/>
              </w:rPr>
              <w:t>New Zealand, United Kingdom, United States</w:t>
            </w:r>
          </w:p>
        </w:tc>
        <w:tc>
          <w:tcPr>
            <w:tcW w:w="0" w:type="dxa"/>
            <w:vAlign w:val="bottom"/>
          </w:tcPr>
          <w:p>
            <w:pPr>
              <w:spacing w:after="0"/>
              <w:rPr>
                <w:sz w:val="1"/>
                <w:szCs w:val="1"/>
                <w:color w:val="auto"/>
              </w:rPr>
            </w:pPr>
          </w:p>
        </w:tc>
      </w:tr>
      <w:tr>
        <w:trPr>
          <w:trHeight w:val="79"/>
        </w:trPr>
        <w:tc>
          <w:tcPr>
            <w:tcW w:w="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1"/>
        </w:trPr>
        <w:tc>
          <w:tcPr>
            <w:tcW w:w="2880" w:type="dxa"/>
            <w:vAlign w:val="bottom"/>
            <w:gridSpan w:val="4"/>
            <w:shd w:val="clear" w:color="auto" w:fill="E9E9E9"/>
          </w:tcPr>
          <w:p>
            <w:pPr>
              <w:ind w:left="60"/>
              <w:spacing w:after="0"/>
              <w:rPr>
                <w:sz w:val="20"/>
                <w:szCs w:val="20"/>
                <w:color w:val="auto"/>
              </w:rPr>
            </w:pPr>
            <w:r>
              <w:rPr>
                <w:rFonts w:ascii="Times New Roman" w:cs="Times New Roman" w:eastAsia="Times New Roman" w:hAnsi="Times New Roman"/>
                <w:sz w:val="16"/>
                <w:szCs w:val="16"/>
                <w:color w:val="auto"/>
              </w:rPr>
              <w:t>TechneLite</w:t>
            </w:r>
          </w:p>
        </w:tc>
        <w:tc>
          <w:tcPr>
            <w:tcW w:w="5760" w:type="dxa"/>
            <w:vAlign w:val="bottom"/>
            <w:shd w:val="clear" w:color="auto" w:fill="E9E9E9"/>
          </w:tcPr>
          <w:p>
            <w:pPr>
              <w:jc w:val="center"/>
              <w:ind w:left="502"/>
              <w:spacing w:after="0"/>
              <w:rPr>
                <w:sz w:val="20"/>
                <w:szCs w:val="20"/>
                <w:color w:val="auto"/>
              </w:rPr>
            </w:pPr>
            <w:r>
              <w:rPr>
                <w:rFonts w:ascii="Times New Roman" w:cs="Times New Roman" w:eastAsia="Times New Roman" w:hAnsi="Times New Roman"/>
                <w:sz w:val="16"/>
                <w:szCs w:val="16"/>
                <w:color w:val="auto"/>
                <w:w w:val="97"/>
              </w:rPr>
              <w:t>Australia, Canada, Colombia, South Korea, Taiwan, United States</w:t>
            </w:r>
          </w:p>
        </w:tc>
        <w:tc>
          <w:tcPr>
            <w:tcW w:w="0" w:type="dxa"/>
            <w:vAlign w:val="bottom"/>
          </w:tcPr>
          <w:p>
            <w:pPr>
              <w:spacing w:after="0"/>
              <w:rPr>
                <w:sz w:val="1"/>
                <w:szCs w:val="1"/>
                <w:color w:val="auto"/>
              </w:rPr>
            </w:pPr>
          </w:p>
        </w:tc>
      </w:tr>
      <w:tr>
        <w:trPr>
          <w:trHeight w:val="100"/>
        </w:trPr>
        <w:tc>
          <w:tcPr>
            <w:tcW w:w="60" w:type="dxa"/>
            <w:vAlign w:val="bottom"/>
            <w:shd w:val="clear" w:color="auto" w:fill="E9E9E9"/>
          </w:tcPr>
          <w:p>
            <w:pPr>
              <w:spacing w:after="0"/>
              <w:rPr>
                <w:sz w:val="8"/>
                <w:szCs w:val="8"/>
                <w:color w:val="auto"/>
              </w:rPr>
            </w:pPr>
          </w:p>
        </w:tc>
        <w:tc>
          <w:tcPr>
            <w:tcW w:w="1420" w:type="dxa"/>
            <w:vAlign w:val="bottom"/>
            <w:shd w:val="clear" w:color="auto" w:fill="E9E9E9"/>
          </w:tcPr>
          <w:p>
            <w:pPr>
              <w:spacing w:after="0"/>
              <w:rPr>
                <w:sz w:val="8"/>
                <w:szCs w:val="8"/>
                <w:color w:val="auto"/>
              </w:rPr>
            </w:pPr>
          </w:p>
        </w:tc>
        <w:tc>
          <w:tcPr>
            <w:tcW w:w="700" w:type="dxa"/>
            <w:vAlign w:val="bottom"/>
            <w:shd w:val="clear" w:color="auto" w:fill="E9E9E9"/>
          </w:tcPr>
          <w:p>
            <w:pPr>
              <w:spacing w:after="0"/>
              <w:rPr>
                <w:sz w:val="8"/>
                <w:szCs w:val="8"/>
                <w:color w:val="auto"/>
              </w:rPr>
            </w:pPr>
          </w:p>
        </w:tc>
        <w:tc>
          <w:tcPr>
            <w:tcW w:w="700" w:type="dxa"/>
            <w:vAlign w:val="bottom"/>
            <w:shd w:val="clear" w:color="auto" w:fill="E9E9E9"/>
          </w:tcPr>
          <w:p>
            <w:pPr>
              <w:spacing w:after="0"/>
              <w:rPr>
                <w:sz w:val="8"/>
                <w:szCs w:val="8"/>
                <w:color w:val="auto"/>
              </w:rPr>
            </w:pPr>
          </w:p>
        </w:tc>
        <w:tc>
          <w:tcPr>
            <w:tcW w:w="5760" w:type="dxa"/>
            <w:vAlign w:val="bottom"/>
            <w:shd w:val="clear" w:color="auto" w:fill="E9E9E9"/>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88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auto"/>
              </w:rPr>
              <w:t>NEUROLITE</w:t>
            </w:r>
          </w:p>
        </w:tc>
        <w:tc>
          <w:tcPr>
            <w:tcW w:w="5760" w:type="dxa"/>
            <w:vAlign w:val="bottom"/>
          </w:tcPr>
          <w:p>
            <w:pPr>
              <w:jc w:val="center"/>
              <w:ind w:left="502"/>
              <w:spacing w:after="0"/>
              <w:rPr>
                <w:sz w:val="20"/>
                <w:szCs w:val="20"/>
                <w:color w:val="auto"/>
              </w:rPr>
            </w:pPr>
            <w:r>
              <w:rPr>
                <w:rFonts w:ascii="Times New Roman" w:cs="Times New Roman" w:eastAsia="Times New Roman" w:hAnsi="Times New Roman"/>
                <w:sz w:val="16"/>
                <w:szCs w:val="16"/>
                <w:color w:val="auto"/>
                <w:w w:val="97"/>
              </w:rPr>
              <w:t>Australia, Austria, Belgium, Canada, Costa Rica, Denmark, France, Germany,</w:t>
            </w:r>
          </w:p>
        </w:tc>
        <w:tc>
          <w:tcPr>
            <w:tcW w:w="0" w:type="dxa"/>
            <w:vAlign w:val="bottom"/>
          </w:tcPr>
          <w:p>
            <w:pPr>
              <w:spacing w:after="0"/>
              <w:rPr>
                <w:sz w:val="1"/>
                <w:szCs w:val="1"/>
                <w:color w:val="auto"/>
              </w:rPr>
            </w:pPr>
          </w:p>
        </w:tc>
      </w:tr>
      <w:tr>
        <w:trPr>
          <w:trHeight w:val="157"/>
        </w:trPr>
        <w:tc>
          <w:tcPr>
            <w:tcW w:w="2880" w:type="dxa"/>
            <w:vAlign w:val="bottom"/>
            <w:gridSpan w:val="4"/>
            <w:vMerge w:val="continue"/>
          </w:tcPr>
          <w:p>
            <w:pPr>
              <w:spacing w:after="0"/>
              <w:rPr>
                <w:sz w:val="13"/>
                <w:szCs w:val="13"/>
                <w:color w:val="auto"/>
              </w:rPr>
            </w:pPr>
          </w:p>
        </w:tc>
        <w:tc>
          <w:tcPr>
            <w:tcW w:w="5760" w:type="dxa"/>
            <w:vAlign w:val="bottom"/>
          </w:tcPr>
          <w:p>
            <w:pPr>
              <w:jc w:val="center"/>
              <w:ind w:left="502"/>
              <w:spacing w:after="0" w:line="157" w:lineRule="exact"/>
              <w:rPr>
                <w:sz w:val="20"/>
                <w:szCs w:val="20"/>
                <w:color w:val="auto"/>
              </w:rPr>
            </w:pPr>
            <w:r>
              <w:rPr>
                <w:rFonts w:ascii="Times New Roman" w:cs="Times New Roman" w:eastAsia="Times New Roman" w:hAnsi="Times New Roman"/>
                <w:sz w:val="16"/>
                <w:szCs w:val="16"/>
                <w:color w:val="auto"/>
                <w:w w:val="97"/>
              </w:rPr>
              <w:t>Hong Kong, Italy, Japan, Luxembourg, South Korea, Spain, Taiwan, United</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760" w:type="dxa"/>
            <w:vAlign w:val="bottom"/>
          </w:tcPr>
          <w:p>
            <w:pPr>
              <w:jc w:val="center"/>
              <w:ind w:left="502"/>
              <w:spacing w:after="0"/>
              <w:rPr>
                <w:sz w:val="20"/>
                <w:szCs w:val="20"/>
                <w:color w:val="auto"/>
              </w:rPr>
            </w:pPr>
            <w:r>
              <w:rPr>
                <w:rFonts w:ascii="Times New Roman" w:cs="Times New Roman" w:eastAsia="Times New Roman" w:hAnsi="Times New Roman"/>
                <w:sz w:val="16"/>
                <w:szCs w:val="16"/>
                <w:color w:val="auto"/>
                <w:w w:val="99"/>
              </w:rPr>
              <w:t>States</w:t>
            </w: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gridSpan w:val="4"/>
            <w:shd w:val="clear" w:color="auto" w:fill="E9E9E9"/>
          </w:tcPr>
          <w:p>
            <w:pPr>
              <w:ind w:left="60"/>
              <w:spacing w:after="0"/>
              <w:rPr>
                <w:sz w:val="20"/>
                <w:szCs w:val="20"/>
                <w:color w:val="auto"/>
              </w:rPr>
            </w:pPr>
            <w:r>
              <w:rPr>
                <w:rFonts w:ascii="Times New Roman" w:cs="Times New Roman" w:eastAsia="Times New Roman" w:hAnsi="Times New Roman"/>
                <w:sz w:val="16"/>
                <w:szCs w:val="16"/>
                <w:color w:val="auto"/>
              </w:rPr>
              <w:t>Xenon</w:t>
            </w:r>
          </w:p>
        </w:tc>
        <w:tc>
          <w:tcPr>
            <w:tcW w:w="5760" w:type="dxa"/>
            <w:vAlign w:val="bottom"/>
            <w:shd w:val="clear" w:color="auto" w:fill="E9E9E9"/>
          </w:tcPr>
          <w:p>
            <w:pPr>
              <w:jc w:val="center"/>
              <w:ind w:left="482"/>
              <w:spacing w:after="0"/>
              <w:rPr>
                <w:sz w:val="20"/>
                <w:szCs w:val="20"/>
                <w:color w:val="auto"/>
              </w:rPr>
            </w:pPr>
            <w:r>
              <w:rPr>
                <w:rFonts w:ascii="Times New Roman" w:cs="Times New Roman" w:eastAsia="Times New Roman" w:hAnsi="Times New Roman"/>
                <w:sz w:val="16"/>
                <w:szCs w:val="16"/>
                <w:color w:val="auto"/>
                <w:w w:val="97"/>
              </w:rPr>
              <w:t>United States</w:t>
            </w:r>
          </w:p>
        </w:tc>
        <w:tc>
          <w:tcPr>
            <w:tcW w:w="0" w:type="dxa"/>
            <w:vAlign w:val="bottom"/>
          </w:tcPr>
          <w:p>
            <w:pPr>
              <w:spacing w:after="0"/>
              <w:rPr>
                <w:sz w:val="1"/>
                <w:szCs w:val="1"/>
                <w:color w:val="auto"/>
              </w:rPr>
            </w:pPr>
          </w:p>
        </w:tc>
      </w:tr>
      <w:tr>
        <w:trPr>
          <w:trHeight w:val="187"/>
        </w:trPr>
        <w:tc>
          <w:tcPr>
            <w:tcW w:w="288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auto"/>
              </w:rPr>
              <w:t>CARDIOLITE</w:t>
            </w:r>
          </w:p>
        </w:tc>
        <w:tc>
          <w:tcPr>
            <w:tcW w:w="5760" w:type="dxa"/>
            <w:vAlign w:val="bottom"/>
          </w:tcPr>
          <w:p>
            <w:pPr>
              <w:jc w:val="center"/>
              <w:ind w:left="502"/>
              <w:spacing w:after="0"/>
              <w:rPr>
                <w:sz w:val="20"/>
                <w:szCs w:val="20"/>
                <w:color w:val="auto"/>
              </w:rPr>
            </w:pPr>
            <w:r>
              <w:rPr>
                <w:rFonts w:ascii="Times New Roman" w:cs="Times New Roman" w:eastAsia="Times New Roman" w:hAnsi="Times New Roman"/>
                <w:sz w:val="16"/>
                <w:szCs w:val="16"/>
                <w:color w:val="auto"/>
                <w:w w:val="97"/>
              </w:rPr>
              <w:t>Australia, Canada, Israel, Japan, New Zealand, South Korea, Taiwan, United</w:t>
            </w:r>
          </w:p>
        </w:tc>
        <w:tc>
          <w:tcPr>
            <w:tcW w:w="0" w:type="dxa"/>
            <w:vAlign w:val="bottom"/>
          </w:tcPr>
          <w:p>
            <w:pPr>
              <w:spacing w:after="0"/>
              <w:rPr>
                <w:sz w:val="1"/>
                <w:szCs w:val="1"/>
                <w:color w:val="auto"/>
              </w:rPr>
            </w:pPr>
          </w:p>
        </w:tc>
      </w:tr>
      <w:tr>
        <w:trPr>
          <w:trHeight w:val="124"/>
        </w:trPr>
        <w:tc>
          <w:tcPr>
            <w:tcW w:w="2880" w:type="dxa"/>
            <w:vAlign w:val="bottom"/>
            <w:gridSpan w:val="4"/>
            <w:vMerge w:val="continue"/>
          </w:tcPr>
          <w:p>
            <w:pPr>
              <w:spacing w:after="0"/>
              <w:rPr>
                <w:sz w:val="10"/>
                <w:szCs w:val="10"/>
                <w:color w:val="auto"/>
              </w:rPr>
            </w:pPr>
          </w:p>
        </w:tc>
        <w:tc>
          <w:tcPr>
            <w:tcW w:w="5760" w:type="dxa"/>
            <w:vAlign w:val="bottom"/>
            <w:vMerge w:val="restart"/>
          </w:tcPr>
          <w:p>
            <w:pPr>
              <w:jc w:val="center"/>
              <w:ind w:left="502"/>
              <w:spacing w:after="0"/>
              <w:rPr>
                <w:sz w:val="20"/>
                <w:szCs w:val="20"/>
                <w:color w:val="auto"/>
              </w:rPr>
            </w:pPr>
            <w:r>
              <w:rPr>
                <w:rFonts w:ascii="Times New Roman" w:cs="Times New Roman" w:eastAsia="Times New Roman" w:hAnsi="Times New Roman"/>
                <w:sz w:val="16"/>
                <w:szCs w:val="16"/>
                <w:color w:val="auto"/>
                <w:w w:val="99"/>
              </w:rPr>
              <w:t>States</w:t>
            </w:r>
          </w:p>
        </w:tc>
        <w:tc>
          <w:tcPr>
            <w:tcW w:w="0" w:type="dxa"/>
            <w:vAlign w:val="bottom"/>
          </w:tcPr>
          <w:p>
            <w:pPr>
              <w:spacing w:after="0"/>
              <w:rPr>
                <w:sz w:val="1"/>
                <w:szCs w:val="1"/>
                <w:color w:val="auto"/>
              </w:rPr>
            </w:pPr>
          </w:p>
        </w:tc>
      </w:tr>
      <w:tr>
        <w:trPr>
          <w:trHeight w:val="79"/>
        </w:trPr>
        <w:tc>
          <w:tcPr>
            <w:tcW w:w="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6092190</wp:posOffset>
            </wp:positionH>
            <wp:positionV relativeFrom="paragraph">
              <wp:posOffset>-1884045</wp:posOffset>
            </wp:positionV>
            <wp:extent cx="25400" cy="1910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400" cy="1910715"/>
                    </a:xfrm>
                    <a:prstGeom prst="rect">
                      <a:avLst/>
                    </a:prstGeom>
                    <a:noFill/>
                  </pic:spPr>
                </pic:pic>
              </a:graphicData>
            </a:graphic>
          </wp:anchor>
        </w:drawing>
      </w:r>
    </w:p>
    <w:p>
      <w:pPr>
        <w:spacing w:after="0" w:line="2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*Approved under the name PYLCLARI and licensed to Curium.</w:t>
      </w:r>
    </w:p>
    <w:p>
      <w:pPr>
        <w:spacing w:after="0" w:line="2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With respect to our medical devices:</w:t>
      </w:r>
    </w:p>
    <w:p>
      <w:pPr>
        <w:spacing w:after="0" w:line="123" w:lineRule="exact"/>
        <w:rPr>
          <w:sz w:val="20"/>
          <w:szCs w:val="20"/>
          <w:color w:val="auto"/>
        </w:rPr>
      </w:pPr>
    </w:p>
    <w:p>
      <w:pPr>
        <w:ind w:left="720" w:right="600" w:hanging="359"/>
        <w:spacing w:after="0" w:line="258"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Progenics received a CE mark for the standalone workstation model of aBSI, meeting the quality standards set by the European Economic Area. In September 2020, the FDA granted 510(k) clearance for the use of aBSI as software-as-a-medical device on a GE Healthcare imaging system.</w:t>
      </w:r>
    </w:p>
    <w:p>
      <w:pPr>
        <w:spacing w:after="0" w:line="81" w:lineRule="exact"/>
        <w:rPr>
          <w:rFonts w:ascii="Times New Roman" w:cs="Times New Roman" w:eastAsia="Times New Roman" w:hAnsi="Times New Roman"/>
          <w:sz w:val="20"/>
          <w:szCs w:val="20"/>
          <w:color w:val="auto"/>
        </w:rPr>
      </w:pPr>
    </w:p>
    <w:p>
      <w:pPr>
        <w:ind w:left="720" w:hanging="359"/>
        <w:spacing w:after="0" w:line="271"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EXINI was granted 510(k) clearance by the FDA in the U.S. and received a CE mark in Europe for aPROMISE. We launched aPROMISE under the name PYLARIFY AI in the U.S.</w:t>
      </w:r>
    </w:p>
    <w:p>
      <w:pPr>
        <w:spacing w:after="0" w:line="186" w:lineRule="exact"/>
        <w:rPr>
          <w:sz w:val="20"/>
          <w:szCs w:val="20"/>
          <w:color w:val="auto"/>
        </w:rPr>
      </w:pPr>
    </w:p>
    <w:p>
      <w:pPr>
        <w:ind w:right="20" w:firstLine="441"/>
        <w:spacing w:after="0" w:line="249" w:lineRule="auto"/>
        <w:rPr>
          <w:sz w:val="20"/>
          <w:szCs w:val="20"/>
          <w:color w:val="auto"/>
        </w:rPr>
      </w:pPr>
      <w:r>
        <w:rPr>
          <w:rFonts w:ascii="Times New Roman" w:cs="Times New Roman" w:eastAsia="Times New Roman" w:hAnsi="Times New Roman"/>
          <w:sz w:val="20"/>
          <w:szCs w:val="20"/>
          <w:color w:val="auto"/>
        </w:rPr>
        <w:t>PYLARIFY sales are generated in the U.S. through an internal PYLARIFY sales team, as well as a sales team at some of our PMF partners. Sales of DEFINITY are generated in the U.S. through an internal DEFINITY sales team. While a small portion of our SPECT product sales in the U.S. are generated through our internal sales force to hospitals and clinics that maintain their own in-house radiopharmaceutical preparation capabilities, we primarily sell our SPECT products, including TechneLite, NEUROLITE, Xenon, and CARDIOLITE, to large radiopharmacy chains. We have licensed RELISTOR to Bausch, and while we have sold the right to our RELISTOR net sales royalties under our license agreement, we have retained the rights to future sales-based milestone payments generated by Bausch.</w:t>
      </w:r>
    </w:p>
    <w:p>
      <w:pPr>
        <w:spacing w:after="0" w:line="211" w:lineRule="exact"/>
        <w:rPr>
          <w:sz w:val="20"/>
          <w:szCs w:val="20"/>
          <w:color w:val="auto"/>
        </w:rPr>
      </w:pPr>
    </w:p>
    <w:p>
      <w:pPr>
        <w:ind w:right="260" w:firstLine="441"/>
        <w:spacing w:after="0" w:line="271" w:lineRule="auto"/>
        <w:rPr>
          <w:sz w:val="20"/>
          <w:szCs w:val="20"/>
          <w:color w:val="auto"/>
        </w:rPr>
      </w:pPr>
      <w:r>
        <w:rPr>
          <w:rFonts w:ascii="Times New Roman" w:cs="Times New Roman" w:eastAsia="Times New Roman" w:hAnsi="Times New Roman"/>
          <w:sz w:val="20"/>
          <w:szCs w:val="20"/>
          <w:color w:val="auto"/>
        </w:rPr>
        <w:t>Flurpiridaz F-18 is licensed to GE Healthcare, which is commercializing it as Flyrcado in the United States. We are entitled to milestone and royalty-based payments for Flyrcado.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130" w:lineRule="exact"/>
        <w:rPr>
          <w:sz w:val="20"/>
          <w:szCs w:val="20"/>
          <w:color w:val="auto"/>
        </w:rPr>
      </w:pPr>
    </w:p>
    <w:p>
      <w:pPr>
        <w:ind w:right="320" w:firstLine="441"/>
        <w:spacing w:after="0" w:line="271" w:lineRule="auto"/>
        <w:rPr>
          <w:sz w:val="20"/>
          <w:szCs w:val="20"/>
          <w:color w:val="auto"/>
        </w:rPr>
      </w:pPr>
      <w:r>
        <w:rPr>
          <w:rFonts w:ascii="Times New Roman" w:cs="Times New Roman" w:eastAsia="Times New Roman" w:hAnsi="Times New Roman"/>
          <w:sz w:val="20"/>
          <w:szCs w:val="20"/>
          <w:color w:val="auto"/>
        </w:rPr>
        <w:t>We have some modest seasonality for our products as patients may seek to schedule diagnostic imaging and other procedures less frequently during the summer vacation months and over the year-end holidays.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Customers</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No customer accounted for greater than 10% of revenues for the years ended December 31, 2024, 2023, and 2022.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Backlog</w:t>
      </w:r>
    </w:p>
    <w:p>
      <w:pPr>
        <w:spacing w:after="0" w:line="130" w:lineRule="exact"/>
        <w:rPr>
          <w:sz w:val="20"/>
          <w:szCs w:val="20"/>
          <w:color w:val="auto"/>
        </w:rPr>
      </w:pPr>
    </w:p>
    <w:p>
      <w:pPr>
        <w:ind w:right="100" w:firstLine="441"/>
        <w:spacing w:after="0" w:line="252" w:lineRule="auto"/>
        <w:rPr>
          <w:sz w:val="20"/>
          <w:szCs w:val="20"/>
          <w:color w:val="auto"/>
        </w:rPr>
      </w:pPr>
      <w:r>
        <w:rPr>
          <w:rFonts w:ascii="Times New Roman" w:cs="Times New Roman" w:eastAsia="Times New Roman" w:hAnsi="Times New Roman"/>
          <w:sz w:val="20"/>
          <w:szCs w:val="20"/>
          <w:color w:val="auto"/>
        </w:rPr>
        <w:t>Our backlog consists of orders for which a delivery schedule within the next twelve months has been specified. Orders included in backlog may be canceled or rescheduled by customers at any time with the exception of TechneLite orders. TechneLite customers must provide us with four weeks advanced notice to cancel an order. We do not believe that our backlog at any particular time is meaningful because it has historically been immaterial relative to our consolidated revenues and is not necessarily indicative of future revenues for any given period.</w:t>
      </w:r>
    </w:p>
    <w:p>
      <w:pPr>
        <w:sectPr>
          <w:pgSz w:w="11880" w:h="15480" w:orient="portrait"/>
          <w:cols w:equalWidth="0" w:num="1">
            <w:col w:w="10600"/>
          </w:cols>
          <w:pgMar w:left="640" w:top="615"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880" w:h="15480" w:orient="portrait"/>
          <w:cols w:equalWidth="0" w:num="1">
            <w:col w:w="10600"/>
          </w:cols>
          <w:pgMar w:left="640" w:top="615" w:right="640" w:bottom="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30" w:lineRule="exact"/>
        <w:rPr>
          <w:sz w:val="20"/>
          <w:szCs w:val="20"/>
          <w:color w:val="auto"/>
        </w:rPr>
      </w:pPr>
    </w:p>
    <w:p>
      <w:pPr>
        <w:ind w:right="720" w:firstLine="441"/>
        <w:spacing w:after="0" w:line="258" w:lineRule="auto"/>
        <w:rPr>
          <w:sz w:val="20"/>
          <w:szCs w:val="20"/>
          <w:color w:val="auto"/>
        </w:rPr>
      </w:pPr>
      <w:r>
        <w:rPr>
          <w:rFonts w:ascii="Times New Roman" w:cs="Times New Roman" w:eastAsia="Times New Roman" w:hAnsi="Times New Roman"/>
          <w:sz w:val="20"/>
          <w:szCs w:val="20"/>
          <w:color w:val="auto"/>
        </w:rPr>
        <w:t>We believe that our key product characteristics, such as proven efficacy, reliability and safety, coupled with our core competencies, such as our efficient manufacturing processes, our established distribution network, our experienced field sales organization and our customer service focus, are important factors that distinguish us from our competitors.</w:t>
      </w:r>
    </w:p>
    <w:p>
      <w:pPr>
        <w:spacing w:after="0" w:line="199" w:lineRule="exact"/>
        <w:rPr>
          <w:sz w:val="20"/>
          <w:szCs w:val="20"/>
          <w:color w:val="auto"/>
        </w:rPr>
      </w:pPr>
    </w:p>
    <w:p>
      <w:pPr>
        <w:ind w:right="240" w:firstLine="441"/>
        <w:spacing w:after="0" w:line="258" w:lineRule="auto"/>
        <w:rPr>
          <w:sz w:val="20"/>
          <w:szCs w:val="20"/>
          <w:color w:val="auto"/>
        </w:rPr>
      </w:pPr>
      <w:r>
        <w:rPr>
          <w:rFonts w:ascii="Times New Roman" w:cs="Times New Roman" w:eastAsia="Times New Roman" w:hAnsi="Times New Roman"/>
          <w:sz w:val="20"/>
          <w:szCs w:val="20"/>
          <w:color w:val="auto"/>
        </w:rPr>
        <w:t>The markets for our products are highly competitive and continually evolving. Our principal competitors for our current commercial products and leading clinical development candidates include large, global companies that are more diversified than we are and that have substantial financial, manufacturing, sales and marketing, distribution and other resources.</w:t>
      </w:r>
    </w:p>
    <w:p>
      <w:pPr>
        <w:spacing w:after="0" w:line="82" w:lineRule="exact"/>
        <w:rPr>
          <w:sz w:val="20"/>
          <w:szCs w:val="20"/>
          <w:color w:val="auto"/>
        </w:rPr>
      </w:pPr>
    </w:p>
    <w:p>
      <w:pPr>
        <w:ind w:left="720" w:right="260" w:hanging="359"/>
        <w:spacing w:after="0" w:line="258"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PYLARIFY, our principal competitors are currently Telix Pharmaceuticals Limited, Novartis AG, and Blue Earth Diagnostics Ltd., a subsidiary of Bracco Diagnostics Inc. (“Bracco”); and there is the potential for future competition from others who may submit regulatory applications in anticipation of PYLARIFY’s NCE exclusivity expiry in 2026.</w:t>
      </w:r>
    </w:p>
    <w:p>
      <w:pPr>
        <w:spacing w:after="0" w:line="81" w:lineRule="exact"/>
        <w:rPr>
          <w:rFonts w:ascii="Times New Roman" w:cs="Times New Roman" w:eastAsia="Times New Roman" w:hAnsi="Times New Roman"/>
          <w:sz w:val="20"/>
          <w:szCs w:val="20"/>
          <w:color w:val="auto"/>
        </w:rPr>
      </w:pPr>
    </w:p>
    <w:p>
      <w:pPr>
        <w:ind w:left="720" w:hanging="359"/>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DEFINITY, our competitors currently include GE Healthcare and Bracco.</w:t>
      </w:r>
    </w:p>
    <w:p>
      <w:pPr>
        <w:spacing w:after="0" w:line="122" w:lineRule="exact"/>
        <w:rPr>
          <w:rFonts w:ascii="Times New Roman" w:cs="Times New Roman" w:eastAsia="Times New Roman" w:hAnsi="Times New Roman"/>
          <w:sz w:val="20"/>
          <w:szCs w:val="20"/>
          <w:color w:val="auto"/>
        </w:rPr>
      </w:pPr>
    </w:p>
    <w:p>
      <w:pPr>
        <w:ind w:left="720" w:right="240" w:hanging="359"/>
        <w:spacing w:after="0" w:line="271"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 number of our SPECT products, our competitors currently include Curium, GE Healthcare, Bracco, and Jubilant Life Sciences, an affiliate of JHS and Jubilant Radiopharma, and potentially BWXT Medical.</w:t>
      </w:r>
    </w:p>
    <w:p>
      <w:pPr>
        <w:spacing w:after="0" w:line="186" w:lineRule="exact"/>
        <w:rPr>
          <w:sz w:val="20"/>
          <w:szCs w:val="20"/>
          <w:color w:val="auto"/>
        </w:rPr>
      </w:pPr>
    </w:p>
    <w:p>
      <w:pPr>
        <w:ind w:right="160" w:firstLine="441"/>
        <w:spacing w:after="0" w:line="254" w:lineRule="auto"/>
        <w:rPr>
          <w:sz w:val="20"/>
          <w:szCs w:val="20"/>
          <w:color w:val="auto"/>
        </w:rPr>
      </w:pPr>
      <w:r>
        <w:rPr>
          <w:rFonts w:ascii="Times New Roman" w:cs="Times New Roman" w:eastAsia="Times New Roman" w:hAnsi="Times New Roman"/>
          <w:sz w:val="20"/>
          <w:szCs w:val="20"/>
          <w:color w:val="auto"/>
        </w:rPr>
        <w:t>Any product candidates that we successfully develop and commercialize will compete with existing products and new products that may become available in the future. For example, for PNT2003, our principal competitors may include Novartis AG; ITM Radiopharma; Curium, and RayzeBio (acquired by Bristol Myers Squibb). For MK-6240 and NAV-4694, our principal competitors may include Lilly and GE Healthcare.</w:t>
      </w:r>
    </w:p>
    <w:p>
      <w:pPr>
        <w:spacing w:after="0" w:line="202" w:lineRule="exact"/>
        <w:rPr>
          <w:sz w:val="20"/>
          <w:szCs w:val="20"/>
          <w:color w:val="auto"/>
        </w:rPr>
      </w:pPr>
    </w:p>
    <w:p>
      <w:pPr>
        <w:ind w:right="20" w:firstLine="441"/>
        <w:spacing w:after="0" w:line="250" w:lineRule="auto"/>
        <w:rPr>
          <w:sz w:val="20"/>
          <w:szCs w:val="20"/>
          <w:color w:val="auto"/>
        </w:rPr>
      </w:pPr>
      <w:r>
        <w:rPr>
          <w:rFonts w:ascii="Times New Roman" w:cs="Times New Roman" w:eastAsia="Times New Roman" w:hAnsi="Times New Roman"/>
          <w:sz w:val="20"/>
          <w:szCs w:val="20"/>
          <w:color w:val="auto"/>
        </w:rPr>
        <w:t>We cannot anticipate the actions of our current or future competitors in the same or competing modalities, such as significant price reductions on competitive products, development of new products that are more cost-effective or have superior performance than our current or future products, or the introduction of generic versions after our proprietary products lose their patent or regulatory exclusivity protection. In addition, distributors of our products could attempt to shift end-users to competing modalities and products, or bundle the sale of a portfolio of products, in either case to the detriment of our specific products. Our current or future products could be rendered obsolete or uneconomical as a result of these activities.</w:t>
      </w:r>
    </w:p>
    <w:p>
      <w:pPr>
        <w:spacing w:after="0" w:line="209" w:lineRule="exact"/>
        <w:rPr>
          <w:sz w:val="20"/>
          <w:szCs w:val="20"/>
          <w:color w:val="auto"/>
        </w:rPr>
      </w:pPr>
    </w:p>
    <w:p>
      <w:pPr>
        <w:ind w:right="20" w:firstLine="441"/>
        <w:spacing w:after="0" w:line="250" w:lineRule="auto"/>
        <w:rPr>
          <w:sz w:val="20"/>
          <w:szCs w:val="20"/>
          <w:color w:val="auto"/>
        </w:rPr>
      </w:pPr>
      <w:r>
        <w:rPr>
          <w:rFonts w:ascii="Times New Roman" w:cs="Times New Roman" w:eastAsia="Times New Roman" w:hAnsi="Times New Roman"/>
          <w:sz w:val="20"/>
          <w:szCs w:val="20"/>
          <w:color w:val="auto"/>
        </w:rPr>
        <w:t>Further, the radiopharmaceutical and biopharmaceutical industry continues to evolve strategically, with several market participants recently acquired by larger companies that may have more significant resources than ours. In addition, the supply-demand dynamics of the industry are complex because of large market positions of some participants, legacy businesses, government subsidies (in particular, relating to the manufacture of radioisotopes), government reimbursement policies, such as TPT Status, and group purchasing arrangements. We cannot predict what impact new owners and new operators may have on the strategic decision-making of our competitors, customers, and suppliers.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Raw Materials and Supply Relationships</w:t>
      </w:r>
    </w:p>
    <w:p>
      <w:pPr>
        <w:spacing w:after="0" w:line="130" w:lineRule="exact"/>
        <w:rPr>
          <w:sz w:val="20"/>
          <w:szCs w:val="20"/>
          <w:color w:val="auto"/>
        </w:rPr>
      </w:pPr>
    </w:p>
    <w:p>
      <w:pPr>
        <w:ind w:right="100" w:firstLine="441"/>
        <w:spacing w:after="0" w:line="252" w:lineRule="auto"/>
        <w:rPr>
          <w:sz w:val="20"/>
          <w:szCs w:val="20"/>
          <w:color w:val="auto"/>
        </w:rPr>
      </w:pPr>
      <w:r>
        <w:rPr>
          <w:rFonts w:ascii="Times New Roman" w:cs="Times New Roman" w:eastAsia="Times New Roman" w:hAnsi="Times New Roman"/>
          <w:sz w:val="20"/>
          <w:szCs w:val="20"/>
          <w:color w:val="auto"/>
        </w:rPr>
        <w:t>We rely on certain raw materials and supplies to produce our products. Due to the specialized nature of our products and the limited, and sometimes intermittent, supply of raw materials available in the market, we have established relationships with several key suppliers. For the year ended December 31, 2024, our largest suppliers of raw materials and supplies were Institute for Radioelements (“IRE”), the Australian Nuclear Science and Technology Organisation (“ANSTO”), and NTP Radioisotopes (“NTP”), which, in the aggregate, accounted for approximately 7.8% of our total purchases and relate specifically to TechneLite.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Molybdenum-99</w:t>
      </w:r>
    </w:p>
    <w:p>
      <w:pPr>
        <w:spacing w:after="0" w:line="131" w:lineRule="exact"/>
        <w:rPr>
          <w:sz w:val="20"/>
          <w:szCs w:val="20"/>
          <w:color w:val="auto"/>
        </w:rPr>
      </w:pPr>
    </w:p>
    <w:p>
      <w:pPr>
        <w:ind w:right="180" w:firstLine="441"/>
        <w:spacing w:after="0" w:line="252" w:lineRule="auto"/>
        <w:rPr>
          <w:sz w:val="20"/>
          <w:szCs w:val="20"/>
          <w:color w:val="auto"/>
        </w:rPr>
      </w:pPr>
      <w:r>
        <w:rPr>
          <w:rFonts w:ascii="Times New Roman" w:cs="Times New Roman" w:eastAsia="Times New Roman" w:hAnsi="Times New Roman"/>
          <w:sz w:val="20"/>
          <w:szCs w:val="20"/>
          <w:color w:val="auto"/>
        </w:rPr>
        <w:t>Our TechneLite, CARDIOLITE and NEUROLITE products all rely on Mo-99, the radioisotope which is produced by bombarding uranium with neutrons in research reactors. With a 66-hour half-life, Mo-99 decays into, among other things, Tc-99m, a radioisotope with a half-life of six hours. Tc-99m is an isotope that is attached to radiopharmaceuticals, including our own NEUROLITE and CARDIOLITE, during the labeling process and is the most common radioisotope used for medical diagnostic imaging purposes.</w:t>
      </w:r>
    </w:p>
    <w:p>
      <w:pPr>
        <w:spacing w:after="0" w:line="204" w:lineRule="exact"/>
        <w:rPr>
          <w:sz w:val="20"/>
          <w:szCs w:val="20"/>
          <w:color w:val="auto"/>
        </w:rPr>
      </w:pPr>
    </w:p>
    <w:p>
      <w:pPr>
        <w:ind w:firstLine="441"/>
        <w:spacing w:after="0" w:line="271" w:lineRule="auto"/>
        <w:rPr>
          <w:sz w:val="20"/>
          <w:szCs w:val="20"/>
          <w:color w:val="auto"/>
        </w:rPr>
      </w:pPr>
      <w:r>
        <w:rPr>
          <w:rFonts w:ascii="Times New Roman" w:cs="Times New Roman" w:eastAsia="Times New Roman" w:hAnsi="Times New Roman"/>
          <w:sz w:val="20"/>
          <w:szCs w:val="20"/>
          <w:color w:val="auto"/>
        </w:rPr>
        <w:t>We currently purchase finished Mo-99 from three of the four main processing sites in the world, namely IRE in Belgium, NTP in South Africa and ANSTO in Australia.</w:t>
      </w:r>
    </w:p>
    <w:p>
      <w:pPr>
        <w:spacing w:after="0" w:line="186" w:lineRule="exact"/>
        <w:rPr>
          <w:sz w:val="20"/>
          <w:szCs w:val="20"/>
          <w:color w:val="auto"/>
        </w:rPr>
      </w:pPr>
    </w:p>
    <w:p>
      <w:pPr>
        <w:ind w:right="160" w:firstLine="441"/>
        <w:spacing w:after="0" w:line="250" w:lineRule="auto"/>
        <w:rPr>
          <w:sz w:val="20"/>
          <w:szCs w:val="20"/>
          <w:color w:val="auto"/>
        </w:rPr>
      </w:pPr>
      <w:r>
        <w:rPr>
          <w:rFonts w:ascii="Times New Roman" w:cs="Times New Roman" w:eastAsia="Times New Roman" w:hAnsi="Times New Roman"/>
          <w:sz w:val="20"/>
          <w:szCs w:val="20"/>
          <w:color w:val="auto"/>
        </w:rPr>
        <w:t>Although we believe we have the most globally diverse Mo-99 supply, we still face supplier and logistical challenges in our Mo-99 supply chain. When one supplier experiences outages, we generally rely on other suppliers to limit the impact of the outages. We believe we effectively manage these various supply chain challenges, but depending on reactor and processor schedules and operations, at times we have not been able to fill some or all of the demand for our TechneLite generators on certain manufacturing days. A prolonged disruption of service from one of our three Mo-99 processing sites or one of their main Mo-99-producing reactors could have a negative effect on our business, results of operations, financial condition and cash flows.</w:t>
      </w:r>
    </w:p>
    <w:p>
      <w:pPr>
        <w:sectPr>
          <w:pgSz w:w="11880" w:h="15480" w:orient="portrait"/>
          <w:cols w:equalWidth="0" w:num="1">
            <w:col w:w="10580"/>
          </w:cols>
          <w:pgMar w:left="640" w:top="615" w:right="660" w:bottom="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ectPr>
          <w:pgSz w:w="11880" w:h="15480" w:orient="portrait"/>
          <w:cols w:equalWidth="0" w:num="1">
            <w:col w:w="10580"/>
          </w:cols>
          <w:pgMar w:left="640" w:top="615" w:right="660" w:bottom="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0"/>
          <w:szCs w:val="20"/>
          <w:b w:val="1"/>
          <w:bCs w:val="1"/>
          <w:i w:val="1"/>
          <w:iCs w:val="1"/>
          <w:color w:val="auto"/>
        </w:rPr>
        <w:t>Xenon</w:t>
      </w:r>
    </w:p>
    <w:p>
      <w:pPr>
        <w:spacing w:after="0" w:line="131" w:lineRule="exact"/>
        <w:rPr>
          <w:sz w:val="20"/>
          <w:szCs w:val="20"/>
          <w:color w:val="auto"/>
        </w:rPr>
      </w:pPr>
    </w:p>
    <w:p>
      <w:pPr>
        <w:jc w:val="both"/>
        <w:ind w:right="100" w:firstLine="441"/>
        <w:spacing w:after="0" w:line="254" w:lineRule="auto"/>
        <w:rPr>
          <w:sz w:val="20"/>
          <w:szCs w:val="20"/>
          <w:color w:val="auto"/>
        </w:rPr>
      </w:pPr>
      <w:r>
        <w:rPr>
          <w:rFonts w:ascii="Times New Roman" w:cs="Times New Roman" w:eastAsia="Times New Roman" w:hAnsi="Times New Roman"/>
          <w:sz w:val="20"/>
          <w:szCs w:val="20"/>
          <w:color w:val="auto"/>
        </w:rPr>
        <w:t>Xenon is a by-product of the Mo-99 production process. Under a strategic agreement entered into in 2021, we receive from IRE bulk unprocessed Xenon, which we process and finish for our customers at our North Billerica, Massachusetts manufacturing facility. That contract runs through December 31, 2025, with auto-renewal provisions and is terminable upon notice of non-renewal. Until we can qualify an additional source of bulk unprocessed Xenon, we will rely on IRE as a sole source provider.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Materials</w:t>
      </w:r>
    </w:p>
    <w:p>
      <w:pPr>
        <w:spacing w:after="0" w:line="131" w:lineRule="exact"/>
        <w:rPr>
          <w:sz w:val="20"/>
          <w:szCs w:val="20"/>
          <w:color w:val="auto"/>
        </w:rPr>
      </w:pPr>
    </w:p>
    <w:p>
      <w:pPr>
        <w:jc w:val="both"/>
        <w:ind w:right="600" w:firstLine="441"/>
        <w:spacing w:after="0" w:line="258" w:lineRule="auto"/>
        <w:rPr>
          <w:sz w:val="20"/>
          <w:szCs w:val="20"/>
          <w:color w:val="auto"/>
        </w:rPr>
      </w:pPr>
      <w:r>
        <w:rPr>
          <w:rFonts w:ascii="Times New Roman" w:cs="Times New Roman" w:eastAsia="Times New Roman" w:hAnsi="Times New Roman"/>
          <w:sz w:val="20"/>
          <w:szCs w:val="20"/>
          <w:color w:val="auto"/>
        </w:rPr>
        <w:t>We have additional supply arrangements for active pharmaceutical ingredients, excipients, packaging materials and other materials and components, some of which are sole-sourced, and all of which we currently believe are either in good standing or replaceable without any material disruption to our business.</w:t>
      </w:r>
    </w:p>
    <w:p>
      <w:pPr>
        <w:spacing w:after="0" w:line="196" w:lineRule="exact"/>
        <w:rPr>
          <w:sz w:val="20"/>
          <w:szCs w:val="20"/>
          <w:color w:val="auto"/>
        </w:rPr>
      </w:pPr>
    </w:p>
    <w:p>
      <w:pPr>
        <w:ind w:right="140" w:firstLine="441"/>
        <w:spacing w:after="0" w:line="275" w:lineRule="auto"/>
        <w:rPr>
          <w:sz w:val="20"/>
          <w:szCs w:val="20"/>
          <w:color w:val="auto"/>
        </w:rPr>
      </w:pPr>
      <w:r>
        <w:rPr>
          <w:rFonts w:ascii="Times New Roman" w:cs="Times New Roman" w:eastAsia="Times New Roman" w:hAnsi="Times New Roman"/>
          <w:sz w:val="20"/>
          <w:szCs w:val="20"/>
          <w:color w:val="auto"/>
        </w:rPr>
        <w:t xml:space="preserve">See Part I, Item 1A.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xml:space="preserve"> of this Form 10-K for information regarding certain risks associated with our raw materials and supply arrangements.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w:t>
      </w:r>
    </w:p>
    <w:p>
      <w:pPr>
        <w:spacing w:after="0" w:line="130" w:lineRule="exact"/>
        <w:rPr>
          <w:sz w:val="20"/>
          <w:szCs w:val="20"/>
          <w:color w:val="auto"/>
        </w:rPr>
      </w:pPr>
    </w:p>
    <w:p>
      <w:pPr>
        <w:ind w:right="140" w:firstLine="441"/>
        <w:spacing w:after="0" w:line="249" w:lineRule="auto"/>
        <w:rPr>
          <w:sz w:val="20"/>
          <w:szCs w:val="20"/>
          <w:color w:val="auto"/>
        </w:rPr>
      </w:pPr>
      <w:r>
        <w:rPr>
          <w:rFonts w:ascii="Times New Roman" w:cs="Times New Roman" w:eastAsia="Times New Roman" w:hAnsi="Times New Roman"/>
          <w:sz w:val="20"/>
          <w:szCs w:val="20"/>
          <w:color w:val="auto"/>
        </w:rPr>
        <w:t>The commercial manufacture of PYLARIFY requires us to create a field-based network of specialized PMFs with radioisotope-producing cyclotrons. The radioisotope used in PYLARIFY is F-18, which has a 110 minute half-life, requiring that this agent be manufactured and distributed rapidly to end-users. After being made on a cyclotron at a PMF, the F-18 is combined with certain chemical ingredients in specially designed chemistry synthesis boxes to manufacture PYLARIFY. The finished PYLARIFY is then quality control tested and transferred to a radiopharmacist who prepares and dispenses patient-specific doses from the final product. Because each of the PMFs manufacturing PYLARIFY is deemed by the FDA to be a separate manufacturing site, each requires separate FDA approval.</w:t>
      </w:r>
    </w:p>
    <w:p>
      <w:pPr>
        <w:spacing w:after="0" w:line="211" w:lineRule="exact"/>
        <w:rPr>
          <w:sz w:val="20"/>
          <w:szCs w:val="20"/>
          <w:color w:val="auto"/>
        </w:rPr>
      </w:pPr>
    </w:p>
    <w:p>
      <w:pPr>
        <w:ind w:right="60" w:firstLine="441"/>
        <w:spacing w:after="0" w:line="252" w:lineRule="auto"/>
        <w:rPr>
          <w:sz w:val="20"/>
          <w:szCs w:val="20"/>
          <w:color w:val="auto"/>
        </w:rPr>
      </w:pPr>
      <w:r>
        <w:rPr>
          <w:rFonts w:ascii="Times New Roman" w:cs="Times New Roman" w:eastAsia="Times New Roman" w:hAnsi="Times New Roman"/>
          <w:sz w:val="20"/>
          <w:szCs w:val="20"/>
          <w:color w:val="auto"/>
        </w:rPr>
        <w:t>We have a specialized in-house FDA-approved manufacturing facility at our North Billerica campus for purposes of producing DEFINITY. On February 22, 2022, we received FDA approval of our sNDA, authorizing commercial manufacturing of DEFINITY at our new facility. DEFINITY manufactured at this facility became commercially available on February 23, 2022. We believe this investment provides supply chain redundancy, improved flexibility and reduced costs in a potentially more price competitive environment.</w:t>
      </w:r>
    </w:p>
    <w:p>
      <w:pPr>
        <w:spacing w:after="0" w:line="204" w:lineRule="exact"/>
        <w:rPr>
          <w:sz w:val="20"/>
          <w:szCs w:val="20"/>
          <w:color w:val="auto"/>
        </w:rPr>
      </w:pPr>
    </w:p>
    <w:p>
      <w:pPr>
        <w:ind w:right="320" w:firstLine="441"/>
        <w:spacing w:after="0" w:line="271" w:lineRule="auto"/>
        <w:rPr>
          <w:sz w:val="20"/>
          <w:szCs w:val="20"/>
          <w:color w:val="auto"/>
        </w:rPr>
      </w:pPr>
      <w:r>
        <w:rPr>
          <w:rFonts w:ascii="Times New Roman" w:cs="Times New Roman" w:eastAsia="Times New Roman" w:hAnsi="Times New Roman"/>
          <w:sz w:val="20"/>
          <w:szCs w:val="20"/>
          <w:color w:val="auto"/>
        </w:rPr>
        <w:t>We manufacture TechneLite on an automated production line and we process and finish Xenon on a hot cell line at our North Billerica, Massachusetts facility.</w:t>
      </w:r>
    </w:p>
    <w:p>
      <w:pPr>
        <w:spacing w:after="0" w:line="186" w:lineRule="exact"/>
        <w:rPr>
          <w:sz w:val="20"/>
          <w:szCs w:val="20"/>
          <w:color w:val="auto"/>
        </w:rPr>
      </w:pPr>
    </w:p>
    <w:p>
      <w:pPr>
        <w:ind w:right="220" w:firstLine="441"/>
        <w:spacing w:after="0" w:line="271" w:lineRule="auto"/>
        <w:rPr>
          <w:sz w:val="20"/>
          <w:szCs w:val="20"/>
          <w:color w:val="auto"/>
        </w:rPr>
      </w:pPr>
      <w:r>
        <w:rPr>
          <w:rFonts w:ascii="Times New Roman" w:cs="Times New Roman" w:eastAsia="Times New Roman" w:hAnsi="Times New Roman"/>
          <w:sz w:val="20"/>
          <w:szCs w:val="20"/>
          <w:color w:val="auto"/>
        </w:rPr>
        <w:t>We manufacture, finish and distribute our radiopharmaceutical products on a just-in-time basis, and supply our customers with these products either by next day delivery services or by ground or air custom logistics.</w:t>
      </w:r>
    </w:p>
    <w:p>
      <w:pPr>
        <w:spacing w:after="0" w:line="186" w:lineRule="exact"/>
        <w:rPr>
          <w:sz w:val="20"/>
          <w:szCs w:val="20"/>
          <w:color w:val="auto"/>
        </w:rPr>
      </w:pPr>
    </w:p>
    <w:p>
      <w:pPr>
        <w:ind w:firstLine="441"/>
        <w:spacing w:after="0" w:line="249" w:lineRule="auto"/>
        <w:rPr>
          <w:sz w:val="20"/>
          <w:szCs w:val="20"/>
          <w:color w:val="auto"/>
        </w:rPr>
      </w:pPr>
      <w:r>
        <w:rPr>
          <w:rFonts w:ascii="Times New Roman" w:cs="Times New Roman" w:eastAsia="Times New Roman" w:hAnsi="Times New Roman"/>
          <w:sz w:val="20"/>
          <w:szCs w:val="20"/>
          <w:color w:val="auto"/>
        </w:rPr>
        <w:t>In addition to our in-house manufacturing capabilities, a substantial portion of our products are manufactured by third party contract manufacturing organizations, and in certain instances, we rely on them for sole source manufacturing. To ensure the quality of the products that are manufactured by third parties, certain of the key raw materials used in those products are first sent to our North Billerica, Massachusetts facility, where we test them prior to the third party manufacturing of the final product. For many of our products, after the final products are manufactured, they are sent back to us for final quality control testing, and then we ship them to our customers. We have expertise in the design, development, and validation of complex manufacturing systems and processes, and our strong execution and quality control culture supports the just-in-time manufacturing model at our facilities.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Manufacturing and Supply Arrangements</w:t>
      </w:r>
    </w:p>
    <w:p>
      <w:pPr>
        <w:spacing w:after="0" w:line="131" w:lineRule="exact"/>
        <w:rPr>
          <w:sz w:val="20"/>
          <w:szCs w:val="20"/>
          <w:color w:val="auto"/>
        </w:rPr>
      </w:pPr>
    </w:p>
    <w:p>
      <w:pPr>
        <w:ind w:right="240" w:firstLine="441"/>
        <w:spacing w:after="0" w:line="271" w:lineRule="auto"/>
        <w:rPr>
          <w:sz w:val="20"/>
          <w:szCs w:val="20"/>
          <w:color w:val="auto"/>
        </w:rPr>
      </w:pPr>
      <w:r>
        <w:rPr>
          <w:rFonts w:ascii="Times New Roman" w:cs="Times New Roman" w:eastAsia="Times New Roman" w:hAnsi="Times New Roman"/>
          <w:sz w:val="20"/>
          <w:szCs w:val="20"/>
          <w:color w:val="auto"/>
        </w:rPr>
        <w:t>We currently have the following technology transfer and manufacturing and supply agreements in place for some of our major products:</w:t>
      </w:r>
    </w:p>
    <w:p>
      <w:pPr>
        <w:spacing w:after="0" w:line="66" w:lineRule="exact"/>
        <w:rPr>
          <w:sz w:val="20"/>
          <w:szCs w:val="20"/>
          <w:color w:val="auto"/>
        </w:rPr>
      </w:pPr>
    </w:p>
    <w:p>
      <w:pPr>
        <w:ind w:left="1060" w:right="60" w:hanging="346"/>
        <w:spacing w:after="0" w:line="255" w:lineRule="auto"/>
        <w:tabs>
          <w:tab w:leader="none" w:pos="10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PYLARIFY</w:t>
      </w:r>
      <w:r>
        <w:rPr>
          <w:rFonts w:ascii="Times New Roman" w:cs="Times New Roman" w:eastAsia="Times New Roman" w:hAnsi="Times New Roman"/>
          <w:sz w:val="20"/>
          <w:szCs w:val="20"/>
          <w:color w:val="auto"/>
        </w:rPr>
        <w:t>—We have entered into commercial supply agreements with different PMF networks. Our agreements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our PMF networks allow for termination upon the occurrence of specified events, including material breach or bankruptcy by either party, and have various termination dates generally terminating between 2027 and 2030 and subject to renewal provisions.</w:t>
      </w:r>
    </w:p>
    <w:p>
      <w:pPr>
        <w:spacing w:after="0" w:line="80" w:lineRule="exact"/>
        <w:rPr>
          <w:rFonts w:ascii="Times New Roman" w:cs="Times New Roman" w:eastAsia="Times New Roman" w:hAnsi="Times New Roman"/>
          <w:sz w:val="20"/>
          <w:szCs w:val="20"/>
          <w:color w:val="auto"/>
        </w:rPr>
      </w:pPr>
    </w:p>
    <w:p>
      <w:pPr>
        <w:ind w:left="1060" w:right="160" w:hanging="346"/>
        <w:spacing w:after="0" w:line="265" w:lineRule="auto"/>
        <w:tabs>
          <w:tab w:leader="none" w:pos="106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DEFINITY, CARDIOLITE and NEUROLITE</w:t>
      </w:r>
      <w:r>
        <w:rPr>
          <w:rFonts w:ascii="Times New Roman" w:cs="Times New Roman" w:eastAsia="Times New Roman" w:hAnsi="Times New Roman"/>
          <w:sz w:val="19"/>
          <w:szCs w:val="19"/>
          <w:color w:val="auto"/>
        </w:rPr>
        <w:t>—In February 2022, we entered into a Manufacturing and Supply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Agreement with JHS, for the manufacture of DEFINITY, CARDIOLITE, NEUROLITE and evacuation vials, the latter being an ancillary component for our TechneLite generators. The agreement expires on December 31, 2027, and can be renewed upon mutual consent. The agreement allows for termination upon the occurrence of certain events such as a material breach or default by either party, or bankruptcy by either party. The agreement also requires us to order from JHS a specified minimum percentage of our total requirements for DEFINITY, as well as specified quantities of CARDIOLITE, NEUROLITE and evacuation vial products, each year during the contract term.</w:t>
      </w:r>
    </w:p>
    <w:p>
      <w:pPr>
        <w:sectPr>
          <w:pgSz w:w="11880" w:h="15480" w:orient="portrait"/>
          <w:cols w:equalWidth="0" w:num="1">
            <w:col w:w="10600"/>
          </w:cols>
          <w:pgMar w:left="640" w:top="614" w:right="640" w:bottom="0" w:gutter="0" w:footer="0" w:header="0"/>
        </w:sect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880" w:h="15480" w:orient="portrait"/>
          <w:cols w:equalWidth="0" w:num="1">
            <w:col w:w="10600"/>
          </w:cols>
          <w:pgMar w:left="640" w:top="614" w:right="640" w:bottom="0" w:gutter="0" w:footer="0" w:header="0"/>
          <w:type w:val="continuous"/>
        </w:sectPr>
      </w:pPr>
    </w:p>
    <w:bookmarkStart w:id="21" w:name="page22"/>
    <w:bookmarkEnd w:id="21"/>
    <w:p>
      <w:pPr>
        <w:ind w:right="60" w:firstLine="441"/>
        <w:spacing w:after="0" w:line="275" w:lineRule="auto"/>
        <w:rPr>
          <w:sz w:val="20"/>
          <w:szCs w:val="20"/>
          <w:color w:val="auto"/>
        </w:rPr>
      </w:pPr>
      <w:r>
        <w:rPr>
          <w:rFonts w:ascii="Times New Roman" w:cs="Times New Roman" w:eastAsia="Times New Roman" w:hAnsi="Times New Roman"/>
          <w:sz w:val="20"/>
          <w:szCs w:val="20"/>
          <w:color w:val="auto"/>
        </w:rPr>
        <w:t xml:space="preserve">See Part I, Item 1A.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xml:space="preserve"> of this Form 10-K for information regarding certain risks associated with our manufacturing and supply relationships.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 Matters</w:t>
      </w:r>
    </w:p>
    <w:p>
      <w:pPr>
        <w:spacing w:after="0" w:line="130" w:lineRule="exact"/>
        <w:rPr>
          <w:sz w:val="20"/>
          <w:szCs w:val="20"/>
          <w:color w:val="auto"/>
        </w:rPr>
      </w:pPr>
    </w:p>
    <w:p>
      <w:pPr>
        <w:ind w:right="60" w:firstLine="441"/>
        <w:spacing w:after="0" w:line="268" w:lineRule="auto"/>
        <w:rPr>
          <w:sz w:val="20"/>
          <w:szCs w:val="20"/>
          <w:color w:val="auto"/>
        </w:rPr>
      </w:pPr>
      <w:r>
        <w:rPr>
          <w:rFonts w:ascii="Times New Roman" w:cs="Times New Roman" w:eastAsia="Times New Roman" w:hAnsi="Times New Roman"/>
          <w:sz w:val="19"/>
          <w:szCs w:val="19"/>
          <w:color w:val="auto"/>
        </w:rPr>
        <w:t>Patents, trademarks and other intellectual property rights, both in the U.S. and foreign countries, are very important to our business. We also rely on trade secrets, manufacturing know-how, technological innovations, licensing agreements and confidentiality agreements and regulatory exclusivities to maintain and improve our competitive position. We review third party proprietary rights, including patents and patent applications, as available, in an effort to develop an effective intellectual property strategy, avoid infringement of third party proprietary rights, identify licensing opportunities and monitor the intellectual property owned by others.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Description of Patent Rights</w:t>
      </w:r>
    </w:p>
    <w:p>
      <w:pPr>
        <w:spacing w:after="0" w:line="248" w:lineRule="exact"/>
        <w:rPr>
          <w:sz w:val="20"/>
          <w:szCs w:val="20"/>
          <w:color w:val="auto"/>
        </w:rPr>
      </w:pPr>
    </w:p>
    <w:p>
      <w:pPr>
        <w:jc w:val="both"/>
        <w:ind w:right="60" w:firstLine="441"/>
        <w:spacing w:after="0" w:line="258" w:lineRule="auto"/>
        <w:rPr>
          <w:sz w:val="20"/>
          <w:szCs w:val="20"/>
          <w:color w:val="auto"/>
        </w:rPr>
      </w:pPr>
      <w:r>
        <w:rPr>
          <w:rFonts w:ascii="Times New Roman" w:cs="Times New Roman" w:eastAsia="Times New Roman" w:hAnsi="Times New Roman"/>
          <w:sz w:val="20"/>
          <w:szCs w:val="20"/>
          <w:color w:val="auto"/>
        </w:rPr>
        <w:t>Patents grant the legal right to exclude others from practicing an invention. In the United States, patent rights prohibit (subject to certain exceptions) others from making, using, selling, offering for sale, or importing the claimed invention without the permission of the patentee.</w:t>
      </w:r>
    </w:p>
    <w:p>
      <w:pPr>
        <w:spacing w:after="0" w:line="1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Patent rights are territorial and must be obtained in every jurisdiction in which protection is desired. The legal requirements for</w:t>
      </w:r>
    </w:p>
    <w:p>
      <w:pPr>
        <w:spacing w:after="0" w:line="3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obtaining a patent vary by jurisdiction and can include the requirement that the claimed subject matter is new (novel) and nonobvious (or inventive). Other requirements, depending on jurisdiction, can include that the invention be adequately described so as to enable others to make and use it, and that the inventors be properly identified.</w:t>
      </w:r>
    </w:p>
    <w:p>
      <w:pPr>
        <w:spacing w:after="0" w:line="82" w:lineRule="exact"/>
        <w:rPr>
          <w:sz w:val="20"/>
          <w:szCs w:val="20"/>
          <w:color w:val="auto"/>
        </w:rPr>
      </w:pPr>
    </w:p>
    <w:p>
      <w:pPr>
        <w:ind w:right="160" w:firstLine="441"/>
        <w:spacing w:after="0" w:line="280" w:lineRule="auto"/>
        <w:rPr>
          <w:sz w:val="20"/>
          <w:szCs w:val="20"/>
          <w:color w:val="auto"/>
        </w:rPr>
      </w:pPr>
      <w:r>
        <w:rPr>
          <w:rFonts w:ascii="Times New Roman" w:cs="Times New Roman" w:eastAsia="Times New Roman" w:hAnsi="Times New Roman"/>
          <w:sz w:val="19"/>
          <w:szCs w:val="19"/>
          <w:color w:val="auto"/>
        </w:rPr>
        <w:t>Patent rights are defined by the claims set forth in the granted patent, which define the scope of the right to exclude others from practicing the patented invention. Patent infringement arises when a third party practices without authorization, each element of the</w:t>
      </w:r>
    </w:p>
    <w:p>
      <w:pPr>
        <w:spacing w:after="0"/>
        <w:rPr>
          <w:sz w:val="20"/>
          <w:szCs w:val="20"/>
          <w:color w:val="auto"/>
        </w:rPr>
      </w:pPr>
      <w:r>
        <w:rPr>
          <w:rFonts w:ascii="Times New Roman" w:cs="Times New Roman" w:eastAsia="Times New Roman" w:hAnsi="Times New Roman"/>
          <w:sz w:val="20"/>
          <w:szCs w:val="20"/>
          <w:color w:val="auto"/>
        </w:rPr>
        <w:t>claims set forth in the granted patent. It is also possible to indirectly infringe a patent, such as by inducing a third party to directly</w:t>
      </w:r>
    </w:p>
    <w:p>
      <w:pPr>
        <w:spacing w:after="0" w:line="6" w:lineRule="exact"/>
        <w:rPr>
          <w:sz w:val="20"/>
          <w:szCs w:val="20"/>
          <w:color w:val="auto"/>
        </w:rPr>
      </w:pPr>
    </w:p>
    <w:p>
      <w:pPr>
        <w:ind w:right="820"/>
        <w:spacing w:after="0" w:line="255" w:lineRule="auto"/>
        <w:rPr>
          <w:sz w:val="20"/>
          <w:szCs w:val="20"/>
          <w:color w:val="auto"/>
        </w:rPr>
      </w:pPr>
      <w:r>
        <w:rPr>
          <w:rFonts w:ascii="Times New Roman" w:cs="Times New Roman" w:eastAsia="Times New Roman" w:hAnsi="Times New Roman"/>
          <w:sz w:val="20"/>
          <w:szCs w:val="20"/>
          <w:color w:val="auto"/>
        </w:rPr>
        <w:t>infringe the patent, or by contributorily infringing by making a material component of the invention that is not subject to any substantial non-infringing use.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Duration of Patent Rights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Patents are granted for limited periods of time. In the United States, the standard patent term is 20 years from the earliest</w:t>
      </w:r>
    </w:p>
    <w:p>
      <w:pPr>
        <w:spacing w:after="0" w:line="33" w:lineRule="exact"/>
        <w:rPr>
          <w:sz w:val="20"/>
          <w:szCs w:val="20"/>
          <w:color w:val="auto"/>
        </w:rPr>
      </w:pPr>
    </w:p>
    <w:p>
      <w:pPr>
        <w:ind w:right="380"/>
        <w:spacing w:after="0" w:line="272" w:lineRule="auto"/>
        <w:rPr>
          <w:sz w:val="20"/>
          <w:szCs w:val="20"/>
          <w:color w:val="auto"/>
        </w:rPr>
      </w:pPr>
      <w:r>
        <w:rPr>
          <w:rFonts w:ascii="Times New Roman" w:cs="Times New Roman" w:eastAsia="Times New Roman" w:hAnsi="Times New Roman"/>
          <w:sz w:val="20"/>
          <w:szCs w:val="20"/>
          <w:color w:val="auto"/>
        </w:rPr>
        <w:t>nonprovisional filing to which the patent claims priority. The patent term can be extended as a result of delays in the patent office, resulting in patent term adjustment.</w:t>
      </w:r>
    </w:p>
    <w:p>
      <w:pPr>
        <w:spacing w:after="0" w:line="52" w:lineRule="exact"/>
        <w:rPr>
          <w:sz w:val="20"/>
          <w:szCs w:val="20"/>
          <w:color w:val="auto"/>
        </w:rPr>
      </w:pPr>
    </w:p>
    <w:p>
      <w:pPr>
        <w:ind w:firstLine="441"/>
        <w:spacing w:after="0" w:line="271" w:lineRule="auto"/>
        <w:rPr>
          <w:sz w:val="20"/>
          <w:szCs w:val="20"/>
          <w:color w:val="auto"/>
        </w:rPr>
      </w:pPr>
      <w:r>
        <w:rPr>
          <w:rFonts w:ascii="Times New Roman" w:cs="Times New Roman" w:eastAsia="Times New Roman" w:hAnsi="Times New Roman"/>
          <w:sz w:val="20"/>
          <w:szCs w:val="20"/>
          <w:color w:val="auto"/>
        </w:rPr>
        <w:t>In addition, patent term extension can compensate for time lost during product development and the regulatory review process by returning up to five years of patent life for a patent that covers a new product or its use.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Patent Litigation</w:t>
      </w:r>
    </w:p>
    <w:p>
      <w:pPr>
        <w:spacing w:after="0" w:line="276" w:lineRule="exact"/>
        <w:rPr>
          <w:sz w:val="20"/>
          <w:szCs w:val="20"/>
          <w:color w:val="auto"/>
        </w:rPr>
      </w:pPr>
    </w:p>
    <w:p>
      <w:pPr>
        <w:ind w:right="40" w:firstLine="441"/>
        <w:spacing w:after="0" w:line="289" w:lineRule="auto"/>
        <w:rPr>
          <w:sz w:val="20"/>
          <w:szCs w:val="20"/>
          <w:color w:val="auto"/>
        </w:rPr>
      </w:pPr>
      <w:r>
        <w:rPr>
          <w:rFonts w:ascii="Times New Roman" w:cs="Times New Roman" w:eastAsia="Times New Roman" w:hAnsi="Times New Roman"/>
          <w:sz w:val="19"/>
          <w:szCs w:val="19"/>
          <w:color w:val="auto"/>
        </w:rPr>
        <w:t>Patent rights are not self-executing and may need to be asserted, such as through litigation. Litigation typically starts when a patentee sues a defendant alleging infringement of one or more patents. It can also occur when the target of a perceived patent assertion preemptively files a lawsuit, a so-called declaratory judgment action, seeking a declaration by a court that it does not infringe a patent or that the patent is invalid. In the United States, patent litigation is conducted in federal district court with a right of appeal to</w:t>
      </w:r>
    </w:p>
    <w:p>
      <w:pPr>
        <w:spacing w:after="0" w:line="2"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20"/>
          <w:szCs w:val="20"/>
          <w:color w:val="auto"/>
        </w:rPr>
        <w:t>the United States Court of Appeals for the Federal Circuit, and discretionary review by petition to the Supreme Court of the United States.</w:t>
      </w:r>
    </w:p>
    <w:p>
      <w:pPr>
        <w:spacing w:after="0" w:line="69" w:lineRule="exact"/>
        <w:rPr>
          <w:sz w:val="20"/>
          <w:szCs w:val="20"/>
          <w:color w:val="auto"/>
        </w:rPr>
      </w:pPr>
    </w:p>
    <w:p>
      <w:pPr>
        <w:jc w:val="both"/>
        <w:ind w:right="460" w:firstLine="441"/>
        <w:spacing w:after="0" w:line="328" w:lineRule="auto"/>
        <w:rPr>
          <w:sz w:val="20"/>
          <w:szCs w:val="20"/>
          <w:color w:val="auto"/>
        </w:rPr>
      </w:pPr>
      <w:r>
        <w:rPr>
          <w:rFonts w:ascii="Times New Roman" w:cs="Times New Roman" w:eastAsia="Times New Roman" w:hAnsi="Times New Roman"/>
          <w:sz w:val="19"/>
          <w:szCs w:val="19"/>
          <w:color w:val="auto"/>
        </w:rPr>
        <w:t>In the United States, patent cases are generally tried to a jury, with the exception of Hatch-Waxman cases, discussed below, which are tried to a judge. The judge determines the meaning of disputed claim terms during a process called claim construction.</w:t>
      </w:r>
    </w:p>
    <w:p>
      <w:pPr>
        <w:spacing w:after="0" w:line="65" w:lineRule="exact"/>
        <w:rPr>
          <w:sz w:val="20"/>
          <w:szCs w:val="20"/>
          <w:color w:val="auto"/>
        </w:rPr>
      </w:pPr>
    </w:p>
    <w:p>
      <w:pPr>
        <w:ind w:right="200" w:firstLine="441"/>
        <w:spacing w:after="0" w:line="279" w:lineRule="auto"/>
        <w:rPr>
          <w:sz w:val="20"/>
          <w:szCs w:val="20"/>
          <w:color w:val="auto"/>
        </w:rPr>
      </w:pPr>
      <w:r>
        <w:rPr>
          <w:rFonts w:ascii="Times New Roman" w:cs="Times New Roman" w:eastAsia="Times New Roman" w:hAnsi="Times New Roman"/>
          <w:sz w:val="19"/>
          <w:szCs w:val="19"/>
          <w:color w:val="auto"/>
        </w:rPr>
        <w:t>Patent litigation can be expensive and burdensome, both in terms of time, money, and company resources. The outcome of patent litigation is always uncertain to varying degrees. The subject matter is often highly technical and difficult for lay juries, and judges, to understand. Context is provided by dueling experts about whom the fact-finder must make credibility determinations. The</w:t>
      </w:r>
    </w:p>
    <w:p>
      <w:pPr>
        <w:spacing w:after="0" w:line="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issue of infringement frequently turns on the construction (interpretation) of particular claim language during a process culminating in a so-called “</w:t>
      </w:r>
      <w:r>
        <w:rPr>
          <w:rFonts w:ascii="Times New Roman" w:cs="Times New Roman" w:eastAsia="Times New Roman" w:hAnsi="Times New Roman"/>
          <w:sz w:val="20"/>
          <w:szCs w:val="20"/>
          <w:i w:val="1"/>
          <w:iCs w:val="1"/>
          <w:color w:val="auto"/>
        </w:rPr>
        <w:t>Markman Order.”</w:t>
      </w:r>
    </w:p>
    <w:p>
      <w:pPr>
        <w:spacing w:after="0" w:line="95" w:lineRule="exact"/>
        <w:rPr>
          <w:sz w:val="20"/>
          <w:szCs w:val="20"/>
          <w:color w:val="auto"/>
        </w:rPr>
      </w:pPr>
    </w:p>
    <w:p>
      <w:pPr>
        <w:ind w:right="20" w:firstLine="441"/>
        <w:spacing w:after="0" w:line="289" w:lineRule="auto"/>
        <w:rPr>
          <w:sz w:val="20"/>
          <w:szCs w:val="20"/>
          <w:color w:val="auto"/>
        </w:rPr>
      </w:pPr>
      <w:r>
        <w:rPr>
          <w:rFonts w:ascii="Times New Roman" w:cs="Times New Roman" w:eastAsia="Times New Roman" w:hAnsi="Times New Roman"/>
          <w:sz w:val="19"/>
          <w:szCs w:val="19"/>
          <w:color w:val="auto"/>
        </w:rPr>
        <w:t>During patent litigation, the validity of the patents is almost always challenged, because invalidity is a defense to infringement. Although a patent is presumed valid, this presumption can be overcome by clear and convincing evidence. In the United States, typical grounds for challenge include lack of novelty or obviousness by introducing evidence of relevant “prior art,” referring to activity that pre-dated the relevant priority dates of the challenged patents. During litigation, patent challengers often devote significant resources</w:t>
      </w:r>
    </w:p>
    <w:p>
      <w:pPr>
        <w:spacing w:after="0" w:line="2"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20"/>
          <w:szCs w:val="20"/>
          <w:color w:val="auto"/>
        </w:rPr>
        <w:t>to identifying prior art from repositories around the world, often far exceeding the search capacities and budgets of the patent offices that conducted screening searches before issuing the patents in the first instance.</w:t>
      </w:r>
    </w:p>
    <w:p>
      <w:pPr>
        <w:sectPr>
          <w:pgSz w:w="11880" w:h="15480" w:orient="portrait"/>
          <w:cols w:equalWidth="0" w:num="1">
            <w:col w:w="10600"/>
          </w:cols>
          <w:pgMar w:left="640" w:top="619" w:right="640" w:bottom="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880" w:h="15480" w:orient="portrait"/>
          <w:cols w:equalWidth="0" w:num="1">
            <w:col w:w="10600"/>
          </w:cols>
          <w:pgMar w:left="640" w:top="619" w:right="640" w:bottom="0" w:gutter="0" w:footer="0" w:header="0"/>
          <w:type w:val="continuous"/>
        </w:sectPr>
      </w:pPr>
    </w:p>
    <w:bookmarkStart w:id="22" w:name="page23"/>
    <w:bookmarkEnd w:id="22"/>
    <w:p>
      <w:pPr>
        <w:ind w:right="260" w:firstLine="441"/>
        <w:spacing w:after="0" w:line="273" w:lineRule="auto"/>
        <w:rPr>
          <w:sz w:val="20"/>
          <w:szCs w:val="20"/>
          <w:color w:val="auto"/>
        </w:rPr>
      </w:pPr>
      <w:r>
        <w:rPr>
          <w:rFonts w:ascii="Times New Roman" w:cs="Times New Roman" w:eastAsia="Times New Roman" w:hAnsi="Times New Roman"/>
          <w:sz w:val="19"/>
          <w:szCs w:val="19"/>
          <w:color w:val="auto"/>
        </w:rPr>
        <w:t>Other grounds of challenge in the United States include lack of written description and enablement, generally alleging that the full scope of the claimed invention was either not in the possession of the inventor of the time of filing or that one of skill in the art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would not have been able to practice the full scope of the invention without undue experimentation. Both of these inquiries are highly</w:t>
      </w:r>
    </w:p>
    <w:p>
      <w:pPr>
        <w:spacing w:after="0" w:line="37"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20"/>
          <w:szCs w:val="20"/>
          <w:color w:val="auto"/>
        </w:rPr>
        <w:t>fact-specific. Improper inventorship can be the basis for an invalidity challenge, as can an allegation that the patent is not the subject of statutory subject matter, which is known as a so-called “Section 101” challenge.</w:t>
      </w:r>
    </w:p>
    <w:p>
      <w:pPr>
        <w:spacing w:after="0" w:line="69" w:lineRule="exact"/>
        <w:rPr>
          <w:sz w:val="20"/>
          <w:szCs w:val="20"/>
          <w:color w:val="auto"/>
        </w:rPr>
      </w:pPr>
    </w:p>
    <w:p>
      <w:pPr>
        <w:ind w:right="360" w:firstLine="441"/>
        <w:spacing w:after="0" w:line="255" w:lineRule="auto"/>
        <w:rPr>
          <w:sz w:val="20"/>
          <w:szCs w:val="20"/>
          <w:color w:val="auto"/>
        </w:rPr>
      </w:pPr>
      <w:r>
        <w:rPr>
          <w:rFonts w:ascii="Times New Roman" w:cs="Times New Roman" w:eastAsia="Times New Roman" w:hAnsi="Times New Roman"/>
          <w:sz w:val="20"/>
          <w:szCs w:val="20"/>
          <w:color w:val="auto"/>
        </w:rPr>
        <w:t>Although patent infringement actions are tried in district courts, patent validity can also be challenged in special proceedings before the U.S. Patent and Trademark Office (“USPTO”), such as Inter Partes Reviews and Post-Grant Reviews.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Patent-related Aspects of Regulatory Matters</w:t>
      </w:r>
    </w:p>
    <w:p>
      <w:pPr>
        <w:spacing w:after="0" w:line="248" w:lineRule="exact"/>
        <w:rPr>
          <w:sz w:val="20"/>
          <w:szCs w:val="20"/>
          <w:color w:val="auto"/>
        </w:rPr>
      </w:pPr>
    </w:p>
    <w:p>
      <w:pPr>
        <w:ind w:right="400" w:firstLine="441"/>
        <w:spacing w:after="0" w:line="249" w:lineRule="auto"/>
        <w:rPr>
          <w:sz w:val="20"/>
          <w:szCs w:val="20"/>
          <w:color w:val="auto"/>
        </w:rPr>
      </w:pPr>
      <w:r>
        <w:rPr>
          <w:rFonts w:ascii="Times New Roman" w:cs="Times New Roman" w:eastAsia="Times New Roman" w:hAnsi="Times New Roman"/>
          <w:sz w:val="19"/>
          <w:szCs w:val="19"/>
          <w:color w:val="auto"/>
        </w:rPr>
        <w:t>The FDA approval process for drugs is described below, including new drug applications (“NDAs”) for innovator drugs, ANDAs for generics, and 505(b)(2) applications for modifications to formulations or uses of products previously approved by the</w:t>
      </w:r>
    </w:p>
    <w:p>
      <w:pPr>
        <w:spacing w:after="0" w:line="1" w:lineRule="exact"/>
        <w:rPr>
          <w:sz w:val="20"/>
          <w:szCs w:val="20"/>
          <w:color w:val="auto"/>
        </w:rPr>
      </w:pPr>
    </w:p>
    <w:p>
      <w:pPr>
        <w:ind w:right="640"/>
        <w:spacing w:after="0" w:line="329" w:lineRule="auto"/>
        <w:rPr>
          <w:sz w:val="20"/>
          <w:szCs w:val="20"/>
          <w:color w:val="auto"/>
        </w:rPr>
      </w:pPr>
      <w:r>
        <w:rPr>
          <w:rFonts w:ascii="Times New Roman" w:cs="Times New Roman" w:eastAsia="Times New Roman" w:hAnsi="Times New Roman"/>
          <w:sz w:val="20"/>
          <w:szCs w:val="20"/>
          <w:color w:val="auto"/>
        </w:rPr>
        <w:t xml:space="preserve">FDA. See </w:t>
      </w:r>
      <w:r>
        <w:rPr>
          <w:rFonts w:ascii="Times New Roman" w:cs="Times New Roman" w:eastAsia="Times New Roman" w:hAnsi="Times New Roman"/>
          <w:sz w:val="23"/>
          <w:szCs w:val="23"/>
          <w:i w:val="1"/>
          <w:iCs w:val="1"/>
          <w:color w:val="auto"/>
        </w:rPr>
        <w:t>“</w:t>
      </w:r>
      <w:r>
        <w:rPr>
          <w:rFonts w:ascii="Times New Roman" w:cs="Times New Roman" w:eastAsia="Times New Roman" w:hAnsi="Times New Roman"/>
          <w:sz w:val="20"/>
          <w:szCs w:val="20"/>
          <w:i w:val="1"/>
          <w:iCs w:val="1"/>
          <w:color w:val="auto"/>
        </w:rPr>
        <w:t>Regulatory Matters”</w:t>
      </w:r>
      <w:r>
        <w:rPr>
          <w:rFonts w:ascii="Times New Roman" w:cs="Times New Roman" w:eastAsia="Times New Roman" w:hAnsi="Times New Roman"/>
          <w:sz w:val="20"/>
          <w:szCs w:val="20"/>
          <w:color w:val="auto"/>
        </w:rPr>
        <w:t xml:space="preserve"> below for more information. Below is a description of the roles played by patents in relevant regulatory framework.</w:t>
      </w:r>
    </w:p>
    <w:p>
      <w:pPr>
        <w:spacing w:after="0" w:line="20" w:lineRule="exact"/>
        <w:rPr>
          <w:sz w:val="20"/>
          <w:szCs w:val="20"/>
          <w:color w:val="auto"/>
        </w:rPr>
      </w:pPr>
    </w:p>
    <w:p>
      <w:pPr>
        <w:ind w:right="160" w:firstLine="441"/>
        <w:spacing w:after="0" w:line="250" w:lineRule="auto"/>
        <w:rPr>
          <w:sz w:val="20"/>
          <w:szCs w:val="20"/>
          <w:color w:val="auto"/>
        </w:rPr>
      </w:pPr>
      <w:r>
        <w:rPr>
          <w:rFonts w:ascii="Times New Roman" w:cs="Times New Roman" w:eastAsia="Times New Roman" w:hAnsi="Times New Roman"/>
          <w:sz w:val="20"/>
          <w:szCs w:val="20"/>
          <w:color w:val="auto"/>
        </w:rPr>
        <w:t xml:space="preserve">First, in seeking approval for a drug through an NDA, including a 505(b)(2) NDA, applicants are required to list with the FDA each patent with claims that cover the applicant’s drug, which is later published in the Orange Book. The FDA approved drugs listed in the Orange Book can serve as a basis for comparison by the FDA when evaluating the bioequivalence of new generic drugs. An FDA approved drug relied upon for comparison is referred to as a “reference listed drug” (“RLD”) and may be cited by potential competitors in support of approval of an ANDA or 505(b)(2) application. See </w:t>
      </w:r>
      <w:r>
        <w:rPr>
          <w:rFonts w:ascii="Times New Roman" w:cs="Times New Roman" w:eastAsia="Times New Roman" w:hAnsi="Times New Roman"/>
          <w:sz w:val="20"/>
          <w:szCs w:val="20"/>
          <w:i w:val="1"/>
          <w:iCs w:val="1"/>
          <w:color w:val="auto"/>
        </w:rPr>
        <w:t>“Regulatory Matters – Hatch-Waxman Act”</w:t>
      </w:r>
      <w:r>
        <w:rPr>
          <w:rFonts w:ascii="Times New Roman" w:cs="Times New Roman" w:eastAsia="Times New Roman" w:hAnsi="Times New Roman"/>
          <w:sz w:val="20"/>
          <w:szCs w:val="20"/>
          <w:color w:val="auto"/>
        </w:rPr>
        <w:t xml:space="preserve"> below for more information.</w:t>
      </w:r>
    </w:p>
    <w:p>
      <w:pPr>
        <w:spacing w:after="0" w:line="91"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20"/>
          <w:szCs w:val="20"/>
          <w:color w:val="auto"/>
        </w:rPr>
        <w:t>With respect to any RLD patents listed in the Orange Book, the applicant must certify to one of the following four items: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drug.</w:t>
      </w:r>
    </w:p>
    <w:p>
      <w:pPr>
        <w:spacing w:after="0" w:line="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A certification to the fourth item (a so-called a Paragraph IV certification) constitutes a technical act of patent infringement</w:t>
      </w:r>
    </w:p>
    <w:p>
      <w:pPr>
        <w:spacing w:after="0" w:line="5"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9"/>
          <w:szCs w:val="19"/>
          <w:color w:val="auto"/>
        </w:rPr>
        <w:t>under the U.S. Patent Laws, which can give rise to litigation to determine whether or not the product, if approved and launched, would infringe the listed patents, and whether those patents are invalid. The applicant may also elect to submit a "section viii" statement</w:t>
      </w:r>
    </w:p>
    <w:p>
      <w:pPr>
        <w:ind w:right="60"/>
        <w:spacing w:after="0" w:line="254" w:lineRule="auto"/>
        <w:rPr>
          <w:sz w:val="20"/>
          <w:szCs w:val="20"/>
          <w:color w:val="auto"/>
        </w:rPr>
      </w:pPr>
      <w:r>
        <w:rPr>
          <w:rFonts w:ascii="Times New Roman" w:cs="Times New Roman" w:eastAsia="Times New Roman" w:hAnsi="Times New Roman"/>
          <w:sz w:val="20"/>
          <w:szCs w:val="20"/>
          <w:color w:val="auto"/>
        </w:rPr>
        <w:t>certifying that its proposed label does not contain (or carves out) any language regarding the patented method-of-use rather than certify to a listed method-of-use patent. The first company or companies to submit an application that (1) is determined by the FDA to be “substantially complete” upon submission and (2) contains a paragraph IV certification to at least one of the patents listed in the Orange Book is generally eligible for the exclusive right to market the generic drug for 180 days.</w:t>
      </w:r>
    </w:p>
    <w:p>
      <w:pPr>
        <w:spacing w:after="0" w:line="85" w:lineRule="exact"/>
        <w:rPr>
          <w:sz w:val="20"/>
          <w:szCs w:val="20"/>
          <w:color w:val="auto"/>
        </w:rPr>
      </w:pPr>
    </w:p>
    <w:p>
      <w:pPr>
        <w:ind w:right="260" w:firstLine="441"/>
        <w:spacing w:after="0" w:line="284" w:lineRule="auto"/>
        <w:rPr>
          <w:sz w:val="20"/>
          <w:szCs w:val="20"/>
          <w:color w:val="auto"/>
        </w:rPr>
      </w:pPr>
      <w:r>
        <w:rPr>
          <w:rFonts w:ascii="Times New Roman" w:cs="Times New Roman" w:eastAsia="Times New Roman" w:hAnsi="Times New Roman"/>
          <w:sz w:val="19"/>
          <w:szCs w:val="19"/>
          <w:color w:val="auto"/>
        </w:rPr>
        <w:t>After filing a Paragraph IV certification, the applicant has 45 days from filing to submit a “Notice Letter” to the Orange Book patent holder. The patent holder can then sue for infringement. The resulting litigation is known as Hatch-Waxman litigation. If the</w:t>
      </w:r>
    </w:p>
    <w:p>
      <w:pPr>
        <w:ind w:right="20"/>
        <w:spacing w:after="0" w:line="258" w:lineRule="auto"/>
        <w:rPr>
          <w:sz w:val="20"/>
          <w:szCs w:val="20"/>
          <w:color w:val="auto"/>
        </w:rPr>
      </w:pPr>
      <w:r>
        <w:rPr>
          <w:rFonts w:ascii="Times New Roman" w:cs="Times New Roman" w:eastAsia="Times New Roman" w:hAnsi="Times New Roman"/>
          <w:sz w:val="20"/>
          <w:szCs w:val="20"/>
          <w:color w:val="auto"/>
        </w:rPr>
        <w:t>patent holder sues for infringement within 45 days of receiving this Notice Letter, the FDA cannot approve the application for 30 months (the so-called “30 month stay”), unless the patents expire in the interim, the lawsuit is settled, or there is decision on the merits favorable to applicant.</w:t>
      </w:r>
    </w:p>
    <w:p>
      <w:pPr>
        <w:spacing w:after="0" w:line="82" w:lineRule="exact"/>
        <w:rPr>
          <w:sz w:val="20"/>
          <w:szCs w:val="20"/>
          <w:color w:val="auto"/>
        </w:rPr>
      </w:pPr>
    </w:p>
    <w:p>
      <w:pPr>
        <w:ind w:right="200" w:firstLine="441"/>
        <w:spacing w:after="0" w:line="258" w:lineRule="auto"/>
        <w:rPr>
          <w:sz w:val="20"/>
          <w:szCs w:val="20"/>
          <w:color w:val="auto"/>
        </w:rPr>
      </w:pPr>
      <w:r>
        <w:rPr>
          <w:rFonts w:ascii="Times New Roman" w:cs="Times New Roman" w:eastAsia="Times New Roman" w:hAnsi="Times New Roman"/>
          <w:sz w:val="20"/>
          <w:szCs w:val="20"/>
          <w:color w:val="auto"/>
        </w:rPr>
        <w:t xml:space="preserve">Independent of the 30-month stay, the FDA also will not approve a 505(b)(2) NDA or an ANDA application that references an RLD until any applicable non-patent exclusivity listed in the Orange Book for the respective RLD has expired. See </w:t>
      </w:r>
      <w:r>
        <w:rPr>
          <w:rFonts w:ascii="Times New Roman" w:cs="Times New Roman" w:eastAsia="Times New Roman" w:hAnsi="Times New Roman"/>
          <w:sz w:val="20"/>
          <w:szCs w:val="20"/>
          <w:i w:val="1"/>
          <w:iCs w:val="1"/>
          <w:color w:val="auto"/>
        </w:rPr>
        <w:t>“Regulatory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Matters – Hatch-Waxman Act” </w:t>
      </w:r>
      <w:r>
        <w:rPr>
          <w:rFonts w:ascii="Times New Roman" w:cs="Times New Roman" w:eastAsia="Times New Roman" w:hAnsi="Times New Roman"/>
          <w:sz w:val="20"/>
          <w:szCs w:val="20"/>
          <w:color w:val="auto"/>
        </w:rPr>
        <w:t>below for more information.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Trademarks, Service Marks and Trade Names</w:t>
      </w:r>
    </w:p>
    <w:p>
      <w:pPr>
        <w:spacing w:after="0" w:line="131" w:lineRule="exact"/>
        <w:rPr>
          <w:sz w:val="20"/>
          <w:szCs w:val="20"/>
          <w:color w:val="auto"/>
        </w:rPr>
      </w:pPr>
    </w:p>
    <w:p>
      <w:pPr>
        <w:ind w:right="120" w:firstLine="441"/>
        <w:spacing w:after="0" w:line="298" w:lineRule="auto"/>
        <w:rPr>
          <w:sz w:val="20"/>
          <w:szCs w:val="20"/>
          <w:color w:val="auto"/>
        </w:rPr>
      </w:pPr>
      <w:r>
        <w:rPr>
          <w:rFonts w:ascii="Times New Roman" w:cs="Times New Roman" w:eastAsia="Times New Roman" w:hAnsi="Times New Roman"/>
          <w:sz w:val="19"/>
          <w:szCs w:val="19"/>
          <w:color w:val="auto"/>
        </w:rPr>
        <w:t>We own various trademarks, service marks, and trade names, including, among others, PYLARIFY, DEFINITY and Find Fight and Follow. We have generally registered these trademarks, as well as others, in the U.S. and/or numerous foreign jurisdictions.</w:t>
      </w:r>
    </w:p>
    <w:p>
      <w:pPr>
        <w:sectPr>
          <w:pgSz w:w="11880" w:h="15480" w:orient="portrait"/>
          <w:cols w:equalWidth="0" w:num="1">
            <w:col w:w="10580"/>
          </w:cols>
          <w:pgMar w:left="640" w:top="622"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ectPr>
          <w:pgSz w:w="11880" w:h="15480" w:orient="portrait"/>
          <w:cols w:equalWidth="0" w:num="1">
            <w:col w:w="10580"/>
          </w:cols>
          <w:pgMar w:left="640" w:top="622" w:right="660" w:bottom="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0"/>
          <w:szCs w:val="20"/>
          <w:b w:val="1"/>
          <w:bCs w:val="1"/>
          <w:i w:val="1"/>
          <w:iCs w:val="1"/>
          <w:color w:val="auto"/>
        </w:rPr>
        <w:t>Trade Secrets</w:t>
      </w:r>
    </w:p>
    <w:p>
      <w:pPr>
        <w:spacing w:after="0" w:line="153" w:lineRule="exact"/>
        <w:rPr>
          <w:sz w:val="20"/>
          <w:szCs w:val="20"/>
          <w:color w:val="auto"/>
        </w:rPr>
      </w:pPr>
    </w:p>
    <w:p>
      <w:pPr>
        <w:ind w:right="60" w:firstLine="441"/>
        <w:spacing w:after="0" w:line="257" w:lineRule="auto"/>
        <w:rPr>
          <w:sz w:val="20"/>
          <w:szCs w:val="20"/>
          <w:color w:val="auto"/>
        </w:rPr>
      </w:pPr>
      <w:r>
        <w:rPr>
          <w:rFonts w:ascii="Times New Roman" w:cs="Times New Roman" w:eastAsia="Times New Roman" w:hAnsi="Times New Roman"/>
          <w:sz w:val="20"/>
          <w:szCs w:val="20"/>
          <w:color w:val="auto"/>
        </w:rPr>
        <w:t>We possess considerable know-how, including trade secrets from which we derive commercial value. In addition to patents, we rely, where necessary, upon unpatented trade secrets and know-how, proprietary information and continuing technological innovation to develop and maintain our competitive position. We seek to protect our proprietary information, in part, using confidentiality agreements with our collaborators, employees, consultants and other third parties and invention assignment agreements with our employees.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Intellectual Property Protection on Selected Assets</w:t>
      </w:r>
    </w:p>
    <w:p>
      <w:pPr>
        <w:spacing w:after="0" w:line="248" w:lineRule="exact"/>
        <w:rPr>
          <w:sz w:val="20"/>
          <w:szCs w:val="20"/>
          <w:color w:val="auto"/>
        </w:rPr>
      </w:pPr>
    </w:p>
    <w:p>
      <w:pPr>
        <w:ind w:right="240" w:firstLine="441"/>
        <w:spacing w:after="0" w:line="298" w:lineRule="auto"/>
        <w:rPr>
          <w:sz w:val="20"/>
          <w:szCs w:val="20"/>
          <w:color w:val="auto"/>
        </w:rPr>
      </w:pPr>
      <w:r>
        <w:rPr>
          <w:rFonts w:ascii="Times New Roman" w:cs="Times New Roman" w:eastAsia="Times New Roman" w:hAnsi="Times New Roman"/>
          <w:sz w:val="19"/>
          <w:szCs w:val="19"/>
          <w:color w:val="auto"/>
        </w:rPr>
        <w:t>Our IP assets include patents that we own and those to which we have licenses. We typically seek patent protection in major markets around the world, including, among others, the U.S., Canada, Western Europe, Asia, Central America, and South America.</w:t>
      </w:r>
    </w:p>
    <w:p>
      <w:pPr>
        <w:spacing w:after="0" w:line="163" w:lineRule="exact"/>
        <w:rPr>
          <w:sz w:val="20"/>
          <w:szCs w:val="20"/>
          <w:color w:val="auto"/>
        </w:rPr>
      </w:pPr>
    </w:p>
    <w:p>
      <w:pPr>
        <w:ind w:right="140" w:firstLine="441"/>
        <w:spacing w:after="0" w:line="258" w:lineRule="auto"/>
        <w:rPr>
          <w:sz w:val="20"/>
          <w:szCs w:val="20"/>
          <w:color w:val="auto"/>
        </w:rPr>
      </w:pPr>
      <w:r>
        <w:rPr>
          <w:rFonts w:ascii="Times New Roman" w:cs="Times New Roman" w:eastAsia="Times New Roman" w:hAnsi="Times New Roman"/>
          <w:sz w:val="20"/>
          <w:szCs w:val="20"/>
          <w:color w:val="auto"/>
        </w:rPr>
        <w:t>All patent terms described below are presented without giving effect to any applicable patent term adjustments or regulatory extensions. In addition, a list of Orange Book-listed patents, together with expiration dates, and applicable regulatory exclusivity can be obtained from the FDA through its website.</w:t>
      </w:r>
    </w:p>
    <w:p>
      <w:pPr>
        <w:spacing w:after="0" w:line="1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Further comments on selected IP assets are below:</w:t>
      </w:r>
    </w:p>
    <w:p>
      <w:pPr>
        <w:spacing w:after="0" w:line="179"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PYLARIFY — </w:t>
      </w:r>
      <w:r>
        <w:rPr>
          <w:rFonts w:ascii="Times New Roman" w:cs="Times New Roman" w:eastAsia="Times New Roman" w:hAnsi="Times New Roman"/>
          <w:sz w:val="20"/>
          <w:szCs w:val="20"/>
          <w:color w:val="auto"/>
        </w:rPr>
        <w:t>A portfolio of patents protects PYLARIFY, both in the U.S. and internationally, and we continue to pursue additional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patent protection. Currently, there are six Orange Book-listed patents for PYLARIFY. Our longest duration Orange Book-listed PYLARIFY patent extends until June 2037. The NCE-1 date for PYLARIFY is May 26, 2025. As described below, this is the date after which the FDA is allowed to accept an ANDA or 505(b)(2) applications from generic challengers. If this happens, the Company could elect to pursue Hatch-Waxman litigation and trigger the 30-month stay described above, see </w:t>
      </w:r>
      <w:r>
        <w:rPr>
          <w:rFonts w:ascii="Times New Roman" w:cs="Times New Roman" w:eastAsia="Times New Roman" w:hAnsi="Times New Roman"/>
          <w:sz w:val="20"/>
          <w:szCs w:val="20"/>
          <w:i w:val="1"/>
          <w:iCs w:val="1"/>
          <w:color w:val="auto"/>
        </w:rPr>
        <w:t>“Intellectual Property Matters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Patent-related Aspects of Regulatory Matters” </w:t>
      </w:r>
      <w:r>
        <w:rPr>
          <w:rFonts w:ascii="Times New Roman" w:cs="Times New Roman" w:eastAsia="Times New Roman" w:hAnsi="Times New Roman"/>
          <w:sz w:val="20"/>
          <w:szCs w:val="20"/>
          <w:color w:val="auto"/>
        </w:rPr>
        <w:t>above for more information; during the stay, the FDA is prohibited from approving,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other than as a tentative approval, the challenger’s application until the lawsuit is settled or there is a decision on the merits favorable to applicant.</w:t>
      </w:r>
    </w:p>
    <w:p>
      <w:pPr>
        <w:spacing w:after="0" w:line="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DEFINITY — </w:t>
      </w:r>
      <w:r>
        <w:rPr>
          <w:rFonts w:ascii="Times New Roman" w:cs="Times New Roman" w:eastAsia="Times New Roman" w:hAnsi="Times New Roman"/>
          <w:sz w:val="20"/>
          <w:szCs w:val="20"/>
          <w:color w:val="auto"/>
        </w:rPr>
        <w:t>A portfolio of patents protects the use and manufacturing of DEFINITY and also the VIALMIX RFID device, both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U.S. and internationally. Currently, there are nine Orange Book-listed patents for DEFINITY. Our longest duration Orange Book-listed DEFINITY patent extends until May 2037.</w:t>
      </w:r>
    </w:p>
    <w:p>
      <w:pPr>
        <w:spacing w:after="0" w:line="196"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TechneLite — </w:t>
      </w:r>
      <w:r>
        <w:rPr>
          <w:rFonts w:ascii="Times New Roman" w:cs="Times New Roman" w:eastAsia="Times New Roman" w:hAnsi="Times New Roman"/>
          <w:sz w:val="20"/>
          <w:szCs w:val="20"/>
          <w:color w:val="auto"/>
        </w:rPr>
        <w:t>We currently own patents in the U.S. and various foreign countries on certain component technology expiring in 2029,</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we are pursuing additional patent protection in the U.S. and world-wide on other component technology that, if granted, would expire in 2040. In addition, given the significant know-how and trade secrets associated with the methods of manufacturing and assembling the TechneLite generator, we believe we have a substantial amount of valuable and defensible proprietary intellectual property associated with the product.</w:t>
      </w:r>
    </w:p>
    <w:p>
      <w:pPr>
        <w:spacing w:after="0" w:line="201"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20"/>
          <w:szCs w:val="20"/>
          <w:i w:val="1"/>
          <w:iCs w:val="1"/>
          <w:color w:val="auto"/>
        </w:rPr>
        <w:t xml:space="preserve">aPROMISE — </w:t>
      </w:r>
      <w:r>
        <w:rPr>
          <w:rFonts w:ascii="Times New Roman" w:cs="Times New Roman" w:eastAsia="Times New Roman" w:hAnsi="Times New Roman"/>
          <w:sz w:val="20"/>
          <w:szCs w:val="20"/>
          <w:color w:val="auto"/>
        </w:rPr>
        <w:t>U.S. Patents and pending patent applications worldwide relating to automated medical image analysis, have expiration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dates ranging from 2037 to 2041.</w:t>
      </w:r>
    </w:p>
    <w:p>
      <w:pPr>
        <w:spacing w:after="0" w:line="183"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20"/>
          <w:szCs w:val="20"/>
          <w:i w:val="1"/>
          <w:iCs w:val="1"/>
          <w:color w:val="auto"/>
        </w:rPr>
        <w:t xml:space="preserve">Other Nuclear Products — </w:t>
      </w:r>
      <w:r>
        <w:rPr>
          <w:rFonts w:ascii="Times New Roman" w:cs="Times New Roman" w:eastAsia="Times New Roman" w:hAnsi="Times New Roman"/>
          <w:sz w:val="20"/>
          <w:szCs w:val="20"/>
          <w:color w:val="auto"/>
        </w:rPr>
        <w:t>Neither CARDIOLITE nor NEUROLITE is covered any longer by patent protection. We have patent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protection for an improved container for Xenon in the U.S., Canada and Australia that expires in October 2035.</w:t>
      </w:r>
    </w:p>
    <w:p>
      <w:pPr>
        <w:spacing w:after="0" w:line="183"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aBSI — </w:t>
      </w:r>
      <w:r>
        <w:rPr>
          <w:rFonts w:ascii="Times New Roman" w:cs="Times New Roman" w:eastAsia="Times New Roman" w:hAnsi="Times New Roman"/>
          <w:sz w:val="20"/>
          <w:szCs w:val="20"/>
          <w:color w:val="auto"/>
        </w:rPr>
        <w:t>We own patents relating to automated detection of bone cancer metastases. The patents on this technology expire in the U.S.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2032 and outside of the U.S. in 2028. Further, we own a U.S. patent and have patent applications that are pending in the U.S. and worldwide relating to aBSI improvements, which have expiration ranging from 2040 to 2041.</w:t>
      </w:r>
    </w:p>
    <w:p>
      <w:pPr>
        <w:spacing w:after="0" w:line="19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flurpiridaz (Flyrcado) — </w:t>
      </w:r>
      <w:r>
        <w:rPr>
          <w:rFonts w:ascii="Times New Roman" w:cs="Times New Roman" w:eastAsia="Times New Roman" w:hAnsi="Times New Roman"/>
          <w:sz w:val="20"/>
          <w:szCs w:val="20"/>
          <w:color w:val="auto"/>
        </w:rPr>
        <w:t>We own patents and patent applications in numerous jurisdictions covering composition, use, formulation,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manufacturing, including in the U.S. a composition of matter patent expiring in 2026, a formulation patent expiring in 2032, a method-of-use patent expiring in 2028, and manufacturing-related patents expiring in 2031 and 2033, and various patent applications, some of which, if granted, will expire in 2033.</w:t>
      </w:r>
    </w:p>
    <w:p>
      <w:pPr>
        <w:spacing w:after="0" w:line="19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PNT2002 — </w:t>
      </w:r>
      <w:r>
        <w:rPr>
          <w:rFonts w:ascii="Times New Roman" w:cs="Times New Roman" w:eastAsia="Times New Roman" w:hAnsi="Times New Roman"/>
          <w:sz w:val="20"/>
          <w:szCs w:val="20"/>
          <w:color w:val="auto"/>
        </w:rPr>
        <w:t>We exclusively license granted U.S. patents and pending U.S. patent applications, as well as pending patent applications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jurisdictions outside of the U.S. directed to formulations, use, and manufacturing of PNT2002. The granted U.S. patents expire in 2041.</w:t>
      </w:r>
    </w:p>
    <w:p>
      <w:pPr>
        <w:spacing w:after="0" w:line="19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0"/>
          <w:szCs w:val="20"/>
          <w:i w:val="1"/>
          <w:iCs w:val="1"/>
          <w:color w:val="auto"/>
        </w:rPr>
        <w:t xml:space="preserve">PNT2003 — </w:t>
      </w:r>
      <w:r>
        <w:rPr>
          <w:rFonts w:ascii="Times New Roman" w:cs="Times New Roman" w:eastAsia="Times New Roman" w:hAnsi="Times New Roman"/>
          <w:sz w:val="20"/>
          <w:szCs w:val="20"/>
          <w:color w:val="auto"/>
        </w:rPr>
        <w:t>We exclusively license pending U.S. patent applications, as well as pending patent applications in jurisdictions outside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U.S. directed to formulations, use, and manufacturing of PNT2003 which, if granted, would expire in 2043.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 xml:space="preserve">MK-6240 — </w:t>
      </w:r>
      <w:r>
        <w:rPr>
          <w:rFonts w:ascii="Times New Roman" w:cs="Times New Roman" w:eastAsia="Times New Roman" w:hAnsi="Times New Roman"/>
          <w:sz w:val="19"/>
          <w:szCs w:val="19"/>
          <w:color w:val="auto"/>
        </w:rPr>
        <w:t>We exclusively license patents directed to composition of matter and methods of use of MK-6240 which expire in 2035.</w:t>
      </w:r>
    </w:p>
    <w:p>
      <w:pPr>
        <w:sectPr>
          <w:pgSz w:w="11880" w:h="15480" w:orient="portrait"/>
          <w:cols w:equalWidth="0" w:num="1">
            <w:col w:w="10540"/>
          </w:cols>
          <w:pgMar w:left="640" w:top="614" w:right="700" w:bottom="0" w:gutter="0" w:footer="0" w:header="0"/>
        </w:sectPr>
      </w:pP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18</w:t>
      </w:r>
    </w:p>
    <w:p>
      <w:pPr>
        <w:sectPr>
          <w:pgSz w:w="11880" w:h="15480" w:orient="portrait"/>
          <w:cols w:equalWidth="0" w:num="1">
            <w:col w:w="10540"/>
          </w:cols>
          <w:pgMar w:left="640" w:top="614" w:right="700" w:bottom="0" w:gutter="0" w:footer="0" w:header="0"/>
          <w:type w:val="continuous"/>
        </w:sectPr>
      </w:pPr>
    </w:p>
    <w:bookmarkStart w:id="24" w:name="page25"/>
    <w:bookmarkEnd w:id="24"/>
    <w:p>
      <w:pPr>
        <w:ind w:right="420"/>
        <w:spacing w:after="0" w:line="275" w:lineRule="auto"/>
        <w:rPr>
          <w:sz w:val="20"/>
          <w:szCs w:val="20"/>
          <w:color w:val="auto"/>
        </w:rPr>
      </w:pPr>
      <w:r>
        <w:rPr>
          <w:rFonts w:ascii="Times New Roman" w:cs="Times New Roman" w:eastAsia="Times New Roman" w:hAnsi="Times New Roman"/>
          <w:sz w:val="20"/>
          <w:szCs w:val="20"/>
          <w:i w:val="1"/>
          <w:iCs w:val="1"/>
          <w:color w:val="auto"/>
        </w:rPr>
        <w:t xml:space="preserve">NAV-4694 — </w:t>
      </w:r>
      <w:r>
        <w:rPr>
          <w:rFonts w:ascii="Times New Roman" w:cs="Times New Roman" w:eastAsia="Times New Roman" w:hAnsi="Times New Roman"/>
          <w:sz w:val="20"/>
          <w:szCs w:val="20"/>
          <w:color w:val="auto"/>
        </w:rPr>
        <w:t>We exclusively license patents directed to composition of matter and methods of use of NAV-4694 which expire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2029.</w:t>
      </w:r>
    </w:p>
    <w:p>
      <w:pPr>
        <w:spacing w:after="0" w:line="179"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20"/>
          <w:szCs w:val="20"/>
          <w:i w:val="1"/>
          <w:iCs w:val="1"/>
          <w:color w:val="auto"/>
        </w:rPr>
        <w:t xml:space="preserve">LNTH-1363S — </w:t>
      </w:r>
      <w:r>
        <w:rPr>
          <w:rFonts w:ascii="Times New Roman" w:cs="Times New Roman" w:eastAsia="Times New Roman" w:hAnsi="Times New Roman"/>
          <w:sz w:val="20"/>
          <w:szCs w:val="20"/>
          <w:color w:val="auto"/>
        </w:rPr>
        <w:t>We exclusively license patent applications directed to compositions of matter and methods of use of LNTH-1363S. If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granted, the last patent will expire in 2043.</w:t>
      </w:r>
    </w:p>
    <w:p>
      <w:pPr>
        <w:spacing w:after="0" w:line="179" w:lineRule="exact"/>
        <w:rPr>
          <w:sz w:val="20"/>
          <w:szCs w:val="20"/>
          <w:color w:val="auto"/>
        </w:rPr>
      </w:pPr>
    </w:p>
    <w:p>
      <w:pPr>
        <w:ind w:right="320" w:firstLine="441"/>
        <w:spacing w:after="0" w:line="275" w:lineRule="auto"/>
        <w:rPr>
          <w:sz w:val="20"/>
          <w:szCs w:val="20"/>
          <w:color w:val="auto"/>
        </w:rPr>
      </w:pPr>
      <w:r>
        <w:rPr>
          <w:rFonts w:ascii="Times New Roman" w:cs="Times New Roman" w:eastAsia="Times New Roman" w:hAnsi="Times New Roman"/>
          <w:sz w:val="20"/>
          <w:szCs w:val="20"/>
          <w:color w:val="auto"/>
        </w:rPr>
        <w:t xml:space="preserve">See Part I, Item 1A.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xml:space="preserve"> of this Form 10-K for information regarding certain risks associated with our intellectual property.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Regulatory Matters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Food and Drug Laws</w:t>
      </w:r>
    </w:p>
    <w:p>
      <w:pPr>
        <w:spacing w:after="0" w:line="131" w:lineRule="exact"/>
        <w:rPr>
          <w:sz w:val="20"/>
          <w:szCs w:val="20"/>
          <w:color w:val="auto"/>
        </w:rPr>
      </w:pPr>
    </w:p>
    <w:p>
      <w:pPr>
        <w:ind w:right="140" w:firstLine="441"/>
        <w:spacing w:after="0" w:line="265" w:lineRule="auto"/>
        <w:rPr>
          <w:sz w:val="20"/>
          <w:szCs w:val="20"/>
          <w:color w:val="auto"/>
        </w:rPr>
      </w:pPr>
      <w:r>
        <w:rPr>
          <w:rFonts w:ascii="Times New Roman" w:cs="Times New Roman" w:eastAsia="Times New Roman" w:hAnsi="Times New Roman"/>
          <w:sz w:val="19"/>
          <w:szCs w:val="19"/>
          <w:color w:val="auto"/>
        </w:rPr>
        <w:t>The development, manufacture and commercialization of our products are subject to comprehensive governmental regulation both within and outside the U.S. A number of factors substantially increase the time, difficulty, and costs incurred in obtaining and maintaining the approval to market newly developed and existing products. These factors include governmental regulation, such as detailed inspection of and controls over research and laboratory procedures, clinical trials, manufacturing, marketing, advertising and promotion, sampling, distribution, import and export, record keeping and storage and disposal practices, together with various post-marketing requirements. Governmental regulatory actions can result in the seizure or recall of products, suspension or revocation of the authority necessary for their production and sale, as well as other civil or criminal sanctions.</w:t>
      </w:r>
    </w:p>
    <w:p>
      <w:pPr>
        <w:spacing w:after="0" w:line="193" w:lineRule="exact"/>
        <w:rPr>
          <w:sz w:val="20"/>
          <w:szCs w:val="20"/>
          <w:color w:val="auto"/>
        </w:rPr>
      </w:pPr>
    </w:p>
    <w:p>
      <w:pPr>
        <w:ind w:right="40" w:firstLine="441"/>
        <w:spacing w:after="0" w:line="249" w:lineRule="auto"/>
        <w:rPr>
          <w:sz w:val="20"/>
          <w:szCs w:val="20"/>
          <w:color w:val="auto"/>
        </w:rPr>
      </w:pPr>
      <w:r>
        <w:rPr>
          <w:rFonts w:ascii="Times New Roman" w:cs="Times New Roman" w:eastAsia="Times New Roman" w:hAnsi="Times New Roman"/>
          <w:sz w:val="20"/>
          <w:szCs w:val="20"/>
          <w:color w:val="auto"/>
        </w:rPr>
        <w:t>Our activities related to the development, manufacture, packaging, or repackaging of our products subject us to a wide variety of laws and regulations. We are required to register for permits and/or licenses with, seek approvals from and comply with operating and security standards of, the FDA, the U.S. Nuclear Regulatory Commission (“NRC”), the U.S. Department of Health and Human Services, Health Canada, the European Medicines Agency, the U.K. Medicines and Healthcare Products Regulatory Agency, the NMPA and various state and provincial boards of pharmacy, state and provincial controlled substance agencies, state and provincial health departments and/or comparable state and provincial agencies, as well as foreign agencies, and certain accrediting bodies depending upon the type of operations and location of product distribution, manufacturing and sale.</w:t>
      </w:r>
    </w:p>
    <w:p>
      <w:pPr>
        <w:spacing w:after="0" w:line="211" w:lineRule="exact"/>
        <w:rPr>
          <w:sz w:val="20"/>
          <w:szCs w:val="20"/>
          <w:color w:val="auto"/>
        </w:rPr>
      </w:pPr>
    </w:p>
    <w:p>
      <w:pPr>
        <w:ind w:right="60" w:firstLine="441"/>
        <w:spacing w:after="0" w:line="249" w:lineRule="auto"/>
        <w:rPr>
          <w:sz w:val="20"/>
          <w:szCs w:val="20"/>
          <w:color w:val="auto"/>
        </w:rPr>
      </w:pPr>
      <w:r>
        <w:rPr>
          <w:rFonts w:ascii="Times New Roman" w:cs="Times New Roman" w:eastAsia="Times New Roman" w:hAnsi="Times New Roman"/>
          <w:sz w:val="20"/>
          <w:szCs w:val="20"/>
          <w:color w:val="auto"/>
        </w:rPr>
        <w:t>The FDA and various state regulatory authorities regulate the research, testing, manufacture, safety, labeling, storage, recordkeeping, premarket approval, marketing, advertising and promotion, import and export, and sales and distribution of pharmaceutical products in the U.S. Prior to marketing a pharmaceutical product, we must first receive FDA approval. In the U.S., the FDA regulates drugs under the Federal Food, Drug, and Cosmetic Act (“FDCA”) and implementing regulations. The process of obtaining regulatory approvals and compliance with appropriate federal, state, local, and foreign statutes and regulations requires the expenditure of substantial time and financial resources. Currently, the process required by the FDA before a drug product may be marketed in the U.S. generally involves the following:</w:t>
      </w:r>
    </w:p>
    <w:p>
      <w:pPr>
        <w:spacing w:after="0" w:line="94" w:lineRule="exact"/>
        <w:rPr>
          <w:sz w:val="20"/>
          <w:szCs w:val="20"/>
          <w:color w:val="auto"/>
        </w:rPr>
      </w:pPr>
    </w:p>
    <w:p>
      <w:pPr>
        <w:ind w:left="1060" w:right="100" w:hanging="346"/>
        <w:spacing w:after="0" w:line="271" w:lineRule="auto"/>
        <w:tabs>
          <w:tab w:leader="none" w:pos="10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Completion of preclinical laboratory tests, animal studies and formulation studies according to current Good Laboratory Practices regulations;</w:t>
      </w:r>
    </w:p>
    <w:p>
      <w:pPr>
        <w:spacing w:after="0" w:line="68" w:lineRule="exact"/>
        <w:rPr>
          <w:rFonts w:ascii="Times New Roman" w:cs="Times New Roman" w:eastAsia="Times New Roman" w:hAnsi="Times New Roman"/>
          <w:sz w:val="20"/>
          <w:szCs w:val="20"/>
          <w:color w:val="auto"/>
        </w:rPr>
      </w:pPr>
    </w:p>
    <w:p>
      <w:pPr>
        <w:ind w:left="1060" w:right="140" w:hanging="346"/>
        <w:spacing w:after="0" w:line="258" w:lineRule="auto"/>
        <w:tabs>
          <w:tab w:leader="none" w:pos="10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Submission to the FDA of an investigational new drug application (“IND”) which must become effective before human clinical trials may begin, including review and approval by any institutional review board (“IRB”), serving any of the institutions participating in the clinical trials;</w:t>
      </w:r>
    </w:p>
    <w:p>
      <w:pPr>
        <w:spacing w:after="0" w:line="81" w:lineRule="exact"/>
        <w:rPr>
          <w:rFonts w:ascii="Times New Roman" w:cs="Times New Roman" w:eastAsia="Times New Roman" w:hAnsi="Times New Roman"/>
          <w:sz w:val="20"/>
          <w:szCs w:val="20"/>
          <w:color w:val="auto"/>
        </w:rPr>
      </w:pPr>
    </w:p>
    <w:p>
      <w:pPr>
        <w:ind w:left="1060" w:right="20" w:hanging="346"/>
        <w:spacing w:after="0" w:line="271" w:lineRule="auto"/>
        <w:tabs>
          <w:tab w:leader="none" w:pos="10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 of adequate and well-controlled human clinical trials according to current Good Clinical Practices and other requirements, to establish the safety and efficacy of the proposed drug product for its intended use;</w:t>
      </w:r>
    </w:p>
    <w:p>
      <w:pPr>
        <w:spacing w:after="0" w:line="68"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Submission to the FDA of an NDA for a new drug or ANDA for a generic drug;</w:t>
      </w:r>
    </w:p>
    <w:p>
      <w:pPr>
        <w:spacing w:after="0" w:line="122" w:lineRule="exact"/>
        <w:rPr>
          <w:rFonts w:ascii="Times New Roman" w:cs="Times New Roman" w:eastAsia="Times New Roman" w:hAnsi="Times New Roman"/>
          <w:sz w:val="20"/>
          <w:szCs w:val="20"/>
          <w:color w:val="auto"/>
        </w:rPr>
      </w:pPr>
    </w:p>
    <w:p>
      <w:pPr>
        <w:ind w:left="1060" w:right="440" w:hanging="346"/>
        <w:spacing w:after="0" w:line="298" w:lineRule="auto"/>
        <w:tabs>
          <w:tab w:leader="none" w:pos="106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Satisfactory completion of an FDA inspection of the manufacturing facility or facilities at which the drug product is produced to assess compliance with current Good Manufacturing Practices (“cGMPs”) regulations; and</w:t>
      </w:r>
    </w:p>
    <w:p>
      <w:pPr>
        <w:spacing w:after="0" w:line="45" w:lineRule="exact"/>
        <w:rPr>
          <w:rFonts w:ascii="Times New Roman" w:cs="Times New Roman" w:eastAsia="Times New Roman" w:hAnsi="Times New Roman"/>
          <w:sz w:val="19"/>
          <w:szCs w:val="19"/>
          <w:color w:val="auto"/>
        </w:rPr>
      </w:pPr>
    </w:p>
    <w:p>
      <w:pPr>
        <w:ind w:left="1060" w:hanging="346"/>
        <w:spacing w:after="0"/>
        <w:tabs>
          <w:tab w:leader="none" w:pos="10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FDA review and approval of the NDA or ANDA.</w:t>
      </w:r>
    </w:p>
    <w:p>
      <w:pPr>
        <w:spacing w:after="0" w:line="240"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20"/>
          <w:szCs w:val="20"/>
          <w:color w:val="auto"/>
        </w:rPr>
        <w:t>The testing and approval process requires substantial time, effort, and financial resources, and we cannot be certain that any approvals for our products in development will be granted on a timely basis, if at all. Once a pharmaceutical product is identified for development, it enters the preclinical testing stage. Preclinical tests include laboratory evaluations of product chemistry, toxicity, formulation, and stability, as well as animal studies to assess its potential safety and efficacy. This testing culminates in the submission of the IND to the FDA.</w:t>
      </w:r>
    </w:p>
    <w:p>
      <w:pPr>
        <w:spacing w:after="0" w:line="204" w:lineRule="exact"/>
        <w:rPr>
          <w:sz w:val="20"/>
          <w:szCs w:val="20"/>
          <w:color w:val="auto"/>
        </w:rPr>
      </w:pPr>
    </w:p>
    <w:p>
      <w:pPr>
        <w:ind w:right="160" w:firstLine="441"/>
        <w:spacing w:after="0" w:line="254" w:lineRule="auto"/>
        <w:rPr>
          <w:sz w:val="20"/>
          <w:szCs w:val="20"/>
          <w:color w:val="auto"/>
        </w:rPr>
      </w:pPr>
      <w:r>
        <w:rPr>
          <w:rFonts w:ascii="Times New Roman" w:cs="Times New Roman" w:eastAsia="Times New Roman" w:hAnsi="Times New Roman"/>
          <w:sz w:val="20"/>
          <w:szCs w:val="20"/>
          <w:color w:val="auto"/>
        </w:rPr>
        <w:t>Once the IND becomes effective, including review and approval by any IRB serving any of the institutions participating in the clinical trial, the clinical trial program may begin. Each new clinical trial protocol must be submitted to the FDA before the trial may begin. The person, entity or organization taking responsibility for the trial is referred to as the clinical trial sponsor. Human clinical trials are typically conducted in three sequential phases that may overlap or be combined:</w:t>
      </w:r>
    </w:p>
    <w:p>
      <w:pPr>
        <w:sectPr>
          <w:pgSz w:w="11880" w:h="15480" w:orient="portrait"/>
          <w:cols w:equalWidth="0" w:num="1">
            <w:col w:w="10580"/>
          </w:cols>
          <w:pgMar w:left="640" w:top="619" w:right="660" w:bottom="0" w:gutter="0" w:footer="0" w:header="0"/>
        </w:sect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ectPr>
          <w:pgSz w:w="11880" w:h="15480" w:orient="portrait"/>
          <w:cols w:equalWidth="0" w:num="1">
            <w:col w:w="10580"/>
          </w:cols>
          <w:pgMar w:left="640" w:top="619" w:right="660" w:bottom="0" w:gutter="0" w:footer="0" w:header="0"/>
          <w:type w:val="continuous"/>
        </w:sectPr>
      </w:pPr>
    </w:p>
    <w:bookmarkStart w:id="25" w:name="page26"/>
    <w:bookmarkEnd w:id="25"/>
    <w:p>
      <w:pPr>
        <w:ind w:left="1060" w:right="200" w:hanging="346"/>
        <w:spacing w:after="0" w:line="255" w:lineRule="auto"/>
        <w:tabs>
          <w:tab w:leader="none" w:pos="10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Phase 1. </w:t>
      </w:r>
      <w:r>
        <w:rPr>
          <w:rFonts w:ascii="Times New Roman" w:cs="Times New Roman" w:eastAsia="Times New Roman" w:hAnsi="Times New Roman"/>
          <w:sz w:val="20"/>
          <w:szCs w:val="20"/>
          <w:color w:val="auto"/>
        </w:rPr>
        <w:t>The product is initially introduced into healthy human subjects and tested for safety, dosage tolerance,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absorption, metabolism, distribution and excretion. In the case of some products for severe or life-threatening diseases, especially when the product may be too inherently toxic to ethically administer to healthy volunteers, the initial human testing is often conducted in patients with those diseases.</w:t>
      </w:r>
    </w:p>
    <w:p>
      <w:pPr>
        <w:spacing w:after="0" w:line="80" w:lineRule="exact"/>
        <w:rPr>
          <w:rFonts w:ascii="Times New Roman" w:cs="Times New Roman" w:eastAsia="Times New Roman" w:hAnsi="Times New Roman"/>
          <w:sz w:val="20"/>
          <w:szCs w:val="20"/>
          <w:color w:val="auto"/>
        </w:rPr>
      </w:pPr>
    </w:p>
    <w:p>
      <w:pPr>
        <w:ind w:left="1060" w:right="280" w:hanging="346"/>
        <w:spacing w:after="0" w:line="260" w:lineRule="auto"/>
        <w:tabs>
          <w:tab w:leader="none" w:pos="10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Phase 2. </w:t>
      </w:r>
      <w:r>
        <w:rPr>
          <w:rFonts w:ascii="Times New Roman" w:cs="Times New Roman" w:eastAsia="Times New Roman" w:hAnsi="Times New Roman"/>
          <w:sz w:val="20"/>
          <w:szCs w:val="20"/>
          <w:color w:val="auto"/>
        </w:rPr>
        <w:t>Involves trials in a limited patient population to identify possible adverse effects and safety risks, to evaluate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preliminarily the efficacy of the product for specific targeted diseases and to determine dosage tolerance and optimal dosage and schedule.</w:t>
      </w:r>
    </w:p>
    <w:p>
      <w:pPr>
        <w:spacing w:after="0" w:line="75" w:lineRule="exact"/>
        <w:rPr>
          <w:rFonts w:ascii="Times New Roman" w:cs="Times New Roman" w:eastAsia="Times New Roman" w:hAnsi="Times New Roman"/>
          <w:sz w:val="20"/>
          <w:szCs w:val="20"/>
          <w:color w:val="auto"/>
        </w:rPr>
      </w:pPr>
    </w:p>
    <w:p>
      <w:pPr>
        <w:ind w:left="1060" w:hanging="346"/>
        <w:spacing w:after="0" w:line="260" w:lineRule="auto"/>
        <w:tabs>
          <w:tab w:leader="none" w:pos="10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Phase 3. </w:t>
      </w:r>
      <w:r>
        <w:rPr>
          <w:rFonts w:ascii="Times New Roman" w:cs="Times New Roman" w:eastAsia="Times New Roman" w:hAnsi="Times New Roman"/>
          <w:sz w:val="20"/>
          <w:szCs w:val="20"/>
          <w:color w:val="auto"/>
        </w:rPr>
        <w:t>Clinical trials are undertaken to further evaluate dosage, clinical efficacy and safety in an expanded patient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population at geographically dispersed clinical trial sites. These trials are intended to collect sufficient safety and efficacy data to support the NDA for FDA approval.</w:t>
      </w:r>
    </w:p>
    <w:p>
      <w:pPr>
        <w:spacing w:after="0" w:line="196" w:lineRule="exact"/>
        <w:rPr>
          <w:sz w:val="20"/>
          <w:szCs w:val="20"/>
          <w:color w:val="auto"/>
        </w:rPr>
      </w:pPr>
    </w:p>
    <w:p>
      <w:pPr>
        <w:ind w:right="80" w:firstLine="441"/>
        <w:spacing w:after="0" w:line="262" w:lineRule="auto"/>
        <w:rPr>
          <w:sz w:val="20"/>
          <w:szCs w:val="20"/>
          <w:color w:val="auto"/>
        </w:rPr>
      </w:pPr>
      <w:r>
        <w:rPr>
          <w:rFonts w:ascii="Times New Roman" w:cs="Times New Roman" w:eastAsia="Times New Roman" w:hAnsi="Times New Roman"/>
          <w:sz w:val="19"/>
          <w:szCs w:val="19"/>
          <w:color w:val="auto"/>
        </w:rPr>
        <w:t>Progress reports detailing the results of the clinical trials must be submitted at least annually to the FDA and safety reports must be submitted to the FDA and the investigators for serious and unexpected adverse events. Submissions must also be made to inform the FDA of certain changes to the clinical trial protocol. Federal law also requires the sponsor to register the trials on public databases when they are initiated, and to disclose the results of the trials on public databases upon completion. Phase 1, Phase 2 and Phase 3 clinical trials may not be completed successfully within any specified period, if at all. The FDA or the clinical trial sponsor may suspend or terminate a clinical trial at any time on various grounds, including a finding that the research subjects or patients are being exposed to an unacceptable health risk. Similarly, any IRB serving any of the institutions participating in the clinical trial can suspend or terminate approval of a clinical trial at an institution if the clinical trial is not being conducted in accordance with the IRB’s requirements or if the product has been associated with unexpected serious harm to patients. Failure to register a clinical trial or disclose study results within the required time periods could result in penalties, including civil monetary penalties.</w:t>
      </w:r>
    </w:p>
    <w:p>
      <w:pPr>
        <w:spacing w:after="0" w:line="202" w:lineRule="exact"/>
        <w:rPr>
          <w:sz w:val="20"/>
          <w:szCs w:val="20"/>
          <w:color w:val="auto"/>
        </w:rPr>
      </w:pPr>
    </w:p>
    <w:p>
      <w:pPr>
        <w:ind w:right="100" w:firstLine="441"/>
        <w:spacing w:after="0" w:line="250" w:lineRule="auto"/>
        <w:rPr>
          <w:sz w:val="20"/>
          <w:szCs w:val="20"/>
          <w:color w:val="auto"/>
        </w:rPr>
      </w:pPr>
      <w:r>
        <w:rPr>
          <w:rFonts w:ascii="Times New Roman" w:cs="Times New Roman" w:eastAsia="Times New Roman" w:hAnsi="Times New Roman"/>
          <w:sz w:val="20"/>
          <w:szCs w:val="20"/>
          <w:color w:val="auto"/>
        </w:rPr>
        <w:t>Concurrent with clinical trials, companies usually complete additional animal studies and must also develop additional information about the chemistry and physical characteristics of the product and finalize a process for manufacturing the product in commercial quantities in accordance with cGMP requirements. The manufacturing process must be capable of consistently producing quality batches of the product and, among other things, the manufacturer must develop methods for testing the identity, strength, quality and purity of the final product. Additionally, appropriate packaging must be selected and tested and stability studies must be conducted to demonstrate that the product does not undergo unacceptable deterioration over its shelf life.</w:t>
      </w:r>
    </w:p>
    <w:p>
      <w:pPr>
        <w:spacing w:after="0" w:line="209" w:lineRule="exact"/>
        <w:rPr>
          <w:sz w:val="20"/>
          <w:szCs w:val="20"/>
          <w:color w:val="auto"/>
        </w:rPr>
      </w:pPr>
    </w:p>
    <w:p>
      <w:pPr>
        <w:ind w:right="120" w:firstLine="441"/>
        <w:spacing w:after="0" w:line="262" w:lineRule="auto"/>
        <w:rPr>
          <w:sz w:val="20"/>
          <w:szCs w:val="20"/>
          <w:color w:val="auto"/>
        </w:rPr>
      </w:pPr>
      <w:r>
        <w:rPr>
          <w:rFonts w:ascii="Times New Roman" w:cs="Times New Roman" w:eastAsia="Times New Roman" w:hAnsi="Times New Roman"/>
          <w:sz w:val="19"/>
          <w:szCs w:val="19"/>
          <w:color w:val="auto"/>
        </w:rPr>
        <w:t>The results of product development, preclinical studies and clinical trials, along with descriptions of the manufacturing process, analytical tests conducted on the drug product, proposed labeling, and other relevant information, are submitted to the FDA as part of an NDA for a new drug, requesting approval to market the product. The submission of an NDA is subject to the payment of a substantial user fee. A waiver of that fee may be obtained under certain limited circumstances. The approval process is lengthy and difficult, and the FDA may refuse to approve an NDA if the applicable regulatory criteria are not satisfied. The FDA has substantial discretion in the product approval process, and it is impossible to predict whether and when the FDA will grant marketing approval. The FDA may on occasion require the sponsor of an NDA to conduct additional clinical trials or to provide other scientific or technical information about the product, and these additional requirements may lead to unanticipated delay or expense. Even if such data and information are submitted, the FDA may ultimately decide that the NDA does not satisfy the criteria for approval. Data obtained from clinical trials are not always conclusive, and the FDA may interpret data differently than we interpret the same data.</w:t>
      </w:r>
    </w:p>
    <w:p>
      <w:pPr>
        <w:spacing w:after="0" w:line="202" w:lineRule="exact"/>
        <w:rPr>
          <w:sz w:val="20"/>
          <w:szCs w:val="20"/>
          <w:color w:val="auto"/>
        </w:rPr>
      </w:pPr>
    </w:p>
    <w:p>
      <w:pPr>
        <w:ind w:right="60" w:firstLine="441"/>
        <w:spacing w:after="0" w:line="248" w:lineRule="auto"/>
        <w:rPr>
          <w:sz w:val="20"/>
          <w:szCs w:val="20"/>
          <w:color w:val="auto"/>
        </w:rPr>
      </w:pPr>
      <w:r>
        <w:rPr>
          <w:rFonts w:ascii="Times New Roman" w:cs="Times New Roman" w:eastAsia="Times New Roman" w:hAnsi="Times New Roman"/>
          <w:sz w:val="20"/>
          <w:szCs w:val="20"/>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the FDA may require Phase 4 testing which involves clinical trials designed to further assess a drug product’s safety and effectiveness after NDA approval. The FDA also may impose one or more Risk Evaluation and Mitigation Strategies (“REMS”) to ensure that the benefits of a product outweigh its risks. A REMS could add training requirements for healthcare professionals, safety communications efforts and limits on channels of distribution, among other things. The sponsor would be required to evaluate and monitor the various REMS activities and adjust them if need be. Whether a REMS would be imposed on any of our products and any resulting financial impact is uncertain at this time.</w:t>
      </w:r>
    </w:p>
    <w:p>
      <w:pPr>
        <w:spacing w:after="0" w:line="213" w:lineRule="exact"/>
        <w:rPr>
          <w:sz w:val="20"/>
          <w:szCs w:val="20"/>
          <w:color w:val="auto"/>
        </w:rPr>
      </w:pPr>
    </w:p>
    <w:p>
      <w:pPr>
        <w:jc w:val="both"/>
        <w:ind w:right="180" w:firstLine="441"/>
        <w:spacing w:after="0" w:line="254" w:lineRule="auto"/>
        <w:rPr>
          <w:sz w:val="20"/>
          <w:szCs w:val="20"/>
          <w:color w:val="auto"/>
        </w:rPr>
      </w:pPr>
      <w:r>
        <w:rPr>
          <w:rFonts w:ascii="Times New Roman" w:cs="Times New Roman" w:eastAsia="Times New Roman" w:hAnsi="Times New Roman"/>
          <w:sz w:val="20"/>
          <w:szCs w:val="20"/>
          <w:color w:val="auto"/>
        </w:rPr>
        <w:t>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w:t>
      </w:r>
    </w:p>
    <w:p>
      <w:pPr>
        <w:spacing w:after="0" w:line="202" w:lineRule="exact"/>
        <w:rPr>
          <w:sz w:val="20"/>
          <w:szCs w:val="20"/>
          <w:color w:val="auto"/>
        </w:rPr>
      </w:pPr>
    </w:p>
    <w:p>
      <w:pPr>
        <w:ind w:right="40" w:firstLine="441"/>
        <w:spacing w:after="0" w:line="271" w:lineRule="auto"/>
        <w:rPr>
          <w:sz w:val="20"/>
          <w:szCs w:val="20"/>
          <w:color w:val="auto"/>
        </w:rPr>
      </w:pPr>
      <w:r>
        <w:rPr>
          <w:rFonts w:ascii="Times New Roman" w:cs="Times New Roman" w:eastAsia="Times New Roman" w:hAnsi="Times New Roman"/>
          <w:sz w:val="19"/>
          <w:szCs w:val="19"/>
          <w:color w:val="auto"/>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which means the FDA may not approve any other application to market the same drug for the same indication for a period</w:t>
      </w:r>
    </w:p>
    <w:p>
      <w:pPr>
        <w:sectPr>
          <w:pgSz w:w="11880" w:h="15480" w:orient="portrait"/>
          <w:cols w:equalWidth="0" w:num="1">
            <w:col w:w="10580"/>
          </w:cols>
          <w:pgMar w:left="640" w:top="619" w:right="660" w:bottom="0" w:gutter="0" w:footer="0" w:header="0"/>
        </w:sect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ectPr>
          <w:pgSz w:w="11880" w:h="15480" w:orient="portrait"/>
          <w:cols w:equalWidth="0" w:num="1">
            <w:col w:w="10580"/>
          </w:cols>
          <w:pgMar w:left="640" w:top="619" w:right="660" w:bottom="0" w:gutter="0" w:footer="0" w:header="0"/>
          <w:type w:val="continuous"/>
        </w:sectPr>
      </w:pPr>
    </w:p>
    <w:bookmarkStart w:id="26" w:name="page27"/>
    <w:bookmarkEnd w:id="26"/>
    <w:p>
      <w:pPr>
        <w:ind w:right="180"/>
        <w:spacing w:after="0" w:line="271" w:lineRule="auto"/>
        <w:rPr>
          <w:sz w:val="20"/>
          <w:szCs w:val="20"/>
          <w:color w:val="auto"/>
        </w:rPr>
      </w:pPr>
      <w:r>
        <w:rPr>
          <w:rFonts w:ascii="Times New Roman" w:cs="Times New Roman" w:eastAsia="Times New Roman" w:hAnsi="Times New Roman"/>
          <w:sz w:val="20"/>
          <w:szCs w:val="20"/>
          <w:color w:val="auto"/>
        </w:rPr>
        <w:t>of seven years, except in limited circumstances, such as a showing of clinical superiority over the product with orphan exclusivity or where the manufacturer is unable to assure sufficient product quantity.</w:t>
      </w:r>
    </w:p>
    <w:p>
      <w:pPr>
        <w:spacing w:after="0" w:line="186" w:lineRule="exact"/>
        <w:rPr>
          <w:sz w:val="20"/>
          <w:szCs w:val="20"/>
          <w:color w:val="auto"/>
        </w:rPr>
      </w:pPr>
    </w:p>
    <w:p>
      <w:pPr>
        <w:ind w:firstLine="441"/>
        <w:spacing w:after="0" w:line="248" w:lineRule="auto"/>
        <w:rPr>
          <w:sz w:val="20"/>
          <w:szCs w:val="20"/>
          <w:color w:val="auto"/>
        </w:rPr>
      </w:pPr>
      <w:r>
        <w:rPr>
          <w:rFonts w:ascii="Times New Roman" w:cs="Times New Roman" w:eastAsia="Times New Roman" w:hAnsi="Times New Roman"/>
          <w:sz w:val="20"/>
          <w:szCs w:val="20"/>
          <w:color w:val="auto"/>
        </w:rPr>
        <w:t>Any drug products for which we receive FDA approvals are subject to continuing regulation by the FDA, including, among other things, record-keeping requirements, reporting of adverse experiences with the product, providing the FDA with updated safety and efficacy information, product sampling and distribution requirements, complying with certain electronic records and signature requirements, and complying with FDA promotion and advertising requirements. The FDA strictly regulates labeling, advertising, promotion and other types of information on drug products that are placed on the market. Drugs may be promoted only for the approved indications and consistent with the provisions of the approved label and promotional claims must be appropriately balanced with important safety information and otherwise be adequately substantiated. Further, manufacturers of drugs must continue to comply with cGMP requirements, which are extensive and require considerable time, resources and ongoing investment to ensure compliance. In addition, changes to the manufacturing process generally require prior FDA approval before being implemented, and other types of changes to the approved product, such as adding new indications and additional labeling claims, are also subject to further FDA review and approval.</w:t>
      </w:r>
    </w:p>
    <w:p>
      <w:pPr>
        <w:spacing w:after="0" w:line="208" w:lineRule="exact"/>
        <w:rPr>
          <w:sz w:val="20"/>
          <w:szCs w:val="20"/>
          <w:color w:val="auto"/>
        </w:rPr>
      </w:pPr>
    </w:p>
    <w:p>
      <w:pPr>
        <w:ind w:right="80" w:firstLine="441"/>
        <w:spacing w:after="0" w:line="249" w:lineRule="auto"/>
        <w:rPr>
          <w:sz w:val="20"/>
          <w:szCs w:val="20"/>
          <w:color w:val="auto"/>
        </w:rPr>
      </w:pPr>
      <w:r>
        <w:rPr>
          <w:rFonts w:ascii="Times New Roman" w:cs="Times New Roman" w:eastAsia="Times New Roman" w:hAnsi="Times New Roman"/>
          <w:sz w:val="20"/>
          <w:szCs w:val="20"/>
          <w:color w:val="auto"/>
        </w:rPr>
        <w:t>Drug product manufacturers and other entities involved in the manufacturing and distribution of approved drugs products are required to register their establishments with the FDA and certain state agencies, and are subject to periodic unannounced inspections by the FDA and certain other agencies for compliance with cGMP and other laws. The cGMP requirements apply to all stages of the manufacturing process, including the production, processing, sterilization, packaging, labeling, storage and shipment of the drug product. Manufacturers must establish validated systems to ensure that products meet specifications and regulatory standards, and test each product batch or lot prior to its release. In addition, manufacturers of commercial PET products such as PYLARIFY, including radiopharmacies, hospitals, and academic medical centers, are required to submit either an NDA or ANDA in order to produce PET drugs for clinical use, or produce the drugs under an IND.</w:t>
      </w:r>
    </w:p>
    <w:p>
      <w:pPr>
        <w:spacing w:after="0" w:line="208" w:lineRule="exact"/>
        <w:rPr>
          <w:sz w:val="20"/>
          <w:szCs w:val="20"/>
          <w:color w:val="auto"/>
        </w:rPr>
      </w:pPr>
    </w:p>
    <w:p>
      <w:pPr>
        <w:ind w:right="60" w:firstLine="441"/>
        <w:spacing w:after="0" w:line="250" w:lineRule="auto"/>
        <w:rPr>
          <w:sz w:val="20"/>
          <w:szCs w:val="20"/>
          <w:color w:val="auto"/>
        </w:rPr>
      </w:pPr>
      <w:r>
        <w:rPr>
          <w:rFonts w:ascii="Times New Roman" w:cs="Times New Roman" w:eastAsia="Times New Roman" w:hAnsi="Times New Roman"/>
          <w:sz w:val="20"/>
          <w:szCs w:val="20"/>
          <w:color w:val="auto"/>
        </w:rPr>
        <w:t>The FDA also regulates the preclinical and clinical testing, design, manufacture, safety, efficacy, labeling, storage, record keeping, sales and distribution, post-market adverse event reporting, import/export and advertising and promotion of any medical devices that we distribute pursuant to the FDCA and FDA’s implementing regulations. The Federal Trade Commission shares jurisdiction with the FDA over the promotion and advertising of certain medical devices. The FDA can also impose restrictions on the sale, distribution or use of medical devices at the time of their clearance or approval, or subsequent to marketing. Currently, medical devices comprise only a small portion of our revenues.</w:t>
      </w:r>
    </w:p>
    <w:p>
      <w:pPr>
        <w:spacing w:after="0" w:line="209" w:lineRule="exact"/>
        <w:rPr>
          <w:sz w:val="20"/>
          <w:szCs w:val="20"/>
          <w:color w:val="auto"/>
        </w:rPr>
      </w:pPr>
    </w:p>
    <w:p>
      <w:pPr>
        <w:ind w:firstLine="441"/>
        <w:spacing w:after="0" w:line="262" w:lineRule="auto"/>
        <w:rPr>
          <w:sz w:val="20"/>
          <w:szCs w:val="20"/>
          <w:color w:val="auto"/>
        </w:rPr>
      </w:pPr>
      <w:r>
        <w:rPr>
          <w:rFonts w:ascii="Times New Roman" w:cs="Times New Roman" w:eastAsia="Times New Roman" w:hAnsi="Times New Roman"/>
          <w:sz w:val="19"/>
          <w:szCs w:val="19"/>
          <w:color w:val="auto"/>
        </w:rPr>
        <w:t>The FDA may withdraw marketing authorization for a product if compliance with regulatory standards is not maintained or if problems occur after the product reaches the market. The exercise of broad regulatory powers by the FDA continues to result in increases in the amount of testing and documentation required for approval or clearance of new drugs and devices, all of which add to the expense of product introduction and the cost of continuing to make an approved drug or device available. Later discovery of previously-unknown problems with a product may result in restrictions on the product or even complete withdrawal of the product from the market. Further, the failure to maintain compliance with regulatory requirements may result in administrative or judicial actions, such as fines, civil monetary penalties, warning letters, holds on clinical trials, product recalls or seizures, product detention or refusal to permit the import or export of products, refusal to approve pending applications or supplements, restrictions on marketing or manufacturing, injunctions, or civil or criminal penalties. In addition, regulations are subject to change as a result of legislative, administrative or judicial action, which may also increase our costs or reduce sales or otherwise adversely impact our products.</w:t>
      </w:r>
    </w:p>
    <w:p>
      <w:pPr>
        <w:spacing w:after="0" w:line="202" w:lineRule="exact"/>
        <w:rPr>
          <w:sz w:val="20"/>
          <w:szCs w:val="20"/>
          <w:color w:val="auto"/>
        </w:rPr>
      </w:pPr>
    </w:p>
    <w:p>
      <w:pPr>
        <w:ind w:right="300" w:firstLine="441"/>
        <w:spacing w:after="0" w:line="254" w:lineRule="auto"/>
        <w:rPr>
          <w:sz w:val="20"/>
          <w:szCs w:val="20"/>
          <w:color w:val="auto"/>
        </w:rPr>
      </w:pPr>
      <w:r>
        <w:rPr>
          <w:rFonts w:ascii="Times New Roman" w:cs="Times New Roman" w:eastAsia="Times New Roman" w:hAnsi="Times New Roman"/>
          <w:sz w:val="20"/>
          <w:szCs w:val="20"/>
          <w:color w:val="auto"/>
        </w:rPr>
        <w:t>Because our operations include the manufacture and distribution of medical radioisotopes and other medical products, we are subject to regulation by the NRC and the departments of health of each state in which we operate and the applicable state boards of pharmacy. In addition, the FDA is also involved in the regulation of cyclotron facilities where PET products are produced in compliance with cGMP requirements and U.S. Pharmacopeia requirements for PET drug compounding.</w:t>
      </w:r>
    </w:p>
    <w:p>
      <w:pPr>
        <w:spacing w:after="0" w:line="202" w:lineRule="exact"/>
        <w:rPr>
          <w:sz w:val="20"/>
          <w:szCs w:val="20"/>
          <w:color w:val="auto"/>
        </w:rPr>
      </w:pPr>
    </w:p>
    <w:p>
      <w:pPr>
        <w:ind w:right="180" w:firstLine="441"/>
        <w:spacing w:after="0" w:line="252" w:lineRule="auto"/>
        <w:rPr>
          <w:sz w:val="20"/>
          <w:szCs w:val="20"/>
          <w:color w:val="auto"/>
        </w:rPr>
      </w:pPr>
      <w:r>
        <w:rPr>
          <w:rFonts w:ascii="Times New Roman" w:cs="Times New Roman" w:eastAsia="Times New Roman" w:hAnsi="Times New Roman"/>
          <w:sz w:val="20"/>
          <w:szCs w:val="20"/>
          <w:color w:val="auto"/>
        </w:rPr>
        <w:t>Drug laws also are in effect in the non-U.S. markets in which we or our partners conduct business. These laws range from comprehensive drug approval requirements to requests for product data or certifications. In addition, inspection of and controls over manufacturing, as well as monitoring of adverse events, are components of most of these regulatory systems. Our business is subject to varying degrees of governmental regulation in the countries in which we or our partners operate, and the general trend is toward increasingly stringent regulation.</w:t>
      </w:r>
    </w:p>
    <w:p>
      <w:pPr>
        <w:sectPr>
          <w:pgSz w:w="11880" w:h="15480" w:orient="portrait"/>
          <w:cols w:equalWidth="0" w:num="1">
            <w:col w:w="10580"/>
          </w:cols>
          <w:pgMar w:left="640" w:top="622"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ectPr>
          <w:pgSz w:w="11880" w:h="15480" w:orient="portrait"/>
          <w:cols w:equalWidth="0" w:num="1">
            <w:col w:w="10580"/>
          </w:cols>
          <w:pgMar w:left="640" w:top="622" w:right="660" w:bottom="0" w:gutter="0" w:footer="0" w:header="0"/>
          <w:type w:val="continuous"/>
        </w:sectPr>
      </w:pPr>
    </w:p>
    <w:bookmarkStart w:id="27" w:name="page28"/>
    <w:bookmarkEnd w:id="27"/>
    <w:p>
      <w:pPr>
        <w:ind w:firstLine="441"/>
        <w:spacing w:after="0" w:line="249" w:lineRule="auto"/>
        <w:rPr>
          <w:sz w:val="20"/>
          <w:szCs w:val="20"/>
          <w:color w:val="auto"/>
        </w:rPr>
      </w:pPr>
      <w:r>
        <w:rPr>
          <w:rFonts w:ascii="Times New Roman" w:cs="Times New Roman" w:eastAsia="Times New Roman" w:hAnsi="Times New Roman"/>
          <w:sz w:val="20"/>
          <w:szCs w:val="20"/>
          <w:color w:val="auto"/>
        </w:rPr>
        <w:t>To assess and facilitate compliance with applicable FDA, NRC and other state, federal and foreign regulatory requirements, we regularly review our quality systems to assess their effectiveness and identify areas for improvement. As part of our quality review, we perform assessments of our suppliers of the raw materials that are incorporated into products and conduct quality management reviews designed to inform management of key issues that may affect the quality of our products. From time to time, we may determine that products we manufactured or marketed do not meet our specifications, published standards, such as those issued by the International Standards Organization, or regulatory requirements. When a quality or regulatory issue is identified, we investigate the issue and take appropriate corrective action, such as withdrawal of the product from the market, correction of the product at the customer location, notice to the customer of revised labeling and other actions.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Hatch-Waxman Act</w:t>
      </w:r>
    </w:p>
    <w:p>
      <w:pPr>
        <w:spacing w:after="0" w:line="131" w:lineRule="exact"/>
        <w:rPr>
          <w:sz w:val="20"/>
          <w:szCs w:val="20"/>
          <w:color w:val="auto"/>
        </w:rPr>
      </w:pPr>
    </w:p>
    <w:p>
      <w:pPr>
        <w:ind w:right="40" w:firstLine="441"/>
        <w:spacing w:after="0" w:line="264" w:lineRule="auto"/>
        <w:rPr>
          <w:sz w:val="20"/>
          <w:szCs w:val="20"/>
          <w:color w:val="auto"/>
        </w:rPr>
      </w:pPr>
      <w:r>
        <w:rPr>
          <w:rFonts w:ascii="Times New Roman" w:cs="Times New Roman" w:eastAsia="Times New Roman" w:hAnsi="Times New Roman"/>
          <w:sz w:val="19"/>
          <w:szCs w:val="19"/>
          <w:color w:val="auto"/>
        </w:rPr>
        <w:t xml:space="preserve">The Hatch-Waxman Act added two pathways for FDA drug approval. First, the Hatch-Waxman Act permits the FDA to approve ANDAs for generic versions of drugs if the ANDA applicant demonstrates, among other things, that its product is bioequivalent to the innovator product and provides relevant chemistry, manufacturing and product data. See </w:t>
      </w:r>
      <w:r>
        <w:rPr>
          <w:rFonts w:ascii="Times New Roman" w:cs="Times New Roman" w:eastAsia="Times New Roman" w:hAnsi="Times New Roman"/>
          <w:sz w:val="19"/>
          <w:szCs w:val="19"/>
          <w:i w:val="1"/>
          <w:iCs w:val="1"/>
          <w:color w:val="auto"/>
        </w:rPr>
        <w:t>“Intellectual Property Matters,”</w:t>
      </w:r>
      <w:r>
        <w:rPr>
          <w:rFonts w:ascii="Times New Roman" w:cs="Times New Roman" w:eastAsia="Times New Roman" w:hAnsi="Times New Roman"/>
          <w:sz w:val="19"/>
          <w:szCs w:val="19"/>
          <w:color w:val="auto"/>
        </w:rPr>
        <w:t xml:space="preserve"> above for more information. Second, the Hatch-Waxman Act created what is known as a Section 505(b)(2) NDA, which requires the same information as a full NDA (known as a Section 505(b)(1) NDA), including full reports of clinical and preclinical studies but allows some of the information from the reports required for marketing approval to come from studies which the applicant does not own or have a legal right of reference. A Section 505(b)(2) NDA permits a manufacturer to obtain marketing approval for a drug without needing to conduct or obtain a right of reference for all of the studies that would be required for a Section 505(b)(1) NDA submission.</w:t>
      </w:r>
    </w:p>
    <w:p>
      <w:pPr>
        <w:spacing w:after="0" w:line="77" w:lineRule="exact"/>
        <w:rPr>
          <w:sz w:val="20"/>
          <w:szCs w:val="20"/>
          <w:color w:val="auto"/>
        </w:rPr>
      </w:pPr>
    </w:p>
    <w:p>
      <w:pPr>
        <w:ind w:right="40" w:firstLine="441"/>
        <w:spacing w:after="0" w:line="260" w:lineRule="auto"/>
        <w:rPr>
          <w:sz w:val="20"/>
          <w:szCs w:val="20"/>
          <w:color w:val="auto"/>
        </w:rPr>
      </w:pPr>
      <w:r>
        <w:rPr>
          <w:rFonts w:ascii="Times New Roman" w:cs="Times New Roman" w:eastAsia="Times New Roman" w:hAnsi="Times New Roman"/>
          <w:sz w:val="19"/>
          <w:szCs w:val="19"/>
          <w:color w:val="auto"/>
        </w:rPr>
        <w:t>Under the Hatch-Waxman Act, the FDA can approve ANDAs for generic versions of drugs before the expiration of an Orange Book-listed patent covering the innovator product if the ANDA applicant demonstrates, among other things, that (i) its generic candidate is the same as the innovator product by establishing bioequivalence and providing relevant chemistry, manufacturing and product data, and (ii) either the marketing of that generic candidate does not infringe the Orange Book-listed patent(s) or the Orange Book-listed patent(s) is invalid. Similarly, the FDA can approve a Section 505(b)(2) NDA from an applicant that relies on some of the information required for marketing approval to come from studies which the applicant does not own or have a legal right of reference. An applicant submitting an application relying on either the ANDA or this Section 505(b)(2) approval pathway must also give Notice to the innovator, which would then enable the innovator to file suit against the applicant within 45 days of receiving the Notice. If the innovator challenges the applicant in court in a timely manner, then FDA approval to commercialize the generic candidate will be stayed (that is, delayed) for up to 30 months while the dispute is resolved in court. The 30-month stay can be shortened if the patent infringement suit is resolved in the applicant’s favor before the 30-month stay expires, and this may involve a successful challenge of the patent’s validity in USPTO proceedings and appeals process. In the event a 505(b)(2) applicant does not rely on studies related to the innovator product, the 30-month stay would not apply, but additional clinical trials may be required by the FDA for approval. We can give no assurance that we would have grounds to file a patent infringement suit, that we would obtain the full 30-month stay, that we would be successful on the merits asserting that an Applicant infringes our Orange Book-listed patent, or that we would be successful defending the validity of our Orange Book-listed patent in court or in a USPTO adversarial proceeding if a third party were to submit an ANDA or Section 505(b)(2) NDA application to the FDA in connection with one of our commercial products.</w:t>
      </w:r>
    </w:p>
    <w:p>
      <w:pPr>
        <w:spacing w:after="0" w:line="92" w:lineRule="exact"/>
        <w:rPr>
          <w:sz w:val="20"/>
          <w:szCs w:val="20"/>
          <w:color w:val="auto"/>
        </w:rPr>
      </w:pPr>
    </w:p>
    <w:p>
      <w:pPr>
        <w:ind w:right="120" w:firstLine="441"/>
        <w:spacing w:after="0" w:line="258" w:lineRule="auto"/>
        <w:rPr>
          <w:sz w:val="20"/>
          <w:szCs w:val="20"/>
          <w:color w:val="auto"/>
        </w:rPr>
      </w:pPr>
      <w:r>
        <w:rPr>
          <w:rFonts w:ascii="Times New Roman" w:cs="Times New Roman" w:eastAsia="Times New Roman" w:hAnsi="Times New Roman"/>
          <w:sz w:val="20"/>
          <w:szCs w:val="20"/>
          <w:color w:val="auto"/>
        </w:rPr>
        <w:t>The Hatch-Waxman Act also provides for: (1) restoration of a portion of a product’s patent term that was lost during clinical development and application review by the FDA; and (2) statutory protection, known as exclusivity, against the FDA’s acceptance or approval of certain competitor applications.</w:t>
      </w:r>
    </w:p>
    <w:p>
      <w:pPr>
        <w:spacing w:after="0" w:line="199" w:lineRule="exact"/>
        <w:rPr>
          <w:sz w:val="20"/>
          <w:szCs w:val="20"/>
          <w:color w:val="auto"/>
        </w:rPr>
      </w:pPr>
    </w:p>
    <w:p>
      <w:pPr>
        <w:ind w:right="60" w:firstLine="441"/>
        <w:spacing w:after="0" w:line="250" w:lineRule="auto"/>
        <w:rPr>
          <w:sz w:val="20"/>
          <w:szCs w:val="20"/>
          <w:color w:val="auto"/>
        </w:rPr>
      </w:pPr>
      <w:r>
        <w:rPr>
          <w:rFonts w:ascii="Times New Roman" w:cs="Times New Roman" w:eastAsia="Times New Roman" w:hAnsi="Times New Roman"/>
          <w:sz w:val="20"/>
          <w:szCs w:val="20"/>
          <w:color w:val="auto"/>
        </w:rPr>
        <w:t>Under U.S. law, patent term extension can compensate for time lost during product development and the regulatory review process by returning up to five years of patent life for a patent that covers a new product or its use. This period is generally one-half the time between the effective date of an IND and the submission date of an NDA, plus the time between the submission date of an NDA and the approval of that application. Patent term extensions, however, are subject to a maximum extension of five years, and the patent term extension cannot extend the remaining term of a patent beyond a total of 14 years. The application for patent term extension is subject to approval by the USPTO in conjunction with the FDA.</w:t>
      </w:r>
    </w:p>
    <w:p>
      <w:pPr>
        <w:spacing w:after="0" w:line="209" w:lineRule="exact"/>
        <w:rPr>
          <w:sz w:val="20"/>
          <w:szCs w:val="20"/>
          <w:color w:val="auto"/>
        </w:rPr>
      </w:pPr>
    </w:p>
    <w:p>
      <w:pPr>
        <w:ind w:right="80" w:firstLine="441"/>
        <w:spacing w:after="0" w:line="249" w:lineRule="auto"/>
        <w:rPr>
          <w:sz w:val="20"/>
          <w:szCs w:val="20"/>
          <w:color w:val="auto"/>
        </w:rPr>
      </w:pPr>
      <w:r>
        <w:rPr>
          <w:rFonts w:ascii="Times New Roman" w:cs="Times New Roman" w:eastAsia="Times New Roman" w:hAnsi="Times New Roman"/>
          <w:sz w:val="20"/>
          <w:szCs w:val="20"/>
          <w:color w:val="auto"/>
        </w:rPr>
        <w:t>The Hatch-Waxman Act also provides for a period of statutory protection for new drugs that receive NDA approval from the FDA. If the FDA approves a Section 505(b)(1) NDA for a new drug that is an NCE, meaning that the FDA has not previously approved any other new drug containing the same active moiety, then the Hatch-Waxman Act prohibits the submission or approval of an ANDA or a Section 505(b)(2) NDA for a period of five years from the date of approval of the NDA, except that the FDA may accept an application for review after four years under certain circumstances, specifically a patent challenge for one or more patents listed by the NDA holder in the Orange Book, submitted in a “Paragraph IV” Certification. Because this four-year date occurs one year before the end of the five-year NCE exclusivity, it is commonly referred to as the “NCE-1” date.</w:t>
      </w:r>
    </w:p>
    <w:p>
      <w:pPr>
        <w:spacing w:after="0" w:line="211" w:lineRule="exact"/>
        <w:rPr>
          <w:sz w:val="20"/>
          <w:szCs w:val="20"/>
          <w:color w:val="auto"/>
        </w:rPr>
      </w:pPr>
    </w:p>
    <w:p>
      <w:pPr>
        <w:ind w:right="400" w:firstLine="441"/>
        <w:spacing w:after="0" w:line="258" w:lineRule="auto"/>
        <w:rPr>
          <w:sz w:val="20"/>
          <w:szCs w:val="20"/>
          <w:color w:val="auto"/>
        </w:rPr>
      </w:pPr>
      <w:r>
        <w:rPr>
          <w:rFonts w:ascii="Times New Roman" w:cs="Times New Roman" w:eastAsia="Times New Roman" w:hAnsi="Times New Roman"/>
          <w:sz w:val="20"/>
          <w:szCs w:val="20"/>
          <w:color w:val="auto"/>
        </w:rPr>
        <w:t>The Hatch-Waxman Act will not prevent the filing or approval of a full NDA, as opposed to an ANDA or Section 505(b)(2) NDA, for any drug, but the competitor would be required to conduct its own clinical trials, and any use of the drug for which marketing approval is sought could not violate another NDA holder’s patent claims.</w:t>
      </w:r>
    </w:p>
    <w:p>
      <w:pPr>
        <w:sectPr>
          <w:pgSz w:w="11880" w:h="15480" w:orient="portrait"/>
          <w:cols w:equalWidth="0" w:num="1">
            <w:col w:w="10580"/>
          </w:cols>
          <w:pgMar w:left="640" w:top="622" w:right="660" w:bottom="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ectPr>
          <w:pgSz w:w="11880" w:h="15480" w:orient="portrait"/>
          <w:cols w:equalWidth="0" w:num="1">
            <w:col w:w="10580"/>
          </w:cols>
          <w:pgMar w:left="640" w:top="622" w:right="660" w:bottom="0" w:gutter="0" w:footer="0" w:header="0"/>
          <w:type w:val="continuous"/>
        </w:sectPr>
      </w:pPr>
    </w:p>
    <w:bookmarkStart w:id="28" w:name="page29"/>
    <w:bookmarkEnd w:id="28"/>
    <w:p>
      <w:pPr>
        <w:ind w:firstLine="441"/>
        <w:spacing w:after="0" w:line="249" w:lineRule="auto"/>
        <w:rPr>
          <w:sz w:val="20"/>
          <w:szCs w:val="20"/>
          <w:color w:val="auto"/>
        </w:rPr>
      </w:pPr>
      <w:r>
        <w:rPr>
          <w:rFonts w:ascii="Times New Roman" w:cs="Times New Roman" w:eastAsia="Times New Roman" w:hAnsi="Times New Roman"/>
          <w:sz w:val="20"/>
          <w:szCs w:val="20"/>
          <w:color w:val="auto"/>
        </w:rPr>
        <w:t>The Hatch-Waxman Act provides for a three-year period of exclusivity for an NDA for a new drug containing an active moiety that was previously approved by the FDA, but also includes new clinical data (other than bioavailability and bioequivalence studies) to support an innovation over the previously-approved drug and those studies were conducted or sponsored by the applicant and were essential to approval of the application. This three-year exclusivity period does not prohibit the FDA from accepting an application from a third party for a drug with that same innovation, but it does prohibit the FDA from approving that application for the three-year period. The three-year exclusivity does not prohibit the FDA, with limited exceptions, from approving generic drugs containing the same active ingredient but without the new innovation.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Reimbursement</w:t>
      </w:r>
    </w:p>
    <w:p>
      <w:pPr>
        <w:spacing w:after="0" w:line="131" w:lineRule="exact"/>
        <w:rPr>
          <w:sz w:val="20"/>
          <w:szCs w:val="20"/>
          <w:color w:val="auto"/>
        </w:rPr>
      </w:pPr>
    </w:p>
    <w:p>
      <w:pPr>
        <w:ind w:right="60" w:firstLine="441"/>
        <w:spacing w:after="0" w:line="247" w:lineRule="auto"/>
        <w:rPr>
          <w:sz w:val="20"/>
          <w:szCs w:val="20"/>
          <w:color w:val="auto"/>
        </w:rPr>
      </w:pPr>
      <w:r>
        <w:rPr>
          <w:rFonts w:ascii="Times New Roman" w:cs="Times New Roman" w:eastAsia="Times New Roman" w:hAnsi="Times New Roman"/>
          <w:sz w:val="20"/>
          <w:szCs w:val="20"/>
          <w:color w:val="auto"/>
        </w:rPr>
        <w:t>The successful commercialization of our products is also subject to the availability of appropriate third-party coding, coverage, and payment for our customers. Third-party payors in the U.S. include private payors, including managed care providers, and State and Federal healthcare programs, such as Medicare and Medicaid. The process for determining whether a payor will provide coverage for a product may be separate from the process for setting the price or reimbursement rate that the payor will pay for the product. Coverage of a product does not ensure there will be an appropriate reimbursement amount for such product and the process to ensure appropriate reimbursement is outside our control. For private payors, coverage and reimbursement of our products vary from private payor to private payor. Many private payors, such as managed care providers, manage access to products, and may use medical policies (which may include specific coverage requirements such as prior authorization, re-authorization and achieving performance metrics under value-based contracts) to control utilization. Exclusion from or restriction in coverage can reduce product use. For government payors, we participate, as required, in the Medicaid drug rebate program, the Federal Supply Schedule and the Public Health Service Act 340B program, which each require discounts for participation and may be subject to change. For Medicare, reimbursement to customers for our products is generally established through the rulemaking process or in discussion with Medicare Administrative Contractors. We have ongoing conversations with third-party payors to advocate for appropriate coding, coverage and payment for our portfolio of products.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Medicare Outpatient TPT Status</w:t>
      </w:r>
    </w:p>
    <w:p>
      <w:pPr>
        <w:spacing w:after="0" w:line="131" w:lineRule="exact"/>
        <w:rPr>
          <w:sz w:val="20"/>
          <w:szCs w:val="20"/>
          <w:color w:val="auto"/>
        </w:rPr>
      </w:pPr>
    </w:p>
    <w:p>
      <w:pPr>
        <w:ind w:right="20" w:firstLine="441"/>
        <w:spacing w:after="0" w:line="247" w:lineRule="auto"/>
        <w:rPr>
          <w:sz w:val="20"/>
          <w:szCs w:val="20"/>
          <w:color w:val="auto"/>
        </w:rPr>
      </w:pPr>
      <w:r>
        <w:rPr>
          <w:rFonts w:ascii="Times New Roman" w:cs="Times New Roman" w:eastAsia="Times New Roman" w:hAnsi="Times New Roman"/>
          <w:sz w:val="20"/>
          <w:szCs w:val="20"/>
          <w:color w:val="auto"/>
        </w:rPr>
        <w:t>Part B of the Medicare program generally reimburses medical services and supplies, including drugs, provided to beneficiaries by physicians and other qualified healthcare professionals. Generally, drugs furnished “incident to” a physician’s service in the hospital outpatient setting of care are reimbursed at ASP plus a certain additional percent, unless the product is treated as a “supply” in the performance of the procedure and “packaged” and paid as part of bundled payment for the procedure. New drugs, however, may apply for TPT Status in which case they are provided a separate payment at ASP plus a certain additional percent for two to three years, regardless of whether they would ordinarily be packaged. TPT Status applies to approximately 20% of patients with traditional Medicare FFS insurance coverage who are treated in the hospital outpatient setting. Since 2008, under the hospital outpatient program, diagnostic radiopharmaceuticals have been considered supplies and their payment bundled into the payment for the procedure after expiration of TPT Status. In November 2024, CMS released the CMS 2025 OPPS Rule to pay separately for diagnostic radiopharmaceuticals, such as PYLARIFY, with a per day cost greater than $630, based on their MUC. MUC differs from ASP as it is an indirect measure of a product’s cost based on hospital-reported claims data. We believe MUC is a less accurate reflection of actual purchasing costs of the hospital.</w:t>
      </w:r>
    </w:p>
    <w:p>
      <w:pPr>
        <w:spacing w:after="0" w:line="217" w:lineRule="exact"/>
        <w:rPr>
          <w:sz w:val="20"/>
          <w:szCs w:val="20"/>
          <w:color w:val="auto"/>
        </w:rPr>
      </w:pPr>
    </w:p>
    <w:p>
      <w:pPr>
        <w:ind w:right="40" w:firstLine="441"/>
        <w:spacing w:after="0" w:line="247" w:lineRule="auto"/>
        <w:rPr>
          <w:sz w:val="20"/>
          <w:szCs w:val="20"/>
          <w:color w:val="auto"/>
        </w:rPr>
      </w:pPr>
      <w:r>
        <w:rPr>
          <w:rFonts w:ascii="Times New Roman" w:cs="Times New Roman" w:eastAsia="Times New Roman" w:hAnsi="Times New Roman"/>
          <w:sz w:val="20"/>
          <w:szCs w:val="20"/>
          <w:color w:val="auto"/>
        </w:rPr>
        <w:t>PYLARIFY’s TPT Status was effective from January 1, 2022 through December 31, 2024, providing separate payment to customers using PYLARIFY in the hospital outpatient setting during that period. Effective January 1, 2025, under the CMS 2025 OPPS Rule, CMS is maintaining separate payment for PYLARIFY for the approximately 20% of patients with traditional Medicare FFS insurance coverage who are treated in the hospital outpatient setting. The reimbursement rate for PYLARIFY was initially based on the wholesale acquisition cost plus three percent until ASP could be established. In 2023, CMS established an ASP for PYLARIFY and reimbursed at a rate equal to ASP plus an add-on percentage that varied throughout the year. The calendar year 2025 payment rate for PYLARIFY is based on MUC, which will lead to a decrease in payment in 2025 relative to previous ASP-based payment methodologies. PYLARIFY’s MUC payment rate is based on charges reported by hospitals in claims data that CMS uses to set payment rates. Hospitals report their charges related to the goods and services provided and CMS applies a specific cost-to-charge ratio to estimate the true costs. Issues arise because hospitals do not apply uniform mark-ups to all items, and higher cost items and services, such as PYLARIFY, tend to have smaller mark-ups, which often leads to an underestimation of a product’s true cost. Additionally, product billing errors may lead to an underestimation of total cost. We believe these factors cause a misalignment between ASP and MUC, and therefore, a decrease in payment. In rulemaking, CMS has indicated a willingness to move to ASP-based payment for diagnostic radiopharmaceuticals in future years, and we plan to continue to work with CMS on the potential adoption of payment based on ASP in the future.</w:t>
      </w:r>
    </w:p>
    <w:p>
      <w:pPr>
        <w:sectPr>
          <w:pgSz w:w="11880" w:h="15480" w:orient="portrait"/>
          <w:cols w:equalWidth="0" w:num="1">
            <w:col w:w="10580"/>
          </w:cols>
          <w:pgMar w:left="640" w:top="622"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ectPr>
          <w:pgSz w:w="11880" w:h="15480" w:orient="portrait"/>
          <w:cols w:equalWidth="0" w:num="1">
            <w:col w:w="10580"/>
          </w:cols>
          <w:pgMar w:left="640" w:top="622" w:right="660" w:bottom="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20"/>
          <w:szCs w:val="20"/>
          <w:b w:val="1"/>
          <w:bCs w:val="1"/>
          <w:i w:val="1"/>
          <w:iCs w:val="1"/>
          <w:color w:val="auto"/>
        </w:rPr>
        <w:t>Healthcare Reform and Other Laws Affecting Payment</w:t>
      </w:r>
    </w:p>
    <w:p>
      <w:pPr>
        <w:spacing w:after="0" w:line="131" w:lineRule="exact"/>
        <w:rPr>
          <w:sz w:val="20"/>
          <w:szCs w:val="20"/>
          <w:color w:val="auto"/>
        </w:rPr>
      </w:pPr>
    </w:p>
    <w:p>
      <w:pPr>
        <w:ind w:firstLine="441"/>
        <w:spacing w:after="0" w:line="250" w:lineRule="auto"/>
        <w:rPr>
          <w:sz w:val="20"/>
          <w:szCs w:val="20"/>
          <w:color w:val="auto"/>
        </w:rPr>
      </w:pPr>
      <w:r>
        <w:rPr>
          <w:rFonts w:ascii="Times New Roman" w:cs="Times New Roman" w:eastAsia="Times New Roman" w:hAnsi="Times New Roman"/>
          <w:sz w:val="20"/>
          <w:szCs w:val="20"/>
          <w:color w:val="auto"/>
        </w:rPr>
        <w:t>We operate in a highly regulated industry. The U.S. and state governments continue to propose and pass legislation that may affect the availability and cost of healthcare. For example, the Patient Protection and Affordable Care Act, as amended by the Health Care and Education Reconciliation Act (collectively, the “Healthcare Reform Act”), substantially changed the way in which healthcare is financed by both governmental and private insurers and has a significant impact on the pharmaceutical industry. The Healthcare Reform Act contains a number of provisions that affect coverage, reimbursement and/or delivery of drug products and the medical imaging procedures in which our drug products are used.</w:t>
      </w:r>
    </w:p>
    <w:p>
      <w:pPr>
        <w:spacing w:after="0" w:line="209" w:lineRule="exact"/>
        <w:rPr>
          <w:sz w:val="20"/>
          <w:szCs w:val="20"/>
          <w:color w:val="auto"/>
        </w:rPr>
      </w:pPr>
    </w:p>
    <w:p>
      <w:pPr>
        <w:ind w:firstLine="441"/>
        <w:spacing w:after="0" w:line="247" w:lineRule="auto"/>
        <w:rPr>
          <w:sz w:val="20"/>
          <w:szCs w:val="20"/>
          <w:color w:val="auto"/>
        </w:rPr>
      </w:pPr>
      <w:r>
        <w:rPr>
          <w:rFonts w:ascii="Times New Roman" w:cs="Times New Roman" w:eastAsia="Times New Roman" w:hAnsi="Times New Roman"/>
          <w:sz w:val="20"/>
          <w:szCs w:val="20"/>
          <w:color w:val="auto"/>
        </w:rPr>
        <w:t>The Healthcare Reform Act has been subject to political and judicial challenges, but it has generally withstood such challenges, and the main provisions of the Healthcare Reform Act remain in effect. More recently, Congress enacted the Inflation Reduction Act of 2022 (the “IRA”) which significantly impacts the pharmaceutical industry. Among other provisions, the IRA authorizes Medicare to negotiate pricing for the highest Medicare-spend drugs, as determined by their Medicare Part B and D spend, that have been on the market for an extended period of time without market competition. Although the IRA provides for a limited number of categorical exclusions from Medicare negotiation, radiopharmaceuticals are not among those categorical exclusions. CMS will implement the first year of Medicare negotiation, which will be restricted to Part D drugs, starting in calendar years 2026 and 2027. In addition, the statute provided for redesign of the Medicare Part D benefit. We are currently focused on drugs that are covered under Part B, therefore we do not expect the Part D benefit redesign to have an impact on our portfolio. Part B drugs will be considered for Medicare negotiation beginning in calendar year 2028, and CMS will begin the process of identifying Part B drugs for negotiation as early as calendar year 2026. We are monitoring the implementation of the IRA to determine what impact, if any, this would have on our current products and product candidates in development.</w:t>
      </w:r>
    </w:p>
    <w:p>
      <w:pPr>
        <w:spacing w:after="0" w:line="217" w:lineRule="exact"/>
        <w:rPr>
          <w:sz w:val="20"/>
          <w:szCs w:val="20"/>
          <w:color w:val="auto"/>
        </w:rPr>
      </w:pPr>
    </w:p>
    <w:p>
      <w:pPr>
        <w:ind w:right="20" w:firstLine="441"/>
        <w:spacing w:after="0" w:line="250" w:lineRule="auto"/>
        <w:rPr>
          <w:sz w:val="20"/>
          <w:szCs w:val="20"/>
          <w:color w:val="auto"/>
        </w:rPr>
      </w:pPr>
      <w:r>
        <w:rPr>
          <w:rFonts w:ascii="Times New Roman" w:cs="Times New Roman" w:eastAsia="Times New Roman" w:hAnsi="Times New Roman"/>
          <w:sz w:val="20"/>
          <w:szCs w:val="20"/>
          <w:color w:val="auto"/>
        </w:rPr>
        <w:t>The IRA also introduces rebate obligations for manufacturers of Part B and D drugs that take price increases which exceed the rate of inflation, similar to the longstanding Medicaid inflation rebates. Under these new Medicare inflation rebates, each Part B and D single-source drug/biological and biosimilar will have an “inflation adjusted” payment amount calculated by CMS. If the manufacturer’s price increases for the relevant product exceeds the inflation adjusted payment amount, as trended forward by the rate of inflation, the manufacturer will be required to reimburse Medicare the difference between what Medicare paid for the product and what it would have paid based on the inflation adjusted payment amount.</w:t>
      </w:r>
    </w:p>
    <w:p>
      <w:pPr>
        <w:spacing w:after="0" w:line="209" w:lineRule="exact"/>
        <w:rPr>
          <w:sz w:val="20"/>
          <w:szCs w:val="20"/>
          <w:color w:val="auto"/>
        </w:rPr>
      </w:pPr>
    </w:p>
    <w:p>
      <w:pPr>
        <w:ind w:right="340" w:firstLine="441"/>
        <w:spacing w:after="0" w:line="271" w:lineRule="auto"/>
        <w:rPr>
          <w:sz w:val="20"/>
          <w:szCs w:val="20"/>
          <w:color w:val="auto"/>
        </w:rPr>
      </w:pPr>
      <w:r>
        <w:rPr>
          <w:rFonts w:ascii="Times New Roman" w:cs="Times New Roman" w:eastAsia="Times New Roman" w:hAnsi="Times New Roman"/>
          <w:sz w:val="20"/>
          <w:szCs w:val="20"/>
          <w:color w:val="auto"/>
        </w:rPr>
        <w:t>Recent state legislative efforts seek to address drug costs and generally have focused on increasing transparency around drug costs or limiting drug prices. Some of those efforts have been subject to legal challenge.</w:t>
      </w:r>
    </w:p>
    <w:p>
      <w:pPr>
        <w:spacing w:after="0" w:line="186" w:lineRule="exact"/>
        <w:rPr>
          <w:sz w:val="20"/>
          <w:szCs w:val="20"/>
          <w:color w:val="auto"/>
        </w:rPr>
      </w:pPr>
    </w:p>
    <w:p>
      <w:pPr>
        <w:ind w:right="60" w:firstLine="441"/>
        <w:spacing w:after="0" w:line="265" w:lineRule="auto"/>
        <w:rPr>
          <w:sz w:val="20"/>
          <w:szCs w:val="20"/>
          <w:color w:val="auto"/>
        </w:rPr>
      </w:pPr>
      <w:r>
        <w:rPr>
          <w:rFonts w:ascii="Times New Roman" w:cs="Times New Roman" w:eastAsia="Times New Roman" w:hAnsi="Times New Roman"/>
          <w:sz w:val="19"/>
          <w:szCs w:val="19"/>
          <w:color w:val="auto"/>
        </w:rPr>
        <w:t>General legislative cost control measures may also affect reimbursement for our products (or services provided by healthcare providers using our products). The Budget Control Act, as amended by the Bipartisan Budget Act of 2019, resulted in the imposition of 2% reductions in Medicare (but not Medicaid) payments to providers beginning in 2013 and will remain in effect through fiscal year 2030 unless additional Congressional action is taken. The imposition of the 2% payment adjustment had been suspended through March 31, 2022 and went into effect as of April 1, 2022. Any significant spending reductions affecting Medicare, Medicaid or other publicly funded or subsidized health programs that may be implemented and/or any significant taxes or fees that may be imposed on us could have an adverse impact on our business results of operations, financial condition and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Healthcare Fraud and Abuse Laws</w:t>
      </w:r>
    </w:p>
    <w:p>
      <w:pPr>
        <w:spacing w:after="0" w:line="131" w:lineRule="exact"/>
        <w:rPr>
          <w:sz w:val="20"/>
          <w:szCs w:val="20"/>
          <w:color w:val="auto"/>
        </w:rPr>
      </w:pPr>
    </w:p>
    <w:p>
      <w:pPr>
        <w:ind w:firstLine="441"/>
        <w:spacing w:after="0" w:line="249" w:lineRule="auto"/>
        <w:rPr>
          <w:sz w:val="20"/>
          <w:szCs w:val="20"/>
          <w:color w:val="auto"/>
        </w:rPr>
      </w:pPr>
      <w:r>
        <w:rPr>
          <w:rFonts w:ascii="Times New Roman" w:cs="Times New Roman" w:eastAsia="Times New Roman" w:hAnsi="Times New Roman"/>
          <w:sz w:val="20"/>
          <w:szCs w:val="20"/>
          <w:color w:val="auto"/>
        </w:rPr>
        <w:t>We are subject to various federal, state and local laws targeting fraud and abuse in the healthcare industry, including anti-kickback and false claims laws. Violations of fraud and abuse laws may be punishable by criminal or civil sanctions, including fines and civil monetary penalties, and/or exclusion from federal health care programs (including Medicare and Medicaid). Federal and state authorities are paying increased attention to enforcement of these laws within the pharmaceutical industry, and private individuals have been active in alleging violations of the laws and bringing suits on behalf of the government under the federal False Claims Act (“FCA”). Violations of international fraud and abuse laws could result in similar penalties, including exclusion from participation in health programs outside the U.S. If we were subject to allegations concerning, or were convicted of violating, these laws, our business could be harmed.</w:t>
      </w:r>
    </w:p>
    <w:p>
      <w:pPr>
        <w:sectPr>
          <w:pgSz w:w="11880" w:h="15480" w:orient="portrait"/>
          <w:cols w:equalWidth="0" w:num="1">
            <w:col w:w="10580"/>
          </w:cols>
          <w:pgMar w:left="640" w:top="614"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24</w:t>
      </w:r>
    </w:p>
    <w:p>
      <w:pPr>
        <w:sectPr>
          <w:pgSz w:w="11880" w:h="15480" w:orient="portrait"/>
          <w:cols w:equalWidth="0" w:num="1">
            <w:col w:w="10580"/>
          </w:cols>
          <w:pgMar w:left="640" w:top="614" w:right="660" w:bottom="0" w:gutter="0" w:footer="0" w:header="0"/>
          <w:type w:val="continuous"/>
        </w:sectPr>
      </w:pPr>
    </w:p>
    <w:bookmarkStart w:id="30" w:name="page31"/>
    <w:bookmarkEnd w:id="30"/>
    <w:p>
      <w:pPr>
        <w:ind w:right="20" w:firstLine="441"/>
        <w:spacing w:after="0" w:line="247" w:lineRule="auto"/>
        <w:rPr>
          <w:sz w:val="20"/>
          <w:szCs w:val="20"/>
          <w:color w:val="auto"/>
        </w:rPr>
      </w:pPr>
      <w:r>
        <w:rPr>
          <w:rFonts w:ascii="Times New Roman" w:cs="Times New Roman" w:eastAsia="Times New Roman" w:hAnsi="Times New Roman"/>
          <w:sz w:val="20"/>
          <w:szCs w:val="20"/>
          <w:color w:val="auto"/>
        </w:rPr>
        <w:t>The federal Anti-Kickback Statute generally prohibits, among other things, a pharmaceutical manufacturer from directly or indirectly soliciting, offering, receiving, or paying any remuneration in cash or in kind where one purpose is either to induce the referral of an individual for, or the purchase or prescription of a particular drug that is payable by a federal health care program, including Medicare or Medicaid. The Healthcare Reform Act clarifies the intent requirements of the federal Anti-Kickback Statute, providing that a person or entity does not need to have actual knowledge of the statute or a specific intent to violate the statute. Violations of the federal Anti-Kickback Statute can result in exclusion from Medicare, Medicaid or other governmental programs, as well as civil and criminal fines and penalties for each violation and three times the amount of the unlawful remuneration. In addition, the Healthcare Reform Act revised the FCA to provide that a claim arising from a violation of the Federal Anti-Kickback Statute constitutes a false or fraudulent claim for purposes of the FCA. The majority of states also have anti-kickback, false claims, and similar fraud and abuse laws and although the specific provisions of these laws vary, their scope is generally broad, and there may not be regulations, guidance or court decisions that apply the laws to particular industry practices. There is, therefore, a possibility that our practices might be challenged under the anti-kickback statutes or similar laws.</w:t>
      </w:r>
    </w:p>
    <w:p>
      <w:pPr>
        <w:spacing w:after="0" w:line="217" w:lineRule="exact"/>
        <w:rPr>
          <w:sz w:val="20"/>
          <w:szCs w:val="20"/>
          <w:color w:val="auto"/>
        </w:rPr>
      </w:pPr>
    </w:p>
    <w:p>
      <w:pPr>
        <w:ind w:right="100" w:firstLine="441"/>
        <w:spacing w:after="0" w:line="262" w:lineRule="auto"/>
        <w:rPr>
          <w:sz w:val="20"/>
          <w:szCs w:val="20"/>
          <w:color w:val="auto"/>
        </w:rPr>
      </w:pPr>
      <w:r>
        <w:rPr>
          <w:rFonts w:ascii="Times New Roman" w:cs="Times New Roman" w:eastAsia="Times New Roman" w:hAnsi="Times New Roman"/>
          <w:sz w:val="19"/>
          <w:szCs w:val="19"/>
          <w:color w:val="auto"/>
        </w:rPr>
        <w:t>Federal and state false claims laws generally prohibit anyone from knowingly and willfully, among other activities, presenting, or causing to be presented for payment to third party payors (including Medicare and Medicaid) claims for drugs or services that are false or fraudulent (which may include claims for services not provided as claimed or claims for medically unnecessary services). As discussed, a claim arising from a violation of the federal Anti-Kickback Statute constitutes a false or fraudulent claim for purposes of the FCA. False or fraudulent claims for purposes of the FCA carry fines and civil penalties for violations for each false claim, plus up to three times the amount of damages sustained by the federal government and, most critically, may provide the basis for exclusion from federally funded healthcare programs. There is also a criminal FCA statute by which individuals or entities that submit false claims can face criminal penalties. In addition, under the federal Civil Monetary Penalty Law, the Department of Health and Human Services Office of Inspector General has the authority to exclude from participation in federal health care programs or to impose civil penalties against any person who, among other things, knowingly presents, or causes to be presented, certain false or otherwise improper claims. Our activities relating to the sale and marketing of our products may be subject to scrutiny under these laws.</w:t>
      </w:r>
    </w:p>
    <w:p>
      <w:pPr>
        <w:spacing w:after="0" w:line="199" w:lineRule="exact"/>
        <w:rPr>
          <w:sz w:val="20"/>
          <w:szCs w:val="20"/>
          <w:color w:val="auto"/>
        </w:rPr>
      </w:pPr>
    </w:p>
    <w:p>
      <w:pPr>
        <w:ind w:firstLine="441"/>
        <w:spacing w:after="0" w:line="247" w:lineRule="auto"/>
        <w:rPr>
          <w:sz w:val="20"/>
          <w:szCs w:val="20"/>
          <w:color w:val="auto"/>
        </w:rPr>
      </w:pPr>
      <w:r>
        <w:rPr>
          <w:rFonts w:ascii="Times New Roman" w:cs="Times New Roman" w:eastAsia="Times New Roman" w:hAnsi="Times New Roman"/>
          <w:sz w:val="20"/>
          <w:szCs w:val="20"/>
          <w:color w:val="auto"/>
        </w:rPr>
        <w:t>Laws and regulations have also been enacted by the U.S. federal government and various states, as well as by countries outside of the U.S., to regulate the sales and marketing practices of certain entities including pharmaceutical and device manufacturers. The laws and regulations generally limit financial interactions between manufacturers and health care providers; require pharmaceutical companies to comply with the pharmaceutical industry’s voluntary compliance guidelines and the relevant compliance guidance promulgated by the U.S. federal government; and/or require disclosure by pharmaceutical and device manufacturers to the government and/or public of financial interactions or other financial relationships with health care providers and other entities such as teaching hospitals (so-called “sunshine laws”). The Healthcare Reform Act requires manufacturers to submit information to the FDA on the identity and quantity of drug samples requested and distributed by a manufacturer during each year. Many of these laws and regulations contain ambiguous requirements or require administrative guidance for implementation. The laws and regulations include requirements that can be unclear in their scope, nature, and required implementation by regulated entities. If we fail to comply with such laws and regulations, in the U.S. or in countries outside the U.S., we could be subject to penalties and administrative actions under such laws and regulations.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Data Privacy, Security and Breach Notification</w:t>
      </w:r>
    </w:p>
    <w:p>
      <w:pPr>
        <w:spacing w:after="0" w:line="131" w:lineRule="exact"/>
        <w:rPr>
          <w:sz w:val="20"/>
          <w:szCs w:val="20"/>
          <w:color w:val="auto"/>
        </w:rPr>
      </w:pPr>
    </w:p>
    <w:p>
      <w:pPr>
        <w:ind w:firstLine="441"/>
        <w:spacing w:after="0" w:line="260" w:lineRule="auto"/>
        <w:rPr>
          <w:sz w:val="20"/>
          <w:szCs w:val="20"/>
          <w:color w:val="auto"/>
        </w:rPr>
      </w:pPr>
      <w:r>
        <w:rPr>
          <w:rFonts w:ascii="Times New Roman" w:cs="Times New Roman" w:eastAsia="Times New Roman" w:hAnsi="Times New Roman"/>
          <w:sz w:val="19"/>
          <w:szCs w:val="19"/>
          <w:color w:val="auto"/>
        </w:rPr>
        <w:t>We are subject to data protection laws and regulations that set forth data privacy, security, and breach notification requirements. The legislative and regulatory landscape for data protection continues to evolve, and in recent years there has been an increasing focus on data protection and other data privacy and security issues. Data protection laws and regulations can be complex and are becoming more stringent over time. In the United States,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In addition to establishing restrictions on how personal information may be collected, used, and disclosed, these laws and regulations provide various rights to data subjects with respect to their personal information and establish requirements for how personal information must be secured. In addition, every state in the United States now has a data breach notification law that requires regulated entities to report certain security breaches to affected data subjects, regulators, or other entities. Failure to comply with data protection laws and regulations could result in government enforcement actions (which could include civil or criminal penalties and requirements to take corrective actions), private litigation (which may result in the award of damages against us), and/or adverse publicity, and could negatively affect our operating results, business, and reputation. In addition, we may obtain health information from third parties (e.g., healthcare providers who prescribe our products) that are themselves subject to privacy, security, and breach notification requirements under the Health Insurance Portability and Accountability Act of 1996, as amended by the Health Information Technology for Economic and Clinical Health Act (collectively, “HIPAA”). While we believe that we are neither a “covered entity” nor “business associate” subject directly to regulation under HIPAA, HIPAA’s criminal provisions can apply to entities other than “covered entities” or “business associates” in certain circumstances. Accordingly, we could be subject to criminal penalties if we knowingly obtain or disclose individually identifiable health information from a HIPAA-covered entity in a manner that is not authorized or permitted.</w:t>
      </w:r>
    </w:p>
    <w:p>
      <w:pPr>
        <w:sectPr>
          <w:pgSz w:w="11880" w:h="15480" w:orient="portrait"/>
          <w:cols w:equalWidth="0" w:num="1">
            <w:col w:w="10580"/>
          </w:cols>
          <w:pgMar w:left="640" w:top="622" w:right="660" w:bottom="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ectPr>
          <w:pgSz w:w="11880" w:h="15480" w:orient="portrait"/>
          <w:cols w:equalWidth="0" w:num="1">
            <w:col w:w="10580"/>
          </w:cols>
          <w:pgMar w:left="640" w:top="622" w:right="660" w:bottom="0" w:gutter="0" w:footer="0" w:header="0"/>
          <w:type w:val="continuous"/>
        </w:sectPr>
      </w:pPr>
    </w:p>
    <w:bookmarkStart w:id="31" w:name="page32"/>
    <w:bookmarkEnd w:id="31"/>
    <w:p>
      <w:pPr>
        <w:ind w:right="20" w:firstLine="441"/>
        <w:spacing w:after="0" w:line="248" w:lineRule="auto"/>
        <w:rPr>
          <w:sz w:val="20"/>
          <w:szCs w:val="20"/>
          <w:color w:val="auto"/>
        </w:rPr>
      </w:pPr>
      <w:r>
        <w:rPr>
          <w:rFonts w:ascii="Times New Roman" w:cs="Times New Roman" w:eastAsia="Times New Roman" w:hAnsi="Times New Roman"/>
          <w:sz w:val="20"/>
          <w:szCs w:val="20"/>
          <w:color w:val="auto"/>
        </w:rPr>
        <w:t>In addition, a growing number of jurisdictions outside of the United States have enacted robust data protection laws. Certain of these laws have extraterritorial application. For example, the processing of personal data in the European Union is governed by the provisions of the General Data Protection Regulation, or GDPR, which came into effect on May 25, 2018. The GDPR applies to an entity established in the European Union (“EU”) and extraterritorially to an entity outside of the EU that offers goods or services to, or monitors the behavior of, individuals located in the EU. Certain “special categories” of personal data, including data concerning health, are subject to enhanced protections under the GDPR. This regulation imposes several requirements on the controllers and processors of personal data, including the obligation to comply with various rights that individuals have with respect to their personal data and restrictions on the processing of personal data, and to provide notice of data processing obligations to the competent national data protection authorities. The GDPR also imposes strict rules on the transfer of personal data out of the European Union to the United States. Failure to comply with the requirements of the GDPR and the related national data protection laws of the European Union Member States may result in significant fines and other administrative penalties.</w:t>
      </w:r>
    </w:p>
    <w:p>
      <w:pPr>
        <w:spacing w:after="0" w:line="208" w:lineRule="exact"/>
        <w:rPr>
          <w:sz w:val="20"/>
          <w:szCs w:val="20"/>
          <w:color w:val="auto"/>
        </w:rPr>
      </w:pPr>
    </w:p>
    <w:p>
      <w:pPr>
        <w:ind w:right="80" w:firstLine="441"/>
        <w:spacing w:after="0" w:line="247" w:lineRule="auto"/>
        <w:rPr>
          <w:sz w:val="20"/>
          <w:szCs w:val="20"/>
          <w:color w:val="auto"/>
        </w:rPr>
      </w:pPr>
      <w:r>
        <w:rPr>
          <w:rFonts w:ascii="Times New Roman" w:cs="Times New Roman" w:eastAsia="Times New Roman" w:hAnsi="Times New Roman"/>
          <w:sz w:val="20"/>
          <w:szCs w:val="20"/>
          <w:color w:val="auto"/>
        </w:rPr>
        <w:t>In the United States, several state legislatures are considering enacting or have enacted new data privacy legislation. One example of such legislation that has already been passed is the California Consumer Privacy Act (“CCPA”), which took effect on January 1, 2020 and imposes many requirements on certain for-profit businesses that process the personal information of California residents. Many of the CCPA’s requirements are similar to those found in the GDPR, including requiring businesses to provide notice to data subjects regarding the information collected about them and how such information is used and shared, and providing data subjects various rights, such as the right to request access to their personal information and, in certain cases, request the erasure of such personal information. The CCPA also affords California residents the right to opt-out of the “sale” of their personal information. In addition, the CCPA requires regulated businesses to implement reasonable security procedures and practices to protect personal information. The CCPA contains significant penalties for companies that violate its requirements. It also provides California residents a private right of action, including the ability to seek statutory damages, in the event of a breach involving their personal information resulting from a business’s failure to implement and maintain reasonable security procedures and practices. Compliance with the CCPA, and similar laws implemented in other states, is a rigorous and time-intensive process that may increase the cost of doing business or require companies to change their business practices to ensure full compliance.</w:t>
      </w:r>
    </w:p>
    <w:p>
      <w:pPr>
        <w:spacing w:after="0" w:line="216" w:lineRule="exact"/>
        <w:rPr>
          <w:sz w:val="20"/>
          <w:szCs w:val="20"/>
          <w:color w:val="auto"/>
        </w:rPr>
      </w:pPr>
    </w:p>
    <w:p>
      <w:pPr>
        <w:ind w:right="60" w:firstLine="441"/>
        <w:spacing w:after="0" w:line="252" w:lineRule="auto"/>
        <w:rPr>
          <w:sz w:val="20"/>
          <w:szCs w:val="20"/>
          <w:color w:val="auto"/>
        </w:rPr>
      </w:pPr>
      <w:r>
        <w:rPr>
          <w:rFonts w:ascii="Times New Roman" w:cs="Times New Roman" w:eastAsia="Times New Roman" w:hAnsi="Times New Roman"/>
          <w:sz w:val="20"/>
          <w:szCs w:val="20"/>
          <w:color w:val="auto"/>
        </w:rPr>
        <w:t>On November 3, 2020, California passed the California Privacy Rights Act (“CPRA”) through a ballot initiative. The CPRA amends the CCPA and expands its protections for personal information, including by establishing a new California Privacy Protection Agency to enforce the CPRA and by providing California consumers various rights such as the right to restrict the processing of their “sensitive personal information.” The CPRA’s amendments to the CCPA took effect on January 1, 2023, and generally apply to personal information collected by regulated businesses on or after January 1, 2022.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Antitrust and Competition Laws</w:t>
      </w:r>
    </w:p>
    <w:p>
      <w:pPr>
        <w:spacing w:after="0" w:line="131" w:lineRule="exact"/>
        <w:rPr>
          <w:sz w:val="20"/>
          <w:szCs w:val="20"/>
          <w:color w:val="auto"/>
        </w:rPr>
      </w:pPr>
    </w:p>
    <w:p>
      <w:pPr>
        <w:ind w:firstLine="441"/>
        <w:spacing w:after="0" w:line="249" w:lineRule="auto"/>
        <w:rPr>
          <w:sz w:val="20"/>
          <w:szCs w:val="20"/>
          <w:color w:val="auto"/>
        </w:rPr>
      </w:pPr>
      <w:r>
        <w:rPr>
          <w:rFonts w:ascii="Times New Roman" w:cs="Times New Roman" w:eastAsia="Times New Roman" w:hAnsi="Times New Roman"/>
          <w:sz w:val="20"/>
          <w:szCs w:val="20"/>
          <w:color w:val="auto"/>
        </w:rPr>
        <w:t>The federal government and most states have enacted antitrust laws that prohibit specific types of anti-competitive conduct, including price fixing, wage fixing, concerted refusals to deal, price discrimination and tying arrangements, as well as monopolization and acquisitions of competitors that have, or may have, a substantial adverse effect on competition. Violations of federal or state antitrust laws can result in various sanctions, including criminal and civil penalties. We believe we are in compliance with such federal and state laws, but courts or regulatory authorities may reach a determination in the future that could adversely affect our business, results of operations, financial condition and cash flows. In addition, we are subject to similar antitrust and anti-competition laws in foreign countries. We believe we are in compliance with such laws, however, any violation could create a substantial liability for us and also cause a loss of reputation in both foreign and domestic markets.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Laws Relating to Foreign Trade</w:t>
      </w:r>
    </w:p>
    <w:p>
      <w:pPr>
        <w:spacing w:after="0" w:line="131" w:lineRule="exact"/>
        <w:rPr>
          <w:sz w:val="20"/>
          <w:szCs w:val="20"/>
          <w:color w:val="auto"/>
        </w:rPr>
      </w:pPr>
    </w:p>
    <w:p>
      <w:pPr>
        <w:ind w:right="200" w:firstLine="441"/>
        <w:spacing w:after="0" w:line="249" w:lineRule="auto"/>
        <w:rPr>
          <w:sz w:val="20"/>
          <w:szCs w:val="20"/>
          <w:color w:val="auto"/>
        </w:rPr>
      </w:pPr>
      <w:r>
        <w:rPr>
          <w:rFonts w:ascii="Times New Roman" w:cs="Times New Roman" w:eastAsia="Times New Roman" w:hAnsi="Times New Roman"/>
          <w:sz w:val="20"/>
          <w:szCs w:val="20"/>
          <w:color w:val="auto"/>
        </w:rPr>
        <w:t>We are subject to various federal and foreign laws that govern our international business practices with respect to payments to government officials. Those laws include the Foreign Corrupt Practices Act (“FCPA”) which prohibits U.S. companies and their representatives from paying, offering to pay, promising, or authorizing the payment of anything of value to any foreign government official, government staff member, political party, or political candidate for the purpose of obtaining or retaining business or to otherwise obtain favorable treatment or influence a person working in an official capacity. In many countries, the healthcare professionals we regularly interact with may meet the FCPA’s definition of a foreign government official. The FCPA also requires public companies to make and keep books and records that accurately and fairly reflect their transactions and to devise and maintain an adequate system of internal accounting controls.</w:t>
      </w:r>
    </w:p>
    <w:p>
      <w:pPr>
        <w:spacing w:after="0" w:line="208" w:lineRule="exact"/>
        <w:rPr>
          <w:sz w:val="20"/>
          <w:szCs w:val="20"/>
          <w:color w:val="auto"/>
        </w:rPr>
      </w:pPr>
    </w:p>
    <w:p>
      <w:pPr>
        <w:ind w:right="160" w:firstLine="441"/>
        <w:spacing w:after="0" w:line="252" w:lineRule="auto"/>
        <w:rPr>
          <w:sz w:val="20"/>
          <w:szCs w:val="20"/>
          <w:color w:val="auto"/>
        </w:rPr>
      </w:pPr>
      <w:r>
        <w:rPr>
          <w:rFonts w:ascii="Times New Roman" w:cs="Times New Roman" w:eastAsia="Times New Roman" w:hAnsi="Times New Roman"/>
          <w:sz w:val="20"/>
          <w:szCs w:val="20"/>
          <w:color w:val="auto"/>
        </w:rPr>
        <w:t>Those laws also include the U.K. Bribery Act (“Bribery Act”) which proscribes giving and receiving bribes in the public and private sectors, bribing a foreign public official, and failing to have adequate procedures to prevent employees and other agents from giving bribes. U.S. companies that conduct business in the United Kingdom generally will be subject to the Bribery Act. Penalties under the Bribery Act include potentially unlimited fines for companies and criminal sanctions for corporate officers under certain circumstances.</w:t>
      </w:r>
    </w:p>
    <w:p>
      <w:pPr>
        <w:sectPr>
          <w:pgSz w:w="11880" w:h="15480" w:orient="portrait"/>
          <w:cols w:equalWidth="0" w:num="1">
            <w:col w:w="10580"/>
          </w:cols>
          <w:pgMar w:left="640" w:top="622"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26</w:t>
      </w:r>
    </w:p>
    <w:p>
      <w:pPr>
        <w:sectPr>
          <w:pgSz w:w="11880" w:h="15480" w:orient="portrait"/>
          <w:cols w:equalWidth="0" w:num="1">
            <w:col w:w="10580"/>
          </w:cols>
          <w:pgMar w:left="640" w:top="622" w:right="660" w:bottom="0" w:gutter="0" w:footer="0" w:header="0"/>
          <w:type w:val="continuous"/>
        </w:sectPr>
      </w:pPr>
    </w:p>
    <w:bookmarkStart w:id="32" w:name="page33"/>
    <w:bookmarkEnd w:id="32"/>
    <w:p>
      <w:pPr>
        <w:ind w:right="40" w:firstLine="441"/>
        <w:spacing w:after="0" w:line="254" w:lineRule="auto"/>
        <w:rPr>
          <w:sz w:val="20"/>
          <w:szCs w:val="20"/>
          <w:color w:val="auto"/>
        </w:rPr>
      </w:pPr>
      <w:r>
        <w:rPr>
          <w:rFonts w:ascii="Times New Roman" w:cs="Times New Roman" w:eastAsia="Times New Roman" w:hAnsi="Times New Roman"/>
          <w:sz w:val="20"/>
          <w:szCs w:val="20"/>
          <w:color w:val="auto"/>
        </w:rPr>
        <w:t>Our policies mandate compliance with all anti-bribery laws. Our operations reach many parts of the world that have experienced governmental corruption to some degree, and in certain circumstances strict compliance with anti-bribery laws may conflict with local customs and practices. Despite our training and compliance programs, our internal control policies and procedures may not always protect us from reckless or criminal acts committed by our employees or agents.</w:t>
      </w:r>
    </w:p>
    <w:p>
      <w:pPr>
        <w:spacing w:after="0" w:line="202" w:lineRule="exact"/>
        <w:rPr>
          <w:sz w:val="20"/>
          <w:szCs w:val="20"/>
          <w:color w:val="auto"/>
        </w:rPr>
      </w:pPr>
    </w:p>
    <w:p>
      <w:pPr>
        <w:ind w:right="240" w:firstLine="441"/>
        <w:spacing w:after="0" w:line="258" w:lineRule="auto"/>
        <w:rPr>
          <w:sz w:val="20"/>
          <w:szCs w:val="20"/>
          <w:color w:val="auto"/>
        </w:rPr>
      </w:pPr>
      <w:r>
        <w:rPr>
          <w:rFonts w:ascii="Times New Roman" w:cs="Times New Roman" w:eastAsia="Times New Roman" w:hAnsi="Times New Roman"/>
          <w:sz w:val="20"/>
          <w:szCs w:val="20"/>
          <w:color w:val="auto"/>
        </w:rPr>
        <w:t>We are also subject to trade control regulations and trade sanctions laws that restrict the movement of certain goods, currency, products, materials, services and technology to, and certain operations in, various countries or with certain persons. Our ability to transfer people and products among certain countries may be subjected to these laws and regulations.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 and Safety Laws</w:t>
      </w:r>
    </w:p>
    <w:p>
      <w:pPr>
        <w:spacing w:after="0" w:line="131" w:lineRule="exact"/>
        <w:rPr>
          <w:sz w:val="20"/>
          <w:szCs w:val="20"/>
          <w:color w:val="auto"/>
        </w:rPr>
      </w:pPr>
    </w:p>
    <w:p>
      <w:pPr>
        <w:ind w:right="260" w:firstLine="441"/>
        <w:spacing w:after="0" w:line="258" w:lineRule="auto"/>
        <w:rPr>
          <w:sz w:val="20"/>
          <w:szCs w:val="20"/>
          <w:color w:val="auto"/>
        </w:rPr>
      </w:pPr>
      <w:r>
        <w:rPr>
          <w:rFonts w:ascii="Times New Roman" w:cs="Times New Roman" w:eastAsia="Times New Roman" w:hAnsi="Times New Roman"/>
          <w:sz w:val="20"/>
          <w:szCs w:val="20"/>
          <w:color w:val="auto"/>
        </w:rPr>
        <w:t>We are also subject to various federal, state and local laws, regulations and recommendations, both in the U.S. and abroad, relating to safe working conditions, laboratory and manufacturing practices and the use, transportation and disposal of hazardous or potentially hazardous substances.</w:t>
      </w:r>
    </w:p>
    <w:p>
      <w:pPr>
        <w:spacing w:after="0" w:line="196" w:lineRule="exact"/>
        <w:rPr>
          <w:sz w:val="20"/>
          <w:szCs w:val="20"/>
          <w:color w:val="auto"/>
        </w:rPr>
      </w:pPr>
    </w:p>
    <w:p>
      <w:pPr>
        <w:ind w:right="460" w:firstLine="441"/>
        <w:spacing w:after="0" w:line="275" w:lineRule="auto"/>
        <w:rPr>
          <w:sz w:val="20"/>
          <w:szCs w:val="20"/>
          <w:color w:val="auto"/>
        </w:rPr>
      </w:pPr>
      <w:r>
        <w:rPr>
          <w:rFonts w:ascii="Times New Roman" w:cs="Times New Roman" w:eastAsia="Times New Roman" w:hAnsi="Times New Roman"/>
          <w:sz w:val="20"/>
          <w:szCs w:val="20"/>
          <w:color w:val="auto"/>
        </w:rPr>
        <w:t xml:space="preserve">See Part I, Item 1A.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xml:space="preserve"> of this Form 10-K for information regarding certain risks related to reimbursement and regulation.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Environmental Matters</w:t>
      </w:r>
    </w:p>
    <w:p>
      <w:pPr>
        <w:spacing w:after="0" w:line="130" w:lineRule="exact"/>
        <w:rPr>
          <w:sz w:val="20"/>
          <w:szCs w:val="20"/>
          <w:color w:val="auto"/>
        </w:rPr>
      </w:pPr>
    </w:p>
    <w:p>
      <w:pPr>
        <w:ind w:firstLine="441"/>
        <w:spacing w:after="0" w:line="250" w:lineRule="auto"/>
        <w:rPr>
          <w:sz w:val="20"/>
          <w:szCs w:val="20"/>
          <w:color w:val="auto"/>
        </w:rPr>
      </w:pPr>
      <w:r>
        <w:rPr>
          <w:rFonts w:ascii="Times New Roman" w:cs="Times New Roman" w:eastAsia="Times New Roman" w:hAnsi="Times New Roman"/>
          <w:sz w:val="20"/>
          <w:szCs w:val="20"/>
          <w:color w:val="auto"/>
        </w:rPr>
        <w:t>We are subject to various federal, state and local laws and regulations relating to the protection of the environment, human health and safety in the U.S. and in other jurisdictions in which we operate. Our operations, like those of other radiopharmaceutical companies, involve the transport, use, handling, storage, exposure to and disposal of materials and wastes regulated under environmental laws, including hazardous and radioactive materials and wastes. If we violate these laws and regulations, we could be fined, criminally charged or otherwise sanctioned by regulators. We believe that our operations currently comply in all material respects with applicable environmental laws and regulations.</w:t>
      </w:r>
    </w:p>
    <w:p>
      <w:pPr>
        <w:spacing w:after="0" w:line="209" w:lineRule="exact"/>
        <w:rPr>
          <w:sz w:val="20"/>
          <w:szCs w:val="20"/>
          <w:color w:val="auto"/>
        </w:rPr>
      </w:pPr>
    </w:p>
    <w:p>
      <w:pPr>
        <w:ind w:right="40" w:firstLine="441"/>
        <w:spacing w:after="0" w:line="249" w:lineRule="auto"/>
        <w:rPr>
          <w:sz w:val="20"/>
          <w:szCs w:val="20"/>
          <w:color w:val="auto"/>
        </w:rPr>
      </w:pPr>
      <w:r>
        <w:rPr>
          <w:rFonts w:ascii="Times New Roman" w:cs="Times New Roman" w:eastAsia="Times New Roman" w:hAnsi="Times New Roman"/>
          <w:sz w:val="20"/>
          <w:szCs w:val="20"/>
          <w:color w:val="auto"/>
        </w:rPr>
        <w:t>Certain environmental laws and regulations assess liability on current or previous owners or operators of real property for the cost of investigation, removal or remediation of hazardous materials or wastes at those formerly owned or operated properties or at third party properties at which they have disposed of hazardous materials or wastes. In addition to cleanup actions brought by governmental authorities, private parties could bring personal injury, property damage or other claims due to the presence of, or exposure to, hazardous materials or wastes. We currently are not party to any claims or any obligations to investigate or remediate any material contamination at any of our facilities, however, if we were found to be liable under one or more of these laws or regulations, it could create a substantial liability.</w:t>
      </w:r>
    </w:p>
    <w:p>
      <w:pPr>
        <w:spacing w:after="0" w:line="211" w:lineRule="exact"/>
        <w:rPr>
          <w:sz w:val="20"/>
          <w:szCs w:val="20"/>
          <w:color w:val="auto"/>
        </w:rPr>
      </w:pPr>
    </w:p>
    <w:p>
      <w:pPr>
        <w:ind w:right="40" w:firstLine="441"/>
        <w:spacing w:after="0" w:line="248" w:lineRule="auto"/>
        <w:rPr>
          <w:sz w:val="20"/>
          <w:szCs w:val="20"/>
          <w:color w:val="auto"/>
        </w:rPr>
      </w:pPr>
      <w:r>
        <w:rPr>
          <w:rFonts w:ascii="Times New Roman" w:cs="Times New Roman" w:eastAsia="Times New Roman" w:hAnsi="Times New Roman"/>
          <w:sz w:val="20"/>
          <w:szCs w:val="20"/>
          <w:color w:val="auto"/>
        </w:rPr>
        <w:t>We are required to maintain a number of environmental permits and nuclear licenses for our North Billerica campus, which includes our primary manufacturing, packaging and distribution facility. In particular, we must maintain a nuclear byproducts materials license issued by the Commonwealth of Massachusetts. This license requires that we provide financial assurance demonstrating our ability to cover the cost of decommissioning and decontaminating (“D&amp;D”) the North Billerica site at the end of its use as a nuclear facility. We store low level radioactive waste at our facilities until the materials are below regulatory limits, as allowed by our licenses and permits. As of December 31, 2024, we estimate the D&amp;D cost of all of our manufacturing sites to be approximately $25.1 million. As of December 31, 2024 and 2023, we have a liability of approximately $23.3 million and $22.9 million, respectively associated with our asset retirement obligations. We currently provide this financial assurance in the form of a surety bond.</w:t>
      </w:r>
    </w:p>
    <w:p>
      <w:pPr>
        <w:spacing w:after="0" w:line="213" w:lineRule="exact"/>
        <w:rPr>
          <w:sz w:val="20"/>
          <w:szCs w:val="20"/>
          <w:color w:val="auto"/>
        </w:rPr>
      </w:pPr>
    </w:p>
    <w:p>
      <w:pPr>
        <w:ind w:right="80" w:firstLine="441"/>
        <w:spacing w:after="0" w:line="249" w:lineRule="auto"/>
        <w:rPr>
          <w:sz w:val="20"/>
          <w:szCs w:val="20"/>
          <w:color w:val="auto"/>
        </w:rPr>
      </w:pPr>
      <w:r>
        <w:rPr>
          <w:rFonts w:ascii="Times New Roman" w:cs="Times New Roman" w:eastAsia="Times New Roman" w:hAnsi="Times New Roman"/>
          <w:sz w:val="20"/>
          <w:szCs w:val="20"/>
          <w:color w:val="auto"/>
        </w:rPr>
        <w:t>We also actively monitor and seek to reduce our solid waste, energy and water usage, waste water discharge and greenhouse gas emissions. We generally contract with third parties for the disposal of wastes generated by our operations. In 2020, we developed a stormwater management operations and maintenance plan to minimize stormwater pollution from high impact activities. Improvements we made include (i) the regular inspection and cleaning of catch basins and piping to reduce sediment and debris wash out to adjacent wetlands; (ii) increasing street and parking lot cleaning to reduce pollutant run off; (iii) updating our snow removal plan at our North Billerica campus to reduce the impact to adjacent wetlands; and (iv) using salt brine as a pretreatment for winter storms to reduce the amount of salt use and run off.</w:t>
      </w:r>
    </w:p>
    <w:p>
      <w:pPr>
        <w:spacing w:after="0" w:line="211" w:lineRule="exact"/>
        <w:rPr>
          <w:sz w:val="20"/>
          <w:szCs w:val="20"/>
          <w:color w:val="auto"/>
        </w:rPr>
      </w:pPr>
    </w:p>
    <w:p>
      <w:pPr>
        <w:ind w:right="300" w:firstLine="441"/>
        <w:spacing w:after="0" w:line="258" w:lineRule="auto"/>
        <w:rPr>
          <w:sz w:val="20"/>
          <w:szCs w:val="20"/>
          <w:color w:val="auto"/>
        </w:rPr>
      </w:pPr>
      <w:r>
        <w:rPr>
          <w:rFonts w:ascii="Times New Roman" w:cs="Times New Roman" w:eastAsia="Times New Roman" w:hAnsi="Times New Roman"/>
          <w:sz w:val="20"/>
          <w:szCs w:val="20"/>
          <w:color w:val="auto"/>
        </w:rPr>
        <w:t>With respect to sustainability, we track and monitor our energy use, water generation and a limited scope of greenhouse gas emissions. Since 2022, we have powered our North Billerica campus with renewable wind energy through a contract with National Grid.</w:t>
      </w:r>
    </w:p>
    <w:p>
      <w:pPr>
        <w:spacing w:after="0" w:line="199" w:lineRule="exact"/>
        <w:rPr>
          <w:sz w:val="20"/>
          <w:szCs w:val="20"/>
          <w:color w:val="auto"/>
        </w:rPr>
      </w:pPr>
    </w:p>
    <w:p>
      <w:pPr>
        <w:ind w:right="80" w:firstLine="441"/>
        <w:spacing w:after="0" w:line="254" w:lineRule="auto"/>
        <w:rPr>
          <w:sz w:val="20"/>
          <w:szCs w:val="20"/>
          <w:color w:val="auto"/>
        </w:rPr>
      </w:pPr>
      <w:r>
        <w:rPr>
          <w:rFonts w:ascii="Times New Roman" w:cs="Times New Roman" w:eastAsia="Times New Roman" w:hAnsi="Times New Roman"/>
          <w:sz w:val="20"/>
          <w:szCs w:val="20"/>
          <w:color w:val="auto"/>
        </w:rPr>
        <w:t>We use a third-party environmental software to track available environmental data fields and in 2024 expanded our scope to include data for all of our locations. The implementation of this software rapidly improved our efficiency in data collection and reporting. To drive continuous improvement, we compare our usage data against prior annual baselines, national medians, and similar businesses.</w:t>
      </w:r>
    </w:p>
    <w:p>
      <w:pPr>
        <w:sectPr>
          <w:pgSz w:w="11880" w:h="15480" w:orient="portrait"/>
          <w:cols w:equalWidth="0" w:num="1">
            <w:col w:w="10580"/>
          </w:cols>
          <w:pgMar w:left="640" w:top="622" w:right="660" w:bottom="0" w:gutter="0" w:footer="0" w:header="0"/>
        </w:sect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27</w:t>
      </w:r>
    </w:p>
    <w:p>
      <w:pPr>
        <w:sectPr>
          <w:pgSz w:w="11880" w:h="15480" w:orient="portrait"/>
          <w:cols w:equalWidth="0" w:num="1">
            <w:col w:w="10580"/>
          </w:cols>
          <w:pgMar w:left="640" w:top="622" w:right="660" w:bottom="0" w:gutter="0" w:footer="0" w:header="0"/>
          <w:type w:val="continuous"/>
        </w:sectPr>
      </w:pPr>
    </w:p>
    <w:bookmarkStart w:id="33" w:name="page34"/>
    <w:bookmarkEnd w:id="33"/>
    <w:p>
      <w:pPr>
        <w:ind w:right="60" w:firstLine="441"/>
        <w:spacing w:after="0" w:line="249" w:lineRule="auto"/>
        <w:rPr>
          <w:sz w:val="20"/>
          <w:szCs w:val="20"/>
          <w:color w:val="auto"/>
        </w:rPr>
      </w:pPr>
      <w:r>
        <w:rPr>
          <w:rFonts w:ascii="Times New Roman" w:cs="Times New Roman" w:eastAsia="Times New Roman" w:hAnsi="Times New Roman"/>
          <w:sz w:val="20"/>
          <w:szCs w:val="20"/>
          <w:color w:val="auto"/>
        </w:rPr>
        <w:t>Environmental laws and regulations are complex, change frequently and have become more stringent over time. While we have budgeted for future capital and operating expenditures to maintain compliance with these laws and regulations, we cannot assure you that our costs of complying with current or future environmental protection, health and safety laws and regulations will not exceed our estimates or adversely affect our results of operations and financial condition. Further, we cannot assure you that we will not be subject to additional environmental claims for personal injury or cleanup in the future based on our past, present or future business activities. While it is not feasible to predict the future costs of ongoing environmental compliance, it is possible that there will be a need for future provisions for environmental costs that, in management’s opinion, are not likely to have a material effect on our financial condition, but could be material to the results of operations in any one accounting period.</w:t>
      </w:r>
    </w:p>
    <w:p>
      <w:pPr>
        <w:spacing w:after="0" w:line="205" w:lineRule="exact"/>
        <w:rPr>
          <w:sz w:val="20"/>
          <w:szCs w:val="20"/>
          <w:color w:val="auto"/>
        </w:rPr>
      </w:pPr>
    </w:p>
    <w:p>
      <w:pPr>
        <w:ind w:right="380" w:firstLine="441"/>
        <w:spacing w:after="0" w:line="275" w:lineRule="auto"/>
        <w:rPr>
          <w:sz w:val="20"/>
          <w:szCs w:val="20"/>
          <w:color w:val="auto"/>
        </w:rPr>
      </w:pPr>
      <w:r>
        <w:rPr>
          <w:rFonts w:ascii="Times New Roman" w:cs="Times New Roman" w:eastAsia="Times New Roman" w:hAnsi="Times New Roman"/>
          <w:sz w:val="20"/>
          <w:szCs w:val="20"/>
          <w:color w:val="auto"/>
        </w:rPr>
        <w:t xml:space="preserve">See Part I, Item 1A.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xml:space="preserve"> of this Form 10-K for information regarding certain risks associated with environmental matters.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Management</w:t>
      </w:r>
    </w:p>
    <w:p>
      <w:pPr>
        <w:spacing w:after="0" w:line="130" w:lineRule="exact"/>
        <w:rPr>
          <w:sz w:val="20"/>
          <w:szCs w:val="20"/>
          <w:color w:val="auto"/>
        </w:rPr>
      </w:pPr>
    </w:p>
    <w:p>
      <w:pPr>
        <w:ind w:right="80" w:firstLine="441"/>
        <w:spacing w:after="0" w:line="258" w:lineRule="auto"/>
        <w:rPr>
          <w:sz w:val="20"/>
          <w:szCs w:val="20"/>
          <w:color w:val="auto"/>
        </w:rPr>
      </w:pPr>
      <w:r>
        <w:rPr>
          <w:rFonts w:ascii="Times New Roman" w:cs="Times New Roman" w:eastAsia="Times New Roman" w:hAnsi="Times New Roman"/>
          <w:sz w:val="20"/>
          <w:szCs w:val="20"/>
          <w:color w:val="auto"/>
        </w:rPr>
        <w:t>As of December 31, 2024, we had 808 employees, of which 783 were located in the U.S. and 25 were located internationally. None of our employees are represented by a collective bargaining agreement, and we believe that our relationship with our employees is good.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Diversity, Inclusion, Ethics and Compliance</w:t>
      </w:r>
    </w:p>
    <w:p>
      <w:pPr>
        <w:spacing w:after="0" w:line="131" w:lineRule="exact"/>
        <w:rPr>
          <w:sz w:val="20"/>
          <w:szCs w:val="20"/>
          <w:color w:val="auto"/>
        </w:rPr>
      </w:pPr>
    </w:p>
    <w:p>
      <w:pPr>
        <w:ind w:right="340" w:firstLine="441"/>
        <w:spacing w:after="0" w:line="258" w:lineRule="auto"/>
        <w:rPr>
          <w:sz w:val="20"/>
          <w:szCs w:val="20"/>
          <w:color w:val="auto"/>
        </w:rPr>
      </w:pPr>
      <w:r>
        <w:rPr>
          <w:rFonts w:ascii="Times New Roman" w:cs="Times New Roman" w:eastAsia="Times New Roman" w:hAnsi="Times New Roman"/>
          <w:sz w:val="20"/>
          <w:szCs w:val="20"/>
          <w:color w:val="auto"/>
        </w:rPr>
        <w:t>We believe that supporting our local community and instilling a diverse, inclusive, ethical and compliant culture makes us an employer of choice, allows us to maintain good standing with the regulatory authorities and our customers, and benefits our stockholders in the long run.</w:t>
      </w:r>
    </w:p>
    <w:p>
      <w:pPr>
        <w:spacing w:after="0" w:line="199" w:lineRule="exact"/>
        <w:rPr>
          <w:sz w:val="20"/>
          <w:szCs w:val="20"/>
          <w:color w:val="auto"/>
        </w:rPr>
      </w:pPr>
    </w:p>
    <w:p>
      <w:pPr>
        <w:ind w:right="20" w:firstLine="441"/>
        <w:spacing w:after="0" w:line="265" w:lineRule="auto"/>
        <w:rPr>
          <w:sz w:val="20"/>
          <w:szCs w:val="20"/>
          <w:color w:val="auto"/>
        </w:rPr>
      </w:pPr>
      <w:r>
        <w:rPr>
          <w:rFonts w:ascii="Times New Roman" w:cs="Times New Roman" w:eastAsia="Times New Roman" w:hAnsi="Times New Roman"/>
          <w:sz w:val="19"/>
          <w:szCs w:val="19"/>
          <w:color w:val="auto"/>
        </w:rPr>
        <w:t>Five of eleven of the directors on our Board, including our Chairperson, are women, and over half of our senior management team, which we refer to as our “Expanded Executive Team,” as well as employees holding the position of Vice President or above are women. Approximately 49% of our employees are women. We continue to strive to improve our diversity and inclusion compliantly with a strategic emphasis beyond gender, and we require recruiters working with us to present a diverse candidate slate for posted positions as we believe that we benefit from having a skilled team with a diversity of viewpoints, backgrounds and experiences. We also sponsor Employee Resource Groups (“ERGs”) that are open to all of our employees, including the Lantheus Diversity Connection ERG, the Women Leaders of Lantheus ERG and the Lantheus Veterans, Employees and Reservists Inspired to Act and Serve ERG.</w:t>
      </w:r>
    </w:p>
    <w:p>
      <w:pPr>
        <w:spacing w:after="0" w:line="193" w:lineRule="exact"/>
        <w:rPr>
          <w:sz w:val="20"/>
          <w:szCs w:val="20"/>
          <w:color w:val="auto"/>
        </w:rPr>
      </w:pPr>
    </w:p>
    <w:p>
      <w:pPr>
        <w:ind w:firstLine="441"/>
        <w:spacing w:after="0" w:line="248" w:lineRule="auto"/>
        <w:rPr>
          <w:sz w:val="20"/>
          <w:szCs w:val="20"/>
          <w:color w:val="auto"/>
        </w:rPr>
      </w:pPr>
      <w:r>
        <w:rPr>
          <w:rFonts w:ascii="Times New Roman" w:cs="Times New Roman" w:eastAsia="Times New Roman" w:hAnsi="Times New Roman"/>
          <w:sz w:val="20"/>
          <w:szCs w:val="20"/>
          <w:color w:val="auto"/>
        </w:rPr>
        <w:t>We are committed to promoting a culture of ethics and compliance. Our Code of Conduct and Ethics reflects our commitment to corporate integrity and the underlying business practices and principles of behavior that support this commitment. Each year our employees complete mandatory training that includes anti-bribery/anti-corruption rules, insider trading prohibitions, confidentiality obligations, as well as specialized training in healthcare industry marketing practices among other things. We have a formal Ethics and Compliance Committee that develops, implements and oversees our ethics and compliance programs. We also have a Supplier Code of Conduct, and we seek to do business with minority-owned, female-owned and other diverse businesses and organizations (including those owned or operated by veterans and disabled veterans) that appropriately reflect the communities in which we operate and the customer base we serve, equip us with a deeper understanding of challenges impacting our communities and customers, and enable us to provide more innovative solutions and better outcomes.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and Benefits</w:t>
      </w:r>
    </w:p>
    <w:p>
      <w:pPr>
        <w:spacing w:after="0" w:line="131" w:lineRule="exact"/>
        <w:rPr>
          <w:sz w:val="20"/>
          <w:szCs w:val="20"/>
          <w:color w:val="auto"/>
        </w:rPr>
      </w:pPr>
    </w:p>
    <w:p>
      <w:pPr>
        <w:ind w:right="120" w:firstLine="441"/>
        <w:spacing w:after="0" w:line="252" w:lineRule="auto"/>
        <w:rPr>
          <w:sz w:val="20"/>
          <w:szCs w:val="20"/>
          <w:color w:val="auto"/>
        </w:rPr>
      </w:pPr>
      <w:r>
        <w:rPr>
          <w:rFonts w:ascii="Times New Roman" w:cs="Times New Roman" w:eastAsia="Times New Roman" w:hAnsi="Times New Roman"/>
          <w:sz w:val="20"/>
          <w:szCs w:val="20"/>
          <w:color w:val="auto"/>
        </w:rPr>
        <w:t>We seek to provide pay, benefits, and services that are competitive to market and create incentives to attract and retain employees. Our compensation package includes, among other things, market-competitive pay, cash bonuses, healthcare and defined contribution plan benefits, paid time off and family leave, and, to certain levels of employees, restricted stock and other equity grants. We are focused on pay equity and regularly assess pay among similar roles and responsibilities throughout our organization and in comparison to our peer group.</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Communication and Engagement</w:t>
      </w:r>
    </w:p>
    <w:p>
      <w:pPr>
        <w:spacing w:after="0" w:line="131" w:lineRule="exact"/>
        <w:rPr>
          <w:sz w:val="20"/>
          <w:szCs w:val="20"/>
          <w:color w:val="auto"/>
        </w:rPr>
      </w:pPr>
    </w:p>
    <w:p>
      <w:pPr>
        <w:ind w:right="20" w:firstLine="441"/>
        <w:spacing w:after="0" w:line="250" w:lineRule="auto"/>
        <w:rPr>
          <w:sz w:val="20"/>
          <w:szCs w:val="20"/>
          <w:color w:val="auto"/>
        </w:rPr>
      </w:pPr>
      <w:r>
        <w:rPr>
          <w:rFonts w:ascii="Times New Roman" w:cs="Times New Roman" w:eastAsia="Times New Roman" w:hAnsi="Times New Roman"/>
          <w:sz w:val="20"/>
          <w:szCs w:val="20"/>
          <w:color w:val="auto"/>
        </w:rPr>
        <w:t>We believe that our success depends on employees understanding how their work contributes to our overall strategy. To this end, we utilize a variety of channels to facilitate open and direct communication, including: (i) quarterly town hall meetings for our entire company; (ii) regular ongoing update communications, including through monthly newsletters and our intranet site; and (iii) an externally administered whistleblower hotline and website that is prominently advertised to our employees, and a whistleblower’s anonymity is protected, if so requested. We also established various employee recognition award programs to recognize and reward employees for specific outstanding accomplishments and to foster a positive employee relations climate.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 Wellness and Safety</w:t>
      </w:r>
    </w:p>
    <w:p>
      <w:pPr>
        <w:sectPr>
          <w:pgSz w:w="11880" w:h="15480" w:orient="portrait"/>
          <w:cols w:equalWidth="0" w:num="1">
            <w:col w:w="10600"/>
          </w:cols>
          <w:pgMar w:left="640" w:top="622"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880" w:h="15480" w:orient="portrait"/>
          <w:cols w:equalWidth="0" w:num="1">
            <w:col w:w="10600"/>
          </w:cols>
          <w:pgMar w:left="640" w:top="622" w:right="640" w:bottom="0" w:gutter="0" w:footer="0" w:header="0"/>
          <w:type w:val="continuous"/>
        </w:sectPr>
      </w:pPr>
    </w:p>
    <w:bookmarkStart w:id="34" w:name="page35"/>
    <w:bookmarkEnd w:id="34"/>
    <w:p>
      <w:pPr>
        <w:jc w:val="both"/>
        <w:ind w:right="140" w:firstLine="441"/>
        <w:spacing w:after="0" w:line="258" w:lineRule="auto"/>
        <w:rPr>
          <w:sz w:val="20"/>
          <w:szCs w:val="20"/>
          <w:color w:val="auto"/>
        </w:rPr>
      </w:pPr>
      <w:r>
        <w:rPr>
          <w:rFonts w:ascii="Times New Roman" w:cs="Times New Roman" w:eastAsia="Times New Roman" w:hAnsi="Times New Roman"/>
          <w:sz w:val="20"/>
          <w:szCs w:val="20"/>
          <w:color w:val="auto"/>
        </w:rPr>
        <w:t>We are committed to the health and safety of our employees, patients and other partners in the healthcare community. We work to promote an environment of awareness and shared responsibility for safety and regulatory compliance throughout the Company, in order to minimize risks of injury, exposure, or business impact.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History</w:t>
      </w:r>
    </w:p>
    <w:p>
      <w:pPr>
        <w:spacing w:after="0" w:line="130" w:lineRule="exact"/>
        <w:rPr>
          <w:sz w:val="20"/>
          <w:szCs w:val="20"/>
          <w:color w:val="auto"/>
        </w:rPr>
      </w:pPr>
    </w:p>
    <w:p>
      <w:pPr>
        <w:ind w:right="20" w:firstLine="441"/>
        <w:spacing w:after="0" w:line="250" w:lineRule="auto"/>
        <w:rPr>
          <w:sz w:val="20"/>
          <w:szCs w:val="20"/>
          <w:color w:val="auto"/>
        </w:rPr>
      </w:pPr>
      <w:r>
        <w:rPr>
          <w:rFonts w:ascii="Times New Roman" w:cs="Times New Roman" w:eastAsia="Times New Roman" w:hAnsi="Times New Roman"/>
          <w:sz w:val="20"/>
          <w:szCs w:val="20"/>
          <w:color w:val="auto"/>
        </w:rPr>
        <w:t>Founded in 1956 as New England Nuclear Corporation, our medical imaging diagnostic business was purchased by E.I. du Pont de Nemours and Company (“DuPont”) in 1981. Bristol Myers Squibb (“BMS”) subsequently acquired our diagnostic medical imaging business as part of its acquisition of DuPont Pharmaceuticals in 2001. In January 2008, Avista Capital Partners, L.P., Avista Capital Partners (Offshore), L.P. and ACP-Lantern Co-Invest, LLC formed Lantheus Holdings and acquired our medical imaging business from BMS. On June 30, 2015, we completed an initial public offering of our common stock. Our common stock is traded on the NASDAQ Global Market under the symbol “LNTH”.</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130" w:lineRule="exact"/>
        <w:rPr>
          <w:sz w:val="20"/>
          <w:szCs w:val="20"/>
          <w:color w:val="auto"/>
        </w:rPr>
      </w:pPr>
    </w:p>
    <w:p>
      <w:pPr>
        <w:ind w:firstLine="441"/>
        <w:spacing w:after="0" w:line="249" w:lineRule="auto"/>
        <w:rPr>
          <w:sz w:val="20"/>
          <w:szCs w:val="20"/>
          <w:color w:val="auto"/>
        </w:rPr>
      </w:pPr>
      <w:r>
        <w:rPr>
          <w:rFonts w:ascii="Times New Roman" w:cs="Times New Roman" w:eastAsia="Times New Roman" w:hAnsi="Times New Roman"/>
          <w:sz w:val="20"/>
          <w:szCs w:val="20"/>
          <w:color w:val="auto"/>
        </w:rPr>
        <w:t>Our global Internet site is www.lantheus.com. We routinely make available important information, including copies of our Form 10-K, Quarterly Reports on Form 10-Q (“Form 10-Q”), Current Reports on Form 8-K and amendments to those reports filed or furnished pursuant to Section 13(a) or 15(d) of the Securities Exchange Act of 1934, as amended, as soon as reasonably practicable after those reports are electronically filed with, or furnished to, the Securities and Exchange Commission (“SEC”), free of charge on our website at investor.lantheus.com. We recognize our website as a key channel of distribution to reach public investors and as a means of disclosing material non-public information to comply with our disclosure obligations under SEC Regulation FD. Information contained on our website shall not be deemed incorporated into, or to be part of this Form 10-K, and any website references are not intended to be made through active hyperlinks.</w:t>
      </w:r>
    </w:p>
    <w:p>
      <w:pPr>
        <w:spacing w:after="0" w:line="208" w:lineRule="exact"/>
        <w:rPr>
          <w:sz w:val="20"/>
          <w:szCs w:val="20"/>
          <w:color w:val="auto"/>
        </w:rPr>
      </w:pPr>
    </w:p>
    <w:p>
      <w:pPr>
        <w:jc w:val="both"/>
        <w:ind w:right="80" w:firstLine="441"/>
        <w:spacing w:after="0" w:line="258" w:lineRule="auto"/>
        <w:rPr>
          <w:sz w:val="20"/>
          <w:szCs w:val="20"/>
          <w:color w:val="auto"/>
        </w:rPr>
      </w:pPr>
      <w:r>
        <w:rPr>
          <w:rFonts w:ascii="Times New Roman" w:cs="Times New Roman" w:eastAsia="Times New Roman" w:hAnsi="Times New Roman"/>
          <w:sz w:val="20"/>
          <w:szCs w:val="20"/>
          <w:color w:val="auto"/>
        </w:rPr>
        <w:t>Our reports filed with, or furnished to, the SEC are also available on the SEC’s website at www.sec.gov, and for Form 10-K and Form 10-Q, in an Inline Extensible Business Reporting Language (“iXBRL”) format. iXBRL is an electronic coding language used to create interactive financial statement data over the Internet.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27" w:lineRule="exact"/>
        <w:rPr>
          <w:sz w:val="20"/>
          <w:szCs w:val="20"/>
          <w:color w:val="auto"/>
        </w:rPr>
      </w:pPr>
    </w:p>
    <w:p>
      <w:pPr>
        <w:ind w:right="20" w:firstLine="441"/>
        <w:spacing w:after="0" w:line="250" w:lineRule="auto"/>
        <w:rPr>
          <w:sz w:val="20"/>
          <w:szCs w:val="20"/>
          <w:color w:val="auto"/>
        </w:rPr>
      </w:pPr>
      <w:r>
        <w:rPr>
          <w:rFonts w:ascii="Times New Roman" w:cs="Times New Roman" w:eastAsia="Times New Roman" w:hAnsi="Times New Roman"/>
          <w:sz w:val="20"/>
          <w:szCs w:val="20"/>
          <w:i w:val="1"/>
          <w:iCs w:val="1"/>
          <w:color w:val="auto"/>
        </w:rPr>
        <w:t>You should carefully consider the following risks. The risks and uncertainties described below are not the only ones we face. Additional risks and uncertainties that we are unaware of, or that we currently believe are not material, may also become important factors that adversely affect our business. These risks could materially affect our business, results of operations or financial condition, cause the trading price of our outstanding common stock to decline materially or cause our actual results to differ materially from those expected or those expressed in any forward-looking statements made by us or on our behalf. See “Cautionary Note Regarding Forward-Looking Statements” and the risks of our businesses described elsewhere in this Annual Report on Form 10</w:t>
      </w:r>
      <w:r>
        <w:rPr>
          <w:rFonts w:ascii="Arial" w:cs="Arial" w:eastAsia="Arial" w:hAnsi="Arial"/>
          <w:sz w:val="20"/>
          <w:szCs w:val="20"/>
          <w:color w:val="auto"/>
        </w:rPr>
        <w:t>-</w:t>
      </w:r>
      <w:r>
        <w:rPr>
          <w:rFonts w:ascii="Times New Roman" w:cs="Times New Roman" w:eastAsia="Times New Roman" w:hAnsi="Times New Roman"/>
          <w:sz w:val="20"/>
          <w:szCs w:val="20"/>
          <w:i w:val="1"/>
          <w:iCs w:val="1"/>
          <w:color w:val="auto"/>
        </w:rPr>
        <w:t>K (“Form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Risks Related to Our Portfolio of Commercial Products</w:t>
      </w:r>
    </w:p>
    <w:p>
      <w:pPr>
        <w:spacing w:after="0" w:line="240"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 xml:space="preserve">Our ability to continue to grow PYLARIFY as a commercial product is dependent on (A) the ability of positron emission tomography (“PET”) manufacturing facilities (“PMFs”) to manufacture PYLARIFY to meet product demand or that PYLARIFY will always be available at the specific time of day preferred by the end-user, (B) our ability to maintain adequate coding, coverage and payment for PYLARIFY, (C) our ability to promote PYLARIFY to customers and to maintain PYLARIFY as the most utilized prostate-specific membrane antigen (“PSMA”) PET imaging agent, including after the expiration of transitional pass-through payment status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TPT Status”) at the end of 2024, (D) whether and when a potential generic version of PYLARIFY may enter the market and (E) our ability to clinically and commercially differentiate PYLARIFY from other products.</w:t>
      </w:r>
    </w:p>
    <w:p>
      <w:pPr>
        <w:spacing w:after="0" w:line="77" w:lineRule="exact"/>
        <w:rPr>
          <w:sz w:val="20"/>
          <w:szCs w:val="20"/>
          <w:color w:val="auto"/>
        </w:rPr>
      </w:pPr>
    </w:p>
    <w:p>
      <w:pPr>
        <w:ind w:firstLine="441"/>
        <w:spacing w:after="0" w:line="264" w:lineRule="auto"/>
        <w:rPr>
          <w:sz w:val="20"/>
          <w:szCs w:val="20"/>
          <w:color w:val="auto"/>
        </w:rPr>
      </w:pPr>
      <w:r>
        <w:rPr>
          <w:rFonts w:ascii="Times New Roman" w:cs="Times New Roman" w:eastAsia="Times New Roman" w:hAnsi="Times New Roman"/>
          <w:sz w:val="19"/>
          <w:szCs w:val="19"/>
          <w:color w:val="auto"/>
        </w:rPr>
        <w:t>To manufacture PYLARIFY, we assembled and qualified a nationwide network of PMFs with radioisotope-producing cyclotrons that make F-18, which has a 110-minute half-life, so PYLARIFY is manufactured and distributed rapidly to end-users. Because each of the PMFs manufacturing these products is deemed by the U.S. Food and Drug Administration (“FDA”) to be a separate manufacturing site, each has to be separately approved by the FDA. Although PYLARIFY is broadly available across the U.S., we continue to seek qualification for additional PMFs in 2025 and can give no assurance that the FDA will continue to approve PMFs in accordance with our expansion plans to meet increasing demand or that PYLARIFY will always be available at the specific time of day preferred by the end-users. If FDA approval of manufacturing sites is delayed or withdrawn or if FDA requirements relating to site approval change, our business, results of operations, financial condition and cash flows could be adversely affected.</w:t>
      </w:r>
    </w:p>
    <w:p>
      <w:pPr>
        <w:spacing w:after="0" w:line="77" w:lineRule="exact"/>
        <w:rPr>
          <w:sz w:val="20"/>
          <w:szCs w:val="20"/>
          <w:color w:val="auto"/>
        </w:rPr>
      </w:pPr>
    </w:p>
    <w:p>
      <w:pPr>
        <w:ind w:right="80" w:firstLine="441"/>
        <w:spacing w:after="0" w:line="268" w:lineRule="auto"/>
        <w:rPr>
          <w:sz w:val="20"/>
          <w:szCs w:val="20"/>
          <w:color w:val="auto"/>
        </w:rPr>
      </w:pPr>
      <w:r>
        <w:rPr>
          <w:rFonts w:ascii="Times New Roman" w:cs="Times New Roman" w:eastAsia="Times New Roman" w:hAnsi="Times New Roman"/>
          <w:sz w:val="19"/>
          <w:szCs w:val="19"/>
          <w:color w:val="auto"/>
        </w:rPr>
        <w:t>Obtaining adequate coding, coverage, and payment for PYLARIFY is critical, including not only coverage from Medicare, Medicaid and other government payors, as well as private payors, but also appropriate payment levels to adequately cover our customers’ costs of using PYLARIFY in PET/computed tomography (“CT”) imaging procedures. The Healthcare Procedure Coding System code for PYLARIFY, which enables streamlined billing, went into effect as of January 1, 2022. In addition, effective January 1, 2022, the Centers for Medicare and Medicaid Services (“CMS”) granted TPT Status for PYLARIFY, enabling traditional Medicare</w:t>
      </w:r>
    </w:p>
    <w:p>
      <w:pPr>
        <w:sectPr>
          <w:pgSz w:w="11880" w:h="15480" w:orient="portrait"/>
          <w:cols w:equalWidth="0" w:num="1">
            <w:col w:w="10580"/>
          </w:cols>
          <w:pgMar w:left="640" w:top="622" w:right="660" w:bottom="0" w:gutter="0" w:footer="0" w:header="0"/>
        </w:sect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ectPr>
          <w:pgSz w:w="11880" w:h="15480" w:orient="portrait"/>
          <w:cols w:equalWidth="0" w:num="1">
            <w:col w:w="10580"/>
          </w:cols>
          <w:pgMar w:left="640" w:top="622" w:right="660" w:bottom="0" w:gutter="0" w:footer="0" w:header="0"/>
          <w:type w:val="continuous"/>
        </w:sectPr>
      </w:pPr>
    </w:p>
    <w:bookmarkStart w:id="35" w:name="page36"/>
    <w:bookmarkEnd w:id="35"/>
    <w:p>
      <w:pPr>
        <w:spacing w:after="0" w:line="246" w:lineRule="auto"/>
        <w:rPr>
          <w:sz w:val="20"/>
          <w:szCs w:val="20"/>
          <w:color w:val="auto"/>
        </w:rPr>
      </w:pPr>
      <w:r>
        <w:rPr>
          <w:rFonts w:ascii="Times New Roman" w:cs="Times New Roman" w:eastAsia="Times New Roman" w:hAnsi="Times New Roman"/>
          <w:sz w:val="20"/>
          <w:szCs w:val="20"/>
          <w:color w:val="auto"/>
        </w:rPr>
        <w:t>to provide an incremental payment for PET/CT scans performed with PYLARIFY in the hospital outpatient setting until December 31, 2024. Historically, after TPT Status expired, diagnostic radiopharmaceuticals, such as, PYLARIFY, would not have been separately reimbursed in the hospital outpatient setting but rather would be bundled into the facility payment a hospital receives for a PET/CT imaging procedure, and the facility payment may not have adequately covered the total cost of the procedure with the diagnostic radiopharmaceutical for all hospitals. In November 2024, CMS released the final rule for its calendar year 2025 Medicare Hospital Outpatient Prospective Payment System (the “CMS 2025 OPPS Rule”). Under the new rule, effective January 1, 2025, previously packaged diagnostic radiopharmaceuticals are now “unbundled” with payments being made separately for any diagnostic radiopharmaceutical with a per day cost greater than $630 based on the mean unit cost (“MUC”). For approximately 20% of traditional Medicare fee-for-service (“FFS”) patients in the hospital outpatient setting, these changes enable hospitals that use innovative diagnostic radiopharmaceuticals, including PYLARIFY, to continue to be paid separately by CMS following the expiry TPT Status at a rate that reflects MUC. The calendar year 2025 payment rate for PYLARIFY is based on MUC and is less than the Average Sales Price (“ASP”)-based amount that was paid during TPT Status. Although PYLARIFY continues to be paid separately, other competitive PSMA PET imaging agents continue to have TPT Status after December 31, 2024 and hospital use of those products, for the approximately 20% of traditional Medicare FFS patients in the hospital outpatient setting, generally will be paid separately based on ASP plus six percent rather than on MUC. We will continue to work with coalition partners and CMS to support using ASP to calculate payment for diagnostic radiopharmaceuticals in future years similar to the way Medicare Outpatient Prospective Payment System (“OPPS”) currently pays for other drugs, biologics, and therapeutic radiopharmaceuticals. However, we can give no assurances that we will be successful in those efforts or that the availability of TPT Status for other diagnostic radiopharmaceuticals will not impact clinical decision making regarding which product to use for all patient populations, which could have an adverse effect on our business, results of operations, financial condition and cash flows.</w:t>
      </w:r>
    </w:p>
    <w:p>
      <w:pPr>
        <w:spacing w:after="0" w:line="107" w:lineRule="exact"/>
        <w:rPr>
          <w:sz w:val="20"/>
          <w:szCs w:val="20"/>
          <w:color w:val="auto"/>
        </w:rPr>
      </w:pPr>
    </w:p>
    <w:p>
      <w:pPr>
        <w:ind w:firstLine="441"/>
        <w:spacing w:after="0" w:line="247" w:lineRule="auto"/>
        <w:rPr>
          <w:sz w:val="20"/>
          <w:szCs w:val="20"/>
          <w:color w:val="auto"/>
        </w:rPr>
      </w:pPr>
      <w:r>
        <w:rPr>
          <w:rFonts w:ascii="Times New Roman" w:cs="Times New Roman" w:eastAsia="Times New Roman" w:hAnsi="Times New Roman"/>
          <w:sz w:val="20"/>
          <w:szCs w:val="20"/>
          <w:color w:val="auto"/>
        </w:rPr>
        <w:t>The continued growth of PYLARIFY is also dependent on our ability to promote PYLARIFY to customers, to clinically and commercially differentiate PYLARIFY from other products on the market and to maintain PYLARIFY as the most utilized PSMA PET imaging agent in a competitive environment in which other PSMA PET imaging agents have been approved, for which discounts related to those other agents have been offered to customers and for which TPT Status remains ongoing. PYLARIFY currently competes with two commercially available Ga-68-based PSMA PET imaging agents from Telix Pharmaceuticals Limited and Novartis AG and an F-18 PSMA PET imaging agent from Blue Earth Diagnostics Ltd. (“Blue Earth”), as well as other non-PSMA PET imaging agents. The potential for future generic entrants to the market due to the expiry PYLARIFY’s new chemical entity exclusivity period in 2026 could also generate increased competition for PYLARIFY. Continued growth and revenue contribution from PYLARIFY will also depend on our ability to differentiate PYLARIFY in light of the loss of TPT Status, including through flexible and dependable access to PYLARIFY nationally, a best-in-class customer experience and through long-term strategic contracts. To the extent we are not successful in these efforts and we lose market share to existing or future competitors, including during any period of time in which our TPT Status has expired but TPT Status for a later-approved competitive products still exists, and including for any potential generic entrant to the market. Such loss of market share could have an adverse impact on our business, results of operations, financial condition and cash flows.</w:t>
      </w:r>
    </w:p>
    <w:p>
      <w:pPr>
        <w:spacing w:after="0" w:line="97" w:lineRule="exact"/>
        <w:rPr>
          <w:sz w:val="20"/>
          <w:szCs w:val="20"/>
          <w:color w:val="auto"/>
        </w:rPr>
      </w:pPr>
    </w:p>
    <w:p>
      <w:pPr>
        <w:ind w:firstLine="441"/>
        <w:spacing w:after="0" w:line="260" w:lineRule="auto"/>
        <w:rPr>
          <w:sz w:val="20"/>
          <w:szCs w:val="20"/>
          <w:color w:val="auto"/>
        </w:rPr>
      </w:pPr>
      <w:r>
        <w:rPr>
          <w:rFonts w:ascii="Times New Roman" w:cs="Times New Roman" w:eastAsia="Times New Roman" w:hAnsi="Times New Roman"/>
          <w:sz w:val="19"/>
          <w:szCs w:val="19"/>
          <w:color w:val="auto"/>
        </w:rPr>
        <w:t>Our success in growing PYLARIFY also depends, in part, on our successfully establishing the use of PYLARIFY for new patient populations, such as patients with favorable intermediate-risk prostate cancer, and potentially for updates to the label, including adding explicit reference to F-18-based PSMA PET imaging agents like PYLARIFY for patient selection for PSMA-targeted therapeutics. For example, we are conducting a clinical trial to determine whether PYLARIFY can detect the presence or absence of additional prostate cancer lesions in patients with favorable intermediate-risk prostate cancer, as well as how it may change the patient’s intended management, but cannot predict whether the outcome of this clinical trial will support such a use of PYLARIFY. Similarly, we believe the approval of PLUVICTO for the treatment of adult patients with PSMA-positive metastatic castration-resistant prostate cancer (“mCRPC”) who have already been treated with other anticancer treatments (androgen receptor pathway inhibition and taxane-based chemotherapy) created a new addressable market for the use of PSMA PET imaging in patient selection for PSMA-targeted therapy. However, the prescribing information for PLUVICTO specifies that a PSMA-11 based PSMA PET imaging agent be used for patient selection, and while PYLARIFY is not a PSMA-11 based imaging agent, we note that FDA-approved labels for F-18-based and PSMA-11 based PSMA PET imaging agents have generally been treated as a class of drugs, including by the National Comprehensive Cancer Network in its guidelines and the Society for Nuclear Medicine and Molecular Imaging in its appropriate use criteria. We can give no assurances as to how current clinical practice may evolve or whether future product prescribing information will explicitly include reference to F-18-based PSMA PET imaging agents like PYLARIFY. To the extent we are unsuccessful in establishing the use of PYLARIFY in new patient populations or adding an explicit reference, such lack of success could have an adverse impact on our business, results of operations, financial condition and cash flows.</w:t>
      </w:r>
    </w:p>
    <w:p>
      <w:pPr>
        <w:spacing w:after="0" w:line="84" w:lineRule="exact"/>
        <w:rPr>
          <w:sz w:val="20"/>
          <w:szCs w:val="20"/>
          <w:color w:val="auto"/>
        </w:rPr>
      </w:pPr>
    </w:p>
    <w:p>
      <w:pPr>
        <w:ind w:right="200" w:firstLine="441"/>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depend on some of our PMF partners to generate sales, accept, produce and deliver orders, collect payments and report related information for PYLARIFY.</w:t>
      </w:r>
    </w:p>
    <w:p>
      <w:pPr>
        <w:spacing w:after="0" w:line="65" w:lineRule="exact"/>
        <w:rPr>
          <w:sz w:val="20"/>
          <w:szCs w:val="20"/>
          <w:color w:val="auto"/>
        </w:rPr>
      </w:pPr>
    </w:p>
    <w:p>
      <w:pPr>
        <w:ind w:right="80" w:firstLine="441"/>
        <w:spacing w:after="0" w:line="268" w:lineRule="auto"/>
        <w:rPr>
          <w:sz w:val="20"/>
          <w:szCs w:val="20"/>
          <w:color w:val="auto"/>
        </w:rPr>
      </w:pPr>
      <w:r>
        <w:rPr>
          <w:rFonts w:ascii="Times New Roman" w:cs="Times New Roman" w:eastAsia="Times New Roman" w:hAnsi="Times New Roman"/>
          <w:sz w:val="19"/>
          <w:szCs w:val="19"/>
          <w:color w:val="auto"/>
        </w:rPr>
        <w:t>PYLARIFY is sold in the U.S. to hospitals, independent imaging centers and government facilities and sales are generated through an internal PYLARIFY sales team, as well as sales teams at some of our PMF partners. We generally do not use group purchasing arrangements to sell PYLARIFY and require each customer to enter into a contract directly with us or our PMF partners. Our ability to continue to successfully grow PYLARIFY depends, in part, on our ability, and the ability of some of our PMF partners on our behalf, to continue to enter into commercially beneficial arrangements directly with the hospitals, independent imaging centers</w:t>
      </w:r>
    </w:p>
    <w:p>
      <w:pPr>
        <w:sectPr>
          <w:pgSz w:w="11880" w:h="15480" w:orient="portrait"/>
          <w:cols w:equalWidth="0" w:num="1">
            <w:col w:w="10580"/>
          </w:cols>
          <w:pgMar w:left="640" w:top="622" w:right="660" w:bottom="0" w:gutter="0" w:footer="0" w:header="0"/>
        </w:sect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30</w:t>
      </w:r>
    </w:p>
    <w:p>
      <w:pPr>
        <w:sectPr>
          <w:pgSz w:w="11880" w:h="15480" w:orient="portrait"/>
          <w:cols w:equalWidth="0" w:num="1">
            <w:col w:w="10580"/>
          </w:cols>
          <w:pgMar w:left="640" w:top="622" w:right="660" w:bottom="0" w:gutter="0" w:footer="0" w:header="0"/>
          <w:type w:val="continuous"/>
        </w:sectPr>
      </w:pPr>
    </w:p>
    <w:bookmarkStart w:id="36" w:name="page37"/>
    <w:bookmarkEnd w:id="36"/>
    <w:p>
      <w:pPr>
        <w:jc w:val="both"/>
        <w:ind w:right="460"/>
        <w:spacing w:after="0" w:line="278" w:lineRule="auto"/>
        <w:rPr>
          <w:sz w:val="20"/>
          <w:szCs w:val="20"/>
          <w:color w:val="auto"/>
        </w:rPr>
      </w:pPr>
      <w:r>
        <w:rPr>
          <w:rFonts w:ascii="Times New Roman" w:cs="Times New Roman" w:eastAsia="Times New Roman" w:hAnsi="Times New Roman"/>
          <w:sz w:val="19"/>
          <w:szCs w:val="19"/>
          <w:color w:val="auto"/>
        </w:rPr>
        <w:t>and government facilities that we serve. Any delay or inability to enter into these arrangements, including our ability to negotiate favorable financial terms in these agreements, or if, despite favorable financial terms, the customers do not continue to purchase PYLARIFY, could have an adverse impact on our business, results of operations, financial condition and cash flows.</w:t>
      </w:r>
    </w:p>
    <w:p>
      <w:pPr>
        <w:spacing w:after="0" w:line="64" w:lineRule="exact"/>
        <w:rPr>
          <w:sz w:val="20"/>
          <w:szCs w:val="20"/>
          <w:color w:val="auto"/>
        </w:rPr>
      </w:pPr>
    </w:p>
    <w:p>
      <w:pPr>
        <w:ind w:right="100" w:firstLine="441"/>
        <w:spacing w:after="0" w:line="250" w:lineRule="auto"/>
        <w:rPr>
          <w:sz w:val="20"/>
          <w:szCs w:val="20"/>
          <w:color w:val="auto"/>
        </w:rPr>
      </w:pPr>
      <w:r>
        <w:rPr>
          <w:rFonts w:ascii="Times New Roman" w:cs="Times New Roman" w:eastAsia="Times New Roman" w:hAnsi="Times New Roman"/>
          <w:sz w:val="20"/>
          <w:szCs w:val="20"/>
          <w:color w:val="auto"/>
        </w:rPr>
        <w:t>We also depend on some of our PMF partners to accept, produce and deliver orders, invoice customers, collect payments and to report related information to us. To the extent our PMF partners are unsuccessful in generating sales, accepting, producing and delivering orders, invoicing customers, collecting payments or reporting to us, or where we are responsible, if we are unsuccessful in accepting orders, ensuring timely production and delivery of those orders by a PMF, or if invoices to customers or collection of payments is delayed, such an event could have a material adverse effect on our business, results of operations, financial condition and cash flows.</w:t>
      </w:r>
    </w:p>
    <w:p>
      <w:pPr>
        <w:spacing w:after="0" w:line="91" w:lineRule="exact"/>
        <w:rPr>
          <w:sz w:val="20"/>
          <w:szCs w:val="20"/>
          <w:color w:val="auto"/>
        </w:rPr>
      </w:pPr>
    </w:p>
    <w:p>
      <w:pPr>
        <w:ind w:right="200" w:firstLine="441"/>
        <w:spacing w:after="0" w:line="271" w:lineRule="auto"/>
        <w:rPr>
          <w:sz w:val="20"/>
          <w:szCs w:val="20"/>
          <w:color w:val="auto"/>
        </w:rPr>
      </w:pPr>
      <w:r>
        <w:rPr>
          <w:rFonts w:ascii="Times New Roman" w:cs="Times New Roman" w:eastAsia="Times New Roman" w:hAnsi="Times New Roman"/>
          <w:sz w:val="19"/>
          <w:szCs w:val="19"/>
          <w:color w:val="auto"/>
        </w:rPr>
        <w:t>We and our PMF partners also use third-party software to accept orders placed by customers and to record shipping and administrative status of orders. We rely in part on information from third-party software and from our PMF partners in connection with how we report and collect payments for PYLARIFY. To the extent we are unable to accept orders or access, verify or reconcile data, such event could have a material adverse effect on our business, results of operations, financial condition and cash flows.</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Potential generic competitors as a result of patent and regulatory exclusivity expirations</w:t>
      </w:r>
    </w:p>
    <w:p>
      <w:pPr>
        <w:spacing w:after="0" w:line="155" w:lineRule="exact"/>
        <w:rPr>
          <w:sz w:val="20"/>
          <w:szCs w:val="20"/>
          <w:color w:val="auto"/>
        </w:rPr>
      </w:pPr>
    </w:p>
    <w:p>
      <w:pPr>
        <w:jc w:val="both"/>
        <w:ind w:right="260" w:firstLine="441"/>
        <w:spacing w:after="0" w:line="282" w:lineRule="auto"/>
        <w:rPr>
          <w:sz w:val="20"/>
          <w:szCs w:val="20"/>
          <w:color w:val="auto"/>
        </w:rPr>
      </w:pPr>
      <w:r>
        <w:rPr>
          <w:rFonts w:ascii="Times New Roman" w:cs="Times New Roman" w:eastAsia="Times New Roman" w:hAnsi="Times New Roman"/>
          <w:sz w:val="19"/>
          <w:szCs w:val="19"/>
          <w:color w:val="auto"/>
        </w:rPr>
        <w:t xml:space="preserve">The NCE-1 date for PYLARIFY is May 26, 2025. As described further under Part I, Item 1., </w:t>
      </w:r>
      <w:r>
        <w:rPr>
          <w:rFonts w:ascii="Times New Roman" w:cs="Times New Roman" w:eastAsia="Times New Roman" w:hAnsi="Times New Roman"/>
          <w:sz w:val="19"/>
          <w:szCs w:val="19"/>
          <w:i w:val="1"/>
          <w:iCs w:val="1"/>
          <w:color w:val="auto"/>
        </w:rPr>
        <w:t>“Business - Regulatory Matters-Hatch Waxman Act,</w:t>
      </w:r>
      <w:r>
        <w:rPr>
          <w:rFonts w:ascii="Times New Roman" w:cs="Times New Roman" w:eastAsia="Times New Roman" w:hAnsi="Times New Roman"/>
          <w:sz w:val="19"/>
          <w:szCs w:val="19"/>
          <w:color w:val="auto"/>
        </w:rPr>
        <w:t>” this is the date after which the FDA is allowed to accept an Abbreviated New Drug Application (“ANDA”)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505(b)(2) applications that include a Paragraph IV certification, from generic challengers. If this happens, we could elect to pursue</w:t>
      </w:r>
    </w:p>
    <w:p>
      <w:pPr>
        <w:spacing w:after="0" w:line="3"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9"/>
          <w:szCs w:val="19"/>
          <w:color w:val="auto"/>
        </w:rPr>
        <w:t>Hatch-Waxman litigation and trigger the 30-month stay described under Part I, Item 1., “</w:t>
      </w:r>
      <w:r>
        <w:rPr>
          <w:rFonts w:ascii="Times New Roman" w:cs="Times New Roman" w:eastAsia="Times New Roman" w:hAnsi="Times New Roman"/>
          <w:sz w:val="19"/>
          <w:szCs w:val="19"/>
          <w:i w:val="1"/>
          <w:iCs w:val="1"/>
          <w:color w:val="auto"/>
        </w:rPr>
        <w:t>Business - Intellectual Property Matters –</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Patent-related Aspects of Regulatory Matters,” </w:t>
      </w:r>
      <w:r>
        <w:rPr>
          <w:rFonts w:ascii="Times New Roman" w:cs="Times New Roman" w:eastAsia="Times New Roman" w:hAnsi="Times New Roman"/>
          <w:sz w:val="19"/>
          <w:szCs w:val="19"/>
          <w:color w:val="auto"/>
        </w:rPr>
        <w:t>of this Form 10-K, during which the FDA would be prohibited from granting full</w:t>
      </w:r>
    </w:p>
    <w:p>
      <w:pPr>
        <w:spacing w:after="0" w:line="2" w:lineRule="exact"/>
        <w:rPr>
          <w:sz w:val="20"/>
          <w:szCs w:val="20"/>
          <w:color w:val="auto"/>
        </w:rPr>
      </w:pPr>
    </w:p>
    <w:p>
      <w:pPr>
        <w:ind w:right="640"/>
        <w:spacing w:after="0" w:line="292" w:lineRule="auto"/>
        <w:rPr>
          <w:sz w:val="20"/>
          <w:szCs w:val="20"/>
          <w:color w:val="auto"/>
        </w:rPr>
      </w:pPr>
      <w:r>
        <w:rPr>
          <w:rFonts w:ascii="Times New Roman" w:cs="Times New Roman" w:eastAsia="Times New Roman" w:hAnsi="Times New Roman"/>
          <w:sz w:val="20"/>
          <w:szCs w:val="20"/>
          <w:color w:val="auto"/>
        </w:rPr>
        <w:t>approval to the challenger’s application until the expiration of the 30-month stay and/or until the lawsuit is settled. The earliest possible date for a generic of PYLARIFY to launch is November of 2027.</w:t>
      </w:r>
    </w:p>
    <w:p>
      <w:pPr>
        <w:spacing w:after="0" w:line="158" w:lineRule="exact"/>
        <w:rPr>
          <w:sz w:val="20"/>
          <w:szCs w:val="20"/>
          <w:color w:val="auto"/>
        </w:rPr>
      </w:pPr>
    </w:p>
    <w:p>
      <w:pPr>
        <w:ind w:right="160" w:firstLine="490"/>
        <w:spacing w:after="0" w:line="261"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grow the appropriate use of DEFINITY in suboptimal echocardiograms in the face of competition from other existing echocardiography agents and potential generic competitors as a result of patent and regulatory exclusivity expirations or maintain its position as the most utilized ultrasound enhancing agent.</w:t>
      </w:r>
    </w:p>
    <w:p>
      <w:pPr>
        <w:spacing w:after="0" w:line="81" w:lineRule="exact"/>
        <w:rPr>
          <w:sz w:val="20"/>
          <w:szCs w:val="20"/>
          <w:color w:val="auto"/>
        </w:rPr>
      </w:pPr>
    </w:p>
    <w:p>
      <w:pPr>
        <w:ind w:right="80" w:firstLine="441"/>
        <w:spacing w:after="0" w:line="254" w:lineRule="auto"/>
        <w:rPr>
          <w:sz w:val="20"/>
          <w:szCs w:val="20"/>
          <w:color w:val="auto"/>
        </w:rPr>
      </w:pPr>
      <w:r>
        <w:rPr>
          <w:rFonts w:ascii="Times New Roman" w:cs="Times New Roman" w:eastAsia="Times New Roman" w:hAnsi="Times New Roman"/>
          <w:sz w:val="20"/>
          <w:szCs w:val="20"/>
          <w:color w:val="auto"/>
        </w:rPr>
        <w:t>The growth of our business is also dependent on our ability to continue to grow the appropriate use of DEFINITY in suboptimal echocardiograms. DEFINITY currently competes with ultrasound enhancing agents produced by GE Healthcare Limited (“GE Healthcare”) and Bracco Diagnostics Inc. (“Bracco”), as well as echocardiography without ultrasound enhancing agents and other non-echocardiography agents.</w:t>
      </w:r>
    </w:p>
    <w:p>
      <w:pPr>
        <w:spacing w:after="0" w:line="202" w:lineRule="exact"/>
        <w:rPr>
          <w:sz w:val="20"/>
          <w:szCs w:val="20"/>
          <w:color w:val="auto"/>
        </w:rPr>
      </w:pPr>
    </w:p>
    <w:p>
      <w:pPr>
        <w:jc w:val="both"/>
        <w:ind w:right="80" w:firstLine="441"/>
        <w:spacing w:after="0" w:line="258" w:lineRule="auto"/>
        <w:rPr>
          <w:sz w:val="20"/>
          <w:szCs w:val="20"/>
          <w:color w:val="auto"/>
        </w:rPr>
      </w:pPr>
      <w:r>
        <w:rPr>
          <w:rFonts w:ascii="Times New Roman" w:cs="Times New Roman" w:eastAsia="Times New Roman" w:hAnsi="Times New Roman"/>
          <w:sz w:val="20"/>
          <w:szCs w:val="20"/>
          <w:color w:val="auto"/>
        </w:rPr>
        <w:t>We launched DEFINITY in 2001, and we continue to actively pursue additional patents in connection with DEFINITY, both in the U.S. and internationally. In the U.S. for DEFINITY we have Orange Book-listed method-of-use patents, that extend until 2037, as well as additional manufacturing patents that are not Orange Book-listed expiring in 2037.</w:t>
      </w:r>
    </w:p>
    <w:p>
      <w:pPr>
        <w:spacing w:after="0" w:line="199" w:lineRule="exact"/>
        <w:rPr>
          <w:sz w:val="20"/>
          <w:szCs w:val="20"/>
          <w:color w:val="auto"/>
        </w:rPr>
      </w:pPr>
    </w:p>
    <w:p>
      <w:pPr>
        <w:ind w:right="180" w:firstLine="441"/>
        <w:spacing w:after="0" w:line="248" w:lineRule="auto"/>
        <w:rPr>
          <w:sz w:val="20"/>
          <w:szCs w:val="20"/>
          <w:color w:val="auto"/>
        </w:rPr>
      </w:pPr>
      <w:r>
        <w:rPr>
          <w:rFonts w:ascii="Times New Roman" w:cs="Times New Roman" w:eastAsia="Times New Roman" w:hAnsi="Times New Roman"/>
          <w:sz w:val="20"/>
          <w:szCs w:val="20"/>
          <w:color w:val="auto"/>
        </w:rPr>
        <w:t xml:space="preserve">Because our Orange Book-listed composition of matter patent expired in June 2019, we may face generic DEFINITY challengers (see Part I, Item 1., </w:t>
      </w:r>
      <w:r>
        <w:rPr>
          <w:rFonts w:ascii="Times New Roman" w:cs="Times New Roman" w:eastAsia="Times New Roman" w:hAnsi="Times New Roman"/>
          <w:sz w:val="20"/>
          <w:szCs w:val="20"/>
          <w:i w:val="1"/>
          <w:iCs w:val="1"/>
          <w:color w:val="auto"/>
        </w:rPr>
        <w:t>“Business - Regulatory Matters - Hatch Waxman Act”</w:t>
      </w:r>
      <w:r>
        <w:rPr>
          <w:rFonts w:ascii="Times New Roman" w:cs="Times New Roman" w:eastAsia="Times New Roman" w:hAnsi="Times New Roman"/>
          <w:sz w:val="20"/>
          <w:szCs w:val="20"/>
          <w:color w:val="auto"/>
        </w:rPr>
        <w:t xml:space="preserve"> of this Form 10-K</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As of the date of filing of this Form 10-K we have not received any Notice of a generic applicant pursuant to the Hatch Waxman Act, but we can give no assurance that we will not receive a Notice in the future. If we were to receive any such Notice in the future, we would review the Notice, evaluate the strength of any potential patent infringement claims, and be prepared to challenge the applicant in a timely fashion, which would thereby trigger the stay of up to 30 months. We can give no assurance that we would have grounds to file a patent infringement suit, that we would obtain the full 30-month stay, that we would be successful on the merits asserting that an applicant infringes our Orange Book-listed patent, or that we would be successful defending the validity of our Orange Book-listed patent in court or in a U.S. Patent and Trademark Office (“USPTO”) adversarial proceeding. Patent litigation is complex and can be protracted and expensive, so if we were to receive such a Notice and to challenge the applicant, this could have a negative effect on our business, results of operations and financial condition.</w:t>
      </w:r>
    </w:p>
    <w:p>
      <w:pPr>
        <w:spacing w:after="0" w:line="208" w:lineRule="exact"/>
        <w:rPr>
          <w:sz w:val="20"/>
          <w:szCs w:val="20"/>
          <w:color w:val="auto"/>
        </w:rPr>
      </w:pPr>
    </w:p>
    <w:p>
      <w:pPr>
        <w:ind w:firstLine="441"/>
        <w:spacing w:after="0" w:line="271" w:lineRule="auto"/>
        <w:rPr>
          <w:sz w:val="20"/>
          <w:szCs w:val="20"/>
          <w:color w:val="auto"/>
        </w:rPr>
      </w:pPr>
      <w:r>
        <w:rPr>
          <w:rFonts w:ascii="Times New Roman" w:cs="Times New Roman" w:eastAsia="Times New Roman" w:hAnsi="Times New Roman"/>
          <w:sz w:val="19"/>
          <w:szCs w:val="19"/>
          <w:color w:val="auto"/>
        </w:rPr>
        <w:t>If we are not able to continue to grow DEFINITY sales, which depend on one or more of the growth of echocardiograms, the growth in the appropriate use of ultrasound enhancing agents in suboptimal echocardiograms, and our ability to maintain and grow our leading position in the U.S. echocardiography ultrasound enhancing agent market, we may not be able to continue to grow the revenue and cash flow of our business, which could have a negative effect on our business, results of operations and financial condition.</w:t>
      </w:r>
    </w:p>
    <w:p>
      <w:pPr>
        <w:spacing w:after="0" w:line="181" w:lineRule="exact"/>
        <w:rPr>
          <w:sz w:val="20"/>
          <w:szCs w:val="20"/>
          <w:color w:val="auto"/>
        </w:rPr>
      </w:pPr>
    </w:p>
    <w:p>
      <w:pPr>
        <w:ind w:right="200" w:firstLine="441"/>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Our dependence upon third parties for the manufacture and supply of a substantial portion of our products and certain key components and raw materials and upon our in-house manufacturing for DEFINITY could prevent us from delivering our products to our customers in the required quantities, within the required timeframes, or at all, which could result in order cancellations and decreased revenues.</w:t>
      </w:r>
    </w:p>
    <w:p>
      <w:pPr>
        <w:spacing w:after="0" w:line="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We obtain a substantial portion of our products from third party manufacturers and suppliers.</w:t>
      </w:r>
    </w:p>
    <w:p>
      <w:pPr>
        <w:sectPr>
          <w:pgSz w:w="11880" w:h="15480" w:orient="portrait"/>
          <w:cols w:equalWidth="0" w:num="1">
            <w:col w:w="10580"/>
          </w:cols>
          <w:pgMar w:left="640" w:top="622" w:right="660" w:bottom="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31</w:t>
      </w:r>
    </w:p>
    <w:p>
      <w:pPr>
        <w:sectPr>
          <w:pgSz w:w="11880" w:h="15480" w:orient="portrait"/>
          <w:cols w:equalWidth="0" w:num="1">
            <w:col w:w="10580"/>
          </w:cols>
          <w:pgMar w:left="640" w:top="622" w:right="660" w:bottom="0" w:gutter="0" w:footer="0" w:header="0"/>
          <w:type w:val="continuous"/>
        </w:sectPr>
      </w:pPr>
    </w:p>
    <w:bookmarkStart w:id="37" w:name="page38"/>
    <w:bookmarkEnd w:id="37"/>
    <w:p>
      <w:pPr>
        <w:ind w:right="100" w:firstLine="441"/>
        <w:spacing w:after="0" w:line="249" w:lineRule="auto"/>
        <w:rPr>
          <w:sz w:val="20"/>
          <w:szCs w:val="20"/>
          <w:color w:val="auto"/>
        </w:rPr>
      </w:pPr>
      <w:r>
        <w:rPr>
          <w:rFonts w:ascii="Times New Roman" w:cs="Times New Roman" w:eastAsia="Times New Roman" w:hAnsi="Times New Roman"/>
          <w:sz w:val="20"/>
          <w:szCs w:val="20"/>
          <w:color w:val="auto"/>
        </w:rPr>
        <w:t>PYLARIFY is manufactured by a nationwide network of PMFs with radioisotope-producing cyclotrons. The radioisotope in PYLARIFY is fluorine-18, which has a 110-minute half-life, so PYLARIFY is manufactured and distributed rapidly to end-users. Because each of the PMFs manufacturing PLYARIFY is deemed by the FDA to be a separate manufacturing site, each has to be separately approved by the FDA. Although we have qualified and continue to qualify additional PMFs, we can give no assurance that the FDA will continue to approve PMFs in accordance with our planned roll-out schedule or that the PMFs will not experience issues with their ability to manufacture and deliver PYLARIFY to our customers. If FDA approval of manufacturing sites is delayed or withdrawn, if FDA requirements relating to site approval change, or our PMF sites experience manufacturing issues, our business, results of operations, financial condition and cash flows could be adversely affected.</w:t>
      </w:r>
    </w:p>
    <w:p>
      <w:pPr>
        <w:spacing w:after="0" w:line="208" w:lineRule="exact"/>
        <w:rPr>
          <w:sz w:val="20"/>
          <w:szCs w:val="20"/>
          <w:color w:val="auto"/>
        </w:rPr>
      </w:pPr>
    </w:p>
    <w:p>
      <w:pPr>
        <w:ind w:right="100" w:firstLine="441"/>
        <w:spacing w:after="0" w:line="250" w:lineRule="auto"/>
        <w:rPr>
          <w:sz w:val="20"/>
          <w:szCs w:val="20"/>
          <w:color w:val="auto"/>
        </w:rPr>
      </w:pPr>
      <w:r>
        <w:rPr>
          <w:rFonts w:ascii="Times New Roman" w:cs="Times New Roman" w:eastAsia="Times New Roman" w:hAnsi="Times New Roman"/>
          <w:sz w:val="20"/>
          <w:szCs w:val="20"/>
          <w:color w:val="auto"/>
        </w:rPr>
        <w:t>We rely on Jubilant HollisterStier (“JHS”) as a substantial supplier of DEFINITY. In addition, for reasons of quality assurance or cost-effectiveness, we purchase certain components and raw materials from sole suppliers (including, for example, the specially designed chemistry synthesis boxes and consumables used in the manufacturing of PYLARIFY and the lipid blend material and perflutren gas used in the manufacturing of DEFINITY). Because we do not control the actual production of many of the products we sell and many of the raw materials and components that make up the products we sell, we may be subject to delays caused by interruption in production based on events and conditions outside of our control.</w:t>
      </w:r>
    </w:p>
    <w:p>
      <w:pPr>
        <w:spacing w:after="0" w:line="209" w:lineRule="exact"/>
        <w:rPr>
          <w:sz w:val="20"/>
          <w:szCs w:val="20"/>
          <w:color w:val="auto"/>
        </w:rPr>
      </w:pPr>
    </w:p>
    <w:p>
      <w:pPr>
        <w:ind w:right="80" w:firstLine="441"/>
        <w:spacing w:after="0" w:line="249" w:lineRule="auto"/>
        <w:rPr>
          <w:sz w:val="20"/>
          <w:szCs w:val="20"/>
          <w:color w:val="auto"/>
        </w:rPr>
      </w:pPr>
      <w:r>
        <w:rPr>
          <w:rFonts w:ascii="Times New Roman" w:cs="Times New Roman" w:eastAsia="Times New Roman" w:hAnsi="Times New Roman"/>
          <w:sz w:val="20"/>
          <w:szCs w:val="20"/>
          <w:color w:val="auto"/>
        </w:rPr>
        <w:t>If we or one of our manufacturing partners or suppliers experiences an event, including a supply chain disruption, shortage or delay, logistics issue, labor dispute, natural disaster, fire, power outage, machinery breakdown, security problem, failure to meet regulatory requirements, product quality issue, technology transfer issue, cybersecurity breach or other issue, we or one of our manufacturing partners or suppliers may be unable to manufacture the relevant products at previous levels or on the forecasted schedule, if at all. Due to the stringent regulations and requirements of the governing regulatory authorities regarding the manufacture of our products, we may not be able to quickly restart manufacturing at a third party or our own facility or establish additional or replacement sources for certain products, components or materials.</w:t>
      </w:r>
    </w:p>
    <w:p>
      <w:pPr>
        <w:spacing w:after="0" w:line="203" w:lineRule="exact"/>
        <w:rPr>
          <w:sz w:val="20"/>
          <w:szCs w:val="20"/>
          <w:color w:val="auto"/>
        </w:rPr>
      </w:pPr>
    </w:p>
    <w:p>
      <w:pPr>
        <w:ind w:right="520" w:firstLine="441"/>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can give no assurance that Curium will continue to be successful with its commercialization of piflufolastat F-18 in Europe.</w:t>
      </w:r>
    </w:p>
    <w:p>
      <w:pPr>
        <w:spacing w:after="0" w:line="65" w:lineRule="exact"/>
        <w:rPr>
          <w:sz w:val="20"/>
          <w:szCs w:val="20"/>
          <w:color w:val="auto"/>
        </w:rPr>
      </w:pPr>
    </w:p>
    <w:p>
      <w:pPr>
        <w:ind w:right="20" w:firstLine="441"/>
        <w:spacing w:after="0" w:line="250" w:lineRule="auto"/>
        <w:rPr>
          <w:sz w:val="20"/>
          <w:szCs w:val="20"/>
          <w:color w:val="auto"/>
        </w:rPr>
      </w:pPr>
      <w:r>
        <w:rPr>
          <w:rFonts w:ascii="Times New Roman" w:cs="Times New Roman" w:eastAsia="Times New Roman" w:hAnsi="Times New Roman"/>
          <w:sz w:val="20"/>
          <w:szCs w:val="20"/>
          <w:color w:val="auto"/>
        </w:rPr>
        <w:t>We licensed exclusive rights to Curium to develop and commercialize piflufolastat F-18 in Europe. Under the terms of the collaboration, we are entitled to double-digit royalties on net sales of piflufolastat F-18, which is commercialized in Europe under the name PYLCLARI. PYLCLARI is commercially available in over ten countries in Europe. We cannot assure that Curium will continue to be successful in commercializing it in Europe. Any failure or significant delay in Curium’s ability to continue making PYLCLARI available in additional countries in Europe may harm our business and delay or prevent us from being able to generate additional future royalty revenue from product sales.</w:t>
      </w:r>
    </w:p>
    <w:p>
      <w:pPr>
        <w:spacing w:after="0" w:line="83"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20"/>
          <w:szCs w:val="20"/>
          <w:b w:val="1"/>
          <w:bCs w:val="1"/>
          <w:i w:val="1"/>
          <w:iCs w:val="1"/>
          <w:color w:val="auto"/>
        </w:rPr>
        <w:t>The global supply of Molybdenum-99 (“Mo-99”) is fragile and not stable. Our dependence on a limited number of third party suppliers for Mo-99 could prevent us from delivering some of our products to our customers in the required quantities, within the required timeframe, or at all, which could result in order cancellations and decreased revenues.</w:t>
      </w:r>
    </w:p>
    <w:p>
      <w:pPr>
        <w:spacing w:after="0" w:line="81" w:lineRule="exact"/>
        <w:rPr>
          <w:sz w:val="20"/>
          <w:szCs w:val="20"/>
          <w:color w:val="auto"/>
        </w:rPr>
      </w:pPr>
    </w:p>
    <w:p>
      <w:pPr>
        <w:ind w:right="40" w:firstLine="441"/>
        <w:spacing w:after="0" w:line="252" w:lineRule="auto"/>
        <w:rPr>
          <w:sz w:val="20"/>
          <w:szCs w:val="20"/>
          <w:color w:val="auto"/>
        </w:rPr>
      </w:pPr>
      <w:r>
        <w:rPr>
          <w:rFonts w:ascii="Times New Roman" w:cs="Times New Roman" w:eastAsia="Times New Roman" w:hAnsi="Times New Roman"/>
          <w:sz w:val="20"/>
          <w:szCs w:val="20"/>
          <w:color w:val="auto"/>
        </w:rPr>
        <w:t>A critical ingredient of TechneLite is Mo-99. We currently purchase finished Mo-99 from three of the four main processing sites in the world, namely Institute for Radioelements (“IRE”) in Belgium, NTP Radioisotopes (“NTP”) in South Africa and Australian Nuclear Science and Technology Organisation (“ANSTO”) in Australia. These processing sites provide us Mo-99 from five of the six main Mo-99-producing reactors in the world, namely BR2 in Belgium, LVR-15 in the Czech Republic, HFR in The Netherlands, SAFARI in South Africa and OPAL in Australia.</w:t>
      </w:r>
    </w:p>
    <w:p>
      <w:pPr>
        <w:spacing w:after="0" w:line="86" w:lineRule="exact"/>
        <w:rPr>
          <w:sz w:val="20"/>
          <w:szCs w:val="20"/>
          <w:color w:val="auto"/>
        </w:rPr>
      </w:pPr>
    </w:p>
    <w:p>
      <w:pPr>
        <w:ind w:right="40" w:firstLine="441"/>
        <w:spacing w:after="0" w:line="249" w:lineRule="auto"/>
        <w:rPr>
          <w:sz w:val="20"/>
          <w:szCs w:val="20"/>
          <w:color w:val="auto"/>
        </w:rPr>
      </w:pPr>
      <w:r>
        <w:rPr>
          <w:rFonts w:ascii="Times New Roman" w:cs="Times New Roman" w:eastAsia="Times New Roman" w:hAnsi="Times New Roman"/>
          <w:sz w:val="20"/>
          <w:szCs w:val="20"/>
          <w:color w:val="auto"/>
        </w:rPr>
        <w:t>Although we have a globally diverse Mo-99 supply with IRE in Belgium, NTP in South Africa, and ANSTO in Australia, we still face supplier and logistical challenges in our Mo-99 supply chain. When one supplier experiences outages, we generally rely on Mo-99 supply from the other suppliers to limit the impact of the outages. We believe we effectively manage these various supply chain challenges, but depending on reactor and processor schedules and operations, at times we have not been able to fill some or all of the demand for our TechneLite generators on certain manufacturing days. A prolonged disruption of service from one of our three Mo-99 processing sites or one of their main Mo-99-producing reactors could have a substantial negative effect on our business, results of operations, financial condition and cash flows.</w:t>
      </w:r>
    </w:p>
    <w:p>
      <w:pPr>
        <w:spacing w:after="0" w:line="94"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20"/>
          <w:szCs w:val="20"/>
          <w:color w:val="auto"/>
        </w:rPr>
        <w:t>U.S., Canadian and international governments have encouraged the development of a number of alternative Mo-99 production projects with existing reactors and technologies as well as new technologies. However, we cannot say when, or if, the Mo-99 produced from these projects will become available. As a result, there is a limited amount of Mo-99 available which could limit the quantity of TechneLite that we could manufacture, sell and distribute, resulting in a substantial negative effect on our business, results of operations, financial condition and cash flows.</w:t>
      </w:r>
    </w:p>
    <w:p>
      <w:pPr>
        <w:spacing w:after="0" w:line="86" w:lineRule="exact"/>
        <w:rPr>
          <w:sz w:val="20"/>
          <w:szCs w:val="20"/>
          <w:color w:val="auto"/>
        </w:rPr>
      </w:pPr>
    </w:p>
    <w:p>
      <w:pPr>
        <w:ind w:right="140" w:firstLine="441"/>
        <w:spacing w:after="0" w:line="258" w:lineRule="auto"/>
        <w:rPr>
          <w:sz w:val="20"/>
          <w:szCs w:val="20"/>
          <w:color w:val="auto"/>
        </w:rPr>
      </w:pPr>
      <w:r>
        <w:rPr>
          <w:rFonts w:ascii="Times New Roman" w:cs="Times New Roman" w:eastAsia="Times New Roman" w:hAnsi="Times New Roman"/>
          <w:sz w:val="20"/>
          <w:szCs w:val="20"/>
          <w:color w:val="auto"/>
        </w:rPr>
        <w:t>Most of the global suppliers of Mo-99 rely on Framatone-CERCA in France to fabricate uranium targets and in some cases fuel for research reactors from which Mo-99 is produced. Absent a new supplier, a supply disruption relating to uranium targets or fuel could have a substantial negative effect on our business, results of operations, financial condition and cash flows.</w:t>
      </w:r>
    </w:p>
    <w:p>
      <w:pPr>
        <w:sectPr>
          <w:pgSz w:w="11880" w:h="15480" w:orient="portrait"/>
          <w:cols w:equalWidth="0" w:num="1">
            <w:col w:w="10580"/>
          </w:cols>
          <w:pgMar w:left="640" w:top="622"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32</w:t>
      </w:r>
    </w:p>
    <w:p>
      <w:pPr>
        <w:sectPr>
          <w:pgSz w:w="11880" w:h="15480" w:orient="portrait"/>
          <w:cols w:equalWidth="0" w:num="1">
            <w:col w:w="10580"/>
          </w:cols>
          <w:pgMar w:left="640" w:top="622" w:right="660" w:bottom="0" w:gutter="0" w:footer="0" w:header="0"/>
          <w:type w:val="continuous"/>
        </w:sectPr>
      </w:pPr>
    </w:p>
    <w:bookmarkStart w:id="38" w:name="page39"/>
    <w:bookmarkEnd w:id="38"/>
    <w:p>
      <w:pPr>
        <w:ind w:right="40" w:firstLine="441"/>
        <w:spacing w:after="0" w:line="261" w:lineRule="auto"/>
        <w:rPr>
          <w:sz w:val="20"/>
          <w:szCs w:val="20"/>
          <w:color w:val="auto"/>
        </w:rPr>
      </w:pPr>
      <w:r>
        <w:rPr>
          <w:rFonts w:ascii="Times New Roman" w:cs="Times New Roman" w:eastAsia="Times New Roman" w:hAnsi="Times New Roman"/>
          <w:sz w:val="20"/>
          <w:szCs w:val="20"/>
          <w:b w:val="1"/>
          <w:bCs w:val="1"/>
          <w:i w:val="1"/>
          <w:iCs w:val="1"/>
          <w:color w:val="auto"/>
        </w:rPr>
        <w:t>Our just-in-time manufacturing of radiopharmaceutical products relies on the reliability of our equipment and processes, the timely receipt of radioactive raw materials and the timely shipment of finished goods, and any disruption of our supply or distribution networks could have a negative effect on our business.</w:t>
      </w:r>
    </w:p>
    <w:p>
      <w:pPr>
        <w:spacing w:after="0" w:line="199" w:lineRule="exact"/>
        <w:rPr>
          <w:sz w:val="20"/>
          <w:szCs w:val="20"/>
          <w:color w:val="auto"/>
        </w:rPr>
      </w:pPr>
    </w:p>
    <w:p>
      <w:pPr>
        <w:ind w:right="20" w:firstLine="441"/>
        <w:spacing w:after="0" w:line="247" w:lineRule="auto"/>
        <w:rPr>
          <w:sz w:val="20"/>
          <w:szCs w:val="20"/>
          <w:color w:val="auto"/>
        </w:rPr>
      </w:pPr>
      <w:r>
        <w:rPr>
          <w:rFonts w:ascii="Times New Roman" w:cs="Times New Roman" w:eastAsia="Times New Roman" w:hAnsi="Times New Roman"/>
          <w:sz w:val="20"/>
          <w:szCs w:val="20"/>
          <w:color w:val="auto"/>
        </w:rPr>
        <w:t>Radiopharmaceutical products, including PYLARIFY and our TechneLite generators, rely on radioisotopes with limited half-lives. As a result, we or our partners must manufacture, finish and distribute these products on a just-in-time basis, because the underlying radioisotope is in a constant state of decay. For example, the radioisotope used in PYLARIFY is F-18, which has a 110 minute half-life, requiring that this product be manufactured and distributed within the same day to end-users. After being made on a cyclotron at a PMF, the F-18 is then combined with certain chemical ingredients in specially designed chemistry synthesis boxes to manufacture PYLARIFY. The finished PYLARIFY is then quality control tested and transferred to a radiopharmacist who prepares and dispenses patient-specific doses from the final product. Similarly, with respect to our TechneLite generators, if we receive Mo-99 in the morning of a manufacturing day for TechneLite generators, then we will generally ship finished generators to customers by the end of the same business day. Shipment of generators may be by next day delivery services or by either ground or air custom logistics. Any delay in us receiving radioisotopes from suppliers or being able to have finished products delivered to customers because of weather or other unforeseen transportation issues could have a negative effect on our business, results of operations, financial condition and cash flows.</w:t>
      </w:r>
    </w:p>
    <w:p>
      <w:pPr>
        <w:spacing w:after="0" w:line="217" w:lineRule="exact"/>
        <w:rPr>
          <w:sz w:val="20"/>
          <w:szCs w:val="20"/>
          <w:color w:val="auto"/>
        </w:rPr>
      </w:pPr>
    </w:p>
    <w:p>
      <w:pPr>
        <w:ind w:right="100" w:firstLine="441"/>
        <w:spacing w:after="0" w:line="249" w:lineRule="auto"/>
        <w:rPr>
          <w:sz w:val="20"/>
          <w:szCs w:val="20"/>
          <w:color w:val="auto"/>
        </w:rPr>
      </w:pPr>
      <w:r>
        <w:rPr>
          <w:rFonts w:ascii="Times New Roman" w:cs="Times New Roman" w:eastAsia="Times New Roman" w:hAnsi="Times New Roman"/>
          <w:sz w:val="20"/>
          <w:szCs w:val="20"/>
          <w:color w:val="auto"/>
        </w:rPr>
        <w:t>At the facility on our North Billerica campus, we manufacture TechneLite on an automated production line. As with all manufacturing facilities, equipment and infrastructure age and become subject to increasing maintenance and repair. If we experience an event, including a labor dispute, natural disaster, fire, power outage, machinery breakdown, security problem, failure to meet regulatory requirements, product quality issue, technology transfer issue or other issue, we may be unable to manufacture the relevant products at previous levels or on the forecasted schedule, if at all. Due to the stringent regulations and requirements of the governing regulatory authorities regarding the manufacture of our products, we may not be able to quickly restart manufacturing at our facilities or establish additional or replacement sources for certain products, components or materials.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We face significant competition in our business and may not be able to compete effectively.</w:t>
      </w:r>
    </w:p>
    <w:p>
      <w:pPr>
        <w:spacing w:after="0" w:line="131" w:lineRule="exact"/>
        <w:rPr>
          <w:sz w:val="20"/>
          <w:szCs w:val="20"/>
          <w:color w:val="auto"/>
        </w:rPr>
      </w:pPr>
    </w:p>
    <w:p>
      <w:pPr>
        <w:ind w:right="240" w:firstLine="441"/>
        <w:spacing w:after="0" w:line="258" w:lineRule="auto"/>
        <w:rPr>
          <w:sz w:val="20"/>
          <w:szCs w:val="20"/>
          <w:color w:val="auto"/>
        </w:rPr>
      </w:pPr>
      <w:r>
        <w:rPr>
          <w:rFonts w:ascii="Times New Roman" w:cs="Times New Roman" w:eastAsia="Times New Roman" w:hAnsi="Times New Roman"/>
          <w:sz w:val="20"/>
          <w:szCs w:val="20"/>
          <w:color w:val="auto"/>
        </w:rPr>
        <w:t>The markets for our products are highly competitive and continually evolving. Our principal competitors for our current commercial products and leading clinical development candidates include large, global companies that are more diversified than we are and that have substantial financial, manufacturing, sales and marketing, distribution and other resources:</w:t>
      </w:r>
    </w:p>
    <w:p>
      <w:pPr>
        <w:spacing w:after="0" w:line="82" w:lineRule="exact"/>
        <w:rPr>
          <w:sz w:val="20"/>
          <w:szCs w:val="20"/>
          <w:color w:val="auto"/>
        </w:rPr>
      </w:pPr>
    </w:p>
    <w:p>
      <w:pPr>
        <w:ind w:left="720" w:right="200" w:hanging="359"/>
        <w:spacing w:after="0" w:line="271"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PYLARIFY, our competitors currently include approved imaging agents from Telix Pharmaceuticals Limited, Novartis AG, and Blue Earth, a subsidiary of Bracco.</w:t>
      </w:r>
    </w:p>
    <w:p>
      <w:pPr>
        <w:spacing w:after="0" w:line="68" w:lineRule="exact"/>
        <w:rPr>
          <w:rFonts w:ascii="Times New Roman" w:cs="Times New Roman" w:eastAsia="Times New Roman" w:hAnsi="Times New Roman"/>
          <w:sz w:val="20"/>
          <w:szCs w:val="20"/>
          <w:color w:val="auto"/>
        </w:rPr>
      </w:pPr>
    </w:p>
    <w:p>
      <w:pPr>
        <w:ind w:left="720" w:hanging="359"/>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DEFINITY, our competitors currently include GE Healthcare and Bracco.</w:t>
      </w:r>
    </w:p>
    <w:p>
      <w:pPr>
        <w:spacing w:after="0" w:line="240" w:lineRule="exact"/>
        <w:rPr>
          <w:sz w:val="20"/>
          <w:szCs w:val="20"/>
          <w:color w:val="auto"/>
        </w:rPr>
      </w:pPr>
    </w:p>
    <w:p>
      <w:pPr>
        <w:ind w:right="160" w:firstLine="441"/>
        <w:spacing w:after="0" w:line="254" w:lineRule="auto"/>
        <w:rPr>
          <w:sz w:val="20"/>
          <w:szCs w:val="20"/>
          <w:color w:val="auto"/>
        </w:rPr>
      </w:pPr>
      <w:r>
        <w:rPr>
          <w:rFonts w:ascii="Times New Roman" w:cs="Times New Roman" w:eastAsia="Times New Roman" w:hAnsi="Times New Roman"/>
          <w:sz w:val="20"/>
          <w:szCs w:val="20"/>
          <w:color w:val="auto"/>
        </w:rPr>
        <w:t>Any product candidates that we successfully develop and commercialize will compete with existing products and new products that may become available in the future. For example, for PNT2003, our principal competitors may include Novartis AG; ITM Radiopharma; Curium, and RayzeBio (acquired by Bristol Myers Squibb). For MK-6240 and NAV-4694, our principal competitors may include Eli Lilly and Co (“Lilly”) and GE Healthcare.</w:t>
      </w:r>
    </w:p>
    <w:p>
      <w:pPr>
        <w:spacing w:after="0" w:line="202" w:lineRule="exact"/>
        <w:rPr>
          <w:sz w:val="20"/>
          <w:szCs w:val="20"/>
          <w:color w:val="auto"/>
        </w:rPr>
      </w:pPr>
    </w:p>
    <w:p>
      <w:pPr>
        <w:ind w:right="80" w:firstLine="441"/>
        <w:spacing w:after="0" w:line="250" w:lineRule="auto"/>
        <w:rPr>
          <w:sz w:val="20"/>
          <w:szCs w:val="20"/>
          <w:color w:val="auto"/>
        </w:rPr>
      </w:pPr>
      <w:r>
        <w:rPr>
          <w:rFonts w:ascii="Times New Roman" w:cs="Times New Roman" w:eastAsia="Times New Roman" w:hAnsi="Times New Roman"/>
          <w:sz w:val="20"/>
          <w:szCs w:val="20"/>
          <w:color w:val="auto"/>
        </w:rPr>
        <w:t>We cannot anticipate the actions of our current or future competitors in the same or competing modalities, such as significant price reductions on products that are competitive with our own, development of new products that are more cost-effective or have superior performance than our current products or potential future products or the introduction of generic versions of our proprietary products. In addition, distributors of our products could attempt to shift end-users to competing diagnostic modalities and products, or bundle the sale of a portfolio of products, in either case to the detriment of our specific products. Our current or future products could be rendered obsolete or uneconomical as a result of these activities.</w:t>
      </w:r>
    </w:p>
    <w:p>
      <w:pPr>
        <w:spacing w:after="0" w:line="209" w:lineRule="exact"/>
        <w:rPr>
          <w:sz w:val="20"/>
          <w:szCs w:val="20"/>
          <w:color w:val="auto"/>
        </w:rPr>
      </w:pPr>
    </w:p>
    <w:p>
      <w:pPr>
        <w:ind w:right="60" w:firstLine="441"/>
        <w:spacing w:after="0" w:line="249" w:lineRule="auto"/>
        <w:rPr>
          <w:sz w:val="20"/>
          <w:szCs w:val="20"/>
          <w:color w:val="auto"/>
        </w:rPr>
      </w:pPr>
      <w:r>
        <w:rPr>
          <w:rFonts w:ascii="Times New Roman" w:cs="Times New Roman" w:eastAsia="Times New Roman" w:hAnsi="Times New Roman"/>
          <w:sz w:val="20"/>
          <w:szCs w:val="20"/>
          <w:color w:val="auto"/>
        </w:rPr>
        <w:t>Further, the radiopharmaceutical industry continues to evolve strategically, with several market participants recently acquired by larger companies that may have more significant resources than ours. In addition, the supply-demand dynamics of the industry are complex because of large market positions of some participants, legacy businesses, government subsidies (in particular, relating to the manufacture of radioisotopes), and group purchasing arrangements and there are often limited sources available for isotopes and raw materials used in the manufacturing of our product and product candidates. We cannot predict what impact new owners and new operators may have on the strategic decision-making of our competitors, customers and suppliers, and such decision-making could have a material adverse effect on our business, results of operations, financial condition and cash flows.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Ultrasound enhancing agents may cause side effects which could limit our ability to sell DEFINITY.</w:t>
      </w:r>
    </w:p>
    <w:p>
      <w:pPr>
        <w:spacing w:after="0" w:line="131" w:lineRule="exact"/>
        <w:rPr>
          <w:sz w:val="20"/>
          <w:szCs w:val="20"/>
          <w:color w:val="auto"/>
        </w:rPr>
      </w:pPr>
    </w:p>
    <w:p>
      <w:pPr>
        <w:ind w:firstLine="441"/>
        <w:spacing w:after="0" w:line="271" w:lineRule="auto"/>
        <w:rPr>
          <w:sz w:val="20"/>
          <w:szCs w:val="20"/>
          <w:color w:val="auto"/>
        </w:rPr>
      </w:pPr>
      <w:r>
        <w:rPr>
          <w:rFonts w:ascii="Times New Roman" w:cs="Times New Roman" w:eastAsia="Times New Roman" w:hAnsi="Times New Roman"/>
          <w:sz w:val="19"/>
          <w:szCs w:val="19"/>
          <w:color w:val="auto"/>
        </w:rPr>
        <w:t>DEFINITY is an ultrasound enhancing agent based on perflutren lipid microspheres. In 2007, the FDA received reports of deaths and serious cardiopulmonary reactions following the administration of ultrasound enhancing agents used in echocardiography. Four of the 11 reported deaths were caused by cardiac arrest occurring either during or within 30 minutes following the administration of the ultrasound enhancing agent; most of the serious but non-fatal reactions also occurred in this time frame. As a result, in October 2007,</w:t>
      </w:r>
    </w:p>
    <w:p>
      <w:pPr>
        <w:sectPr>
          <w:pgSz w:w="11880" w:h="15480" w:orient="portrait"/>
          <w:cols w:equalWidth="0" w:num="1">
            <w:col w:w="10580"/>
          </w:cols>
          <w:pgMar w:left="640" w:top="614" w:right="660" w:bottom="0" w:gutter="0" w:footer="0" w:header="0"/>
        </w:sect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33</w:t>
      </w:r>
    </w:p>
    <w:p>
      <w:pPr>
        <w:sectPr>
          <w:pgSz w:w="11880" w:h="15480" w:orient="portrait"/>
          <w:cols w:equalWidth="0" w:num="1">
            <w:col w:w="10580"/>
          </w:cols>
          <w:pgMar w:left="640" w:top="614" w:right="660" w:bottom="0" w:gutter="0" w:footer="0" w:header="0"/>
          <w:type w:val="continuous"/>
        </w:sectPr>
      </w:pPr>
    </w:p>
    <w:bookmarkStart w:id="39" w:name="page40"/>
    <w:bookmarkEnd w:id="39"/>
    <w:p>
      <w:pPr>
        <w:ind w:right="20"/>
        <w:spacing w:after="0" w:line="247" w:lineRule="auto"/>
        <w:rPr>
          <w:sz w:val="20"/>
          <w:szCs w:val="20"/>
          <w:color w:val="auto"/>
        </w:rPr>
      </w:pPr>
      <w:r>
        <w:rPr>
          <w:rFonts w:ascii="Times New Roman" w:cs="Times New Roman" w:eastAsia="Times New Roman" w:hAnsi="Times New Roman"/>
          <w:sz w:val="20"/>
          <w:szCs w:val="20"/>
          <w:color w:val="auto"/>
        </w:rPr>
        <w:t>the FDA requested that we and GE Healthcare, which distributes Optison, a competitor to DEFINITY, add a boxed warning to these products emphasizing the risk for serious cardiopulmonary reactions and that the use of these products was contraindicated in certain patients. The FDA modified the boxed warning language several times such that after changes in January 2017, the safety labeling for DEFINITY, Optison and Bracco’s ultrasound enhancing agent, Lumason, all had similar safety labeling. In April 2021, after reviewing certain adverse events that occurred in patients with a prior history of allergic reactions to polyethylene glycol (“PEG”), an inactive excipient in both DEFINITY and Lumason, the FDA and the marketing authorization holders of these products agreed to an additional contraindication for use of these products, including advising clinicians to assess patients for prior PEG hypersensitivity before administering these products. In June 2023, after reviewing adverse events that occurred in patients with history of sickle cell disease, we agreed with the FDA to amend the label to advise clinicians that if a patient with sickle cell disease experiences acute pain episodes following DEFINITY administration, use of DEFINITY in that patient should be discontinued. If additional safety issues arise (not only with DEFINITY but also potentially with Optison and Lumason), this may result in unfavorable changes in labeling or result in restrictions on the approval of our product, including removal of the product from the market. Lingering safety concerns about DEFINITY among some healthcare providers or future unanticipated side effects or safety concerns associated with DEFINITY could limit expanded use of DEFINITY and have a material adverse effect on the unit sales of this product and our financial condition and results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Risks Related to Reimbursement and Regulation</w:t>
      </w:r>
    </w:p>
    <w:p>
      <w:pPr>
        <w:spacing w:after="0" w:line="240" w:lineRule="exact"/>
        <w:rPr>
          <w:sz w:val="20"/>
          <w:szCs w:val="20"/>
          <w:color w:val="auto"/>
        </w:rPr>
      </w:pPr>
    </w:p>
    <w:p>
      <w:pPr>
        <w:ind w:right="100" w:firstLine="441"/>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Many of our customers are highly dependent on payments from third-party payors, including government sponsored programs, particularly Medicare, in the U.S. and other countries in which we operate, and reductions in third party coverage and reimbursement rates for our products (or services provided by healthcare providers using our products) could adversely affect our business and results of operations.</w:t>
      </w:r>
    </w:p>
    <w:p>
      <w:pPr>
        <w:spacing w:after="0" w:line="89" w:lineRule="exact"/>
        <w:rPr>
          <w:sz w:val="20"/>
          <w:szCs w:val="20"/>
          <w:color w:val="auto"/>
        </w:rPr>
      </w:pPr>
    </w:p>
    <w:p>
      <w:pPr>
        <w:ind w:right="180" w:firstLine="441"/>
        <w:spacing w:after="0" w:line="263" w:lineRule="auto"/>
        <w:rPr>
          <w:sz w:val="20"/>
          <w:szCs w:val="20"/>
          <w:color w:val="auto"/>
        </w:rPr>
      </w:pPr>
      <w:r>
        <w:rPr>
          <w:rFonts w:ascii="Times New Roman" w:cs="Times New Roman" w:eastAsia="Times New Roman" w:hAnsi="Times New Roman"/>
          <w:sz w:val="19"/>
          <w:szCs w:val="19"/>
          <w:color w:val="auto"/>
        </w:rPr>
        <w:t>A substantial portion of our revenue depends on the extent to which the costs of our products purchased by our customers (or services provided by healthcare providers using our products) are reimbursed by third party payors, including Medicare, Medicaid, other U.S. government sponsored programs, non-U.S. governmental payors and private payors. These third-party payors exercise significant control over patient access and increasingly use their enhanced bargaining power to secure discounted rates and impose other requirements that may reduce demand for our products. Our customers’ ability to obtain adequate reimbursement for products and services from these third-party payors affects the selection of products they purchase and the prices they are willing to pay. If Medicare and other third party payors do not provide adequate reimbursement for the costs of our products (or services provided by healthcare providers using our products), deny the coverage of the products (or those services), or reduce current levels of reimbursement, healthcare professionals may not prescribe our products and providers and suppliers may not purchase our products.</w:t>
      </w:r>
    </w:p>
    <w:p>
      <w:pPr>
        <w:spacing w:after="0" w:line="80" w:lineRule="exact"/>
        <w:rPr>
          <w:sz w:val="20"/>
          <w:szCs w:val="20"/>
          <w:color w:val="auto"/>
        </w:rPr>
      </w:pPr>
    </w:p>
    <w:p>
      <w:pPr>
        <w:ind w:firstLine="441"/>
        <w:spacing w:after="0" w:line="249" w:lineRule="auto"/>
        <w:rPr>
          <w:sz w:val="20"/>
          <w:szCs w:val="20"/>
          <w:color w:val="auto"/>
        </w:rPr>
      </w:pPr>
      <w:r>
        <w:rPr>
          <w:rFonts w:ascii="Times New Roman" w:cs="Times New Roman" w:eastAsia="Times New Roman" w:hAnsi="Times New Roman"/>
          <w:sz w:val="20"/>
          <w:szCs w:val="20"/>
          <w:color w:val="auto"/>
        </w:rPr>
        <w:t>In addition, demand for new products may be limited unless we obtain favorable reimbursement (including coding, coverage and payment) from governmental and private third party payors at the time of the product’s introduction, which will depend, in part, on our ability to demonstrate that a new agent has a positive impact on clinical outcomes. Third-party payors continually review their coverage policies for existing and new products and procedures and can deny coverage for products or procedures that include the use of our products or revise payment policies such that payments do not adequately cover the cost of our products. Even if third-party payors make coverage and reimbursement available, that reimbursement may not be adequate or these payors’ reimbursement policies may have an adverse effect on our business, results of operations, financial condition and cash flows.</w:t>
      </w:r>
    </w:p>
    <w:p>
      <w:pPr>
        <w:spacing w:after="0" w:line="211" w:lineRule="exact"/>
        <w:rPr>
          <w:sz w:val="20"/>
          <w:szCs w:val="20"/>
          <w:color w:val="auto"/>
        </w:rPr>
      </w:pPr>
    </w:p>
    <w:p>
      <w:pPr>
        <w:ind w:right="220" w:firstLine="441"/>
        <w:spacing w:after="0" w:line="258" w:lineRule="auto"/>
        <w:rPr>
          <w:sz w:val="20"/>
          <w:szCs w:val="20"/>
          <w:color w:val="auto"/>
        </w:rPr>
      </w:pPr>
      <w:r>
        <w:rPr>
          <w:rFonts w:ascii="Times New Roman" w:cs="Times New Roman" w:eastAsia="Times New Roman" w:hAnsi="Times New Roman"/>
          <w:sz w:val="20"/>
          <w:szCs w:val="20"/>
          <w:color w:val="auto"/>
        </w:rPr>
        <w:t>Over the past several years, Medicare has implemented numerous changes to payment policies for imaging procedures in both the hospital setting and non-hospital settings (which include physician offices and freestanding imaging facilities). Some of these changes have had a negative impact on utilization of imaging services. Examples of these changes include:</w:t>
      </w:r>
    </w:p>
    <w:p>
      <w:pPr>
        <w:spacing w:after="0" w:line="82" w:lineRule="exact"/>
        <w:rPr>
          <w:sz w:val="20"/>
          <w:szCs w:val="20"/>
          <w:color w:val="auto"/>
        </w:rPr>
      </w:pPr>
    </w:p>
    <w:p>
      <w:pPr>
        <w:ind w:left="1060" w:right="60" w:hanging="346"/>
        <w:spacing w:after="0" w:line="258" w:lineRule="auto"/>
        <w:tabs>
          <w:tab w:leader="none" w:pos="10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Reducing payments for certain imaging procedures when performed together with other imaging procedures in the same family of procedures on the same patient on the same day in the physician office and free-standing imaging facility setting;</w:t>
      </w:r>
    </w:p>
    <w:p>
      <w:pPr>
        <w:spacing w:after="0" w:line="81" w:lineRule="exact"/>
        <w:rPr>
          <w:rFonts w:ascii="Times New Roman" w:cs="Times New Roman" w:eastAsia="Times New Roman" w:hAnsi="Times New Roman"/>
          <w:sz w:val="20"/>
          <w:szCs w:val="20"/>
          <w:color w:val="auto"/>
        </w:rPr>
      </w:pPr>
    </w:p>
    <w:p>
      <w:pPr>
        <w:ind w:left="1060" w:right="60" w:hanging="346"/>
        <w:spacing w:after="0" w:line="258" w:lineRule="auto"/>
        <w:tabs>
          <w:tab w:leader="none" w:pos="10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Making significant revisions to the methodology for determining the practice expense component of the Medicare payment applicable to the physician office and free-standing imaging facility settings which results in reduced payments for certain services;</w:t>
      </w:r>
    </w:p>
    <w:p>
      <w:pPr>
        <w:spacing w:after="0" w:line="81" w:lineRule="exact"/>
        <w:rPr>
          <w:rFonts w:ascii="Times New Roman" w:cs="Times New Roman" w:eastAsia="Times New Roman" w:hAnsi="Times New Roman"/>
          <w:sz w:val="20"/>
          <w:szCs w:val="20"/>
          <w:color w:val="auto"/>
        </w:rPr>
      </w:pPr>
    </w:p>
    <w:p>
      <w:pPr>
        <w:ind w:left="1060" w:right="40" w:hanging="346"/>
        <w:spacing w:after="0" w:line="278" w:lineRule="auto"/>
        <w:tabs>
          <w:tab w:leader="none" w:pos="106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Revising payment policies and reducing payment amounts for imaging procedures performed in the hospital outpatient settings, including the new payment policy for diagnostic radiopharmaceuticals that currently provides separate payment for PYLARIFY at a rate that reflects MUC, which is lower than the rate paid during TPT Status; and</w:t>
      </w:r>
    </w:p>
    <w:p>
      <w:pPr>
        <w:spacing w:after="0" w:line="63" w:lineRule="exact"/>
        <w:rPr>
          <w:rFonts w:ascii="Times New Roman" w:cs="Times New Roman" w:eastAsia="Times New Roman" w:hAnsi="Times New Roman"/>
          <w:sz w:val="19"/>
          <w:szCs w:val="19"/>
          <w:color w:val="auto"/>
        </w:rPr>
      </w:pPr>
    </w:p>
    <w:p>
      <w:pPr>
        <w:ind w:left="1060" w:hanging="346"/>
        <w:spacing w:after="0"/>
        <w:tabs>
          <w:tab w:leader="none" w:pos="10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Reducing prospective payment levels for applicable diagnosis-related groups in the hospital inpatient setting.</w:t>
      </w:r>
    </w:p>
    <w:p>
      <w:pPr>
        <w:spacing w:after="0" w:line="240" w:lineRule="exact"/>
        <w:rPr>
          <w:sz w:val="20"/>
          <w:szCs w:val="20"/>
          <w:color w:val="auto"/>
        </w:rPr>
      </w:pPr>
    </w:p>
    <w:p>
      <w:pPr>
        <w:ind w:firstLine="441"/>
        <w:spacing w:after="0" w:line="271" w:lineRule="auto"/>
        <w:rPr>
          <w:sz w:val="20"/>
          <w:szCs w:val="20"/>
          <w:color w:val="auto"/>
        </w:rPr>
      </w:pPr>
      <w:r>
        <w:rPr>
          <w:rFonts w:ascii="Times New Roman" w:cs="Times New Roman" w:eastAsia="Times New Roman" w:hAnsi="Times New Roman"/>
          <w:sz w:val="19"/>
          <w:szCs w:val="19"/>
          <w:color w:val="auto"/>
        </w:rPr>
        <w:t>In the physician office and free-standing imaging facility setting, services provided by healthcare providers using our products are reimbursed under the Medicare physician fee schedule. Payment rates under the Medicare physician fee schedule are regularly subject to updates to effectuate various policy goals of CMS and Congress. For example, in 2022, CMS reduced Medicare fee schedule payments rates in the agency’s final rulemaking, while a larger cut was put forth in the proposed rulemaking earlier that year.</w:t>
      </w:r>
    </w:p>
    <w:p>
      <w:pPr>
        <w:sectPr>
          <w:pgSz w:w="11880" w:h="15480" w:orient="portrait"/>
          <w:cols w:equalWidth="0" w:num="1">
            <w:col w:w="10560"/>
          </w:cols>
          <w:pgMar w:left="640" w:top="622" w:right="680" w:bottom="0" w:gutter="0" w:footer="0" w:header="0"/>
        </w:sect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34</w:t>
      </w:r>
    </w:p>
    <w:p>
      <w:pPr>
        <w:sectPr>
          <w:pgSz w:w="11880" w:h="15480" w:orient="portrait"/>
          <w:cols w:equalWidth="0" w:num="1">
            <w:col w:w="10560"/>
          </w:cols>
          <w:pgMar w:left="640" w:top="622" w:right="680" w:bottom="0" w:gutter="0" w:footer="0" w:header="0"/>
          <w:type w:val="continuous"/>
        </w:sectPr>
      </w:pPr>
    </w:p>
    <w:bookmarkStart w:id="40" w:name="page41"/>
    <w:bookmarkEnd w:id="40"/>
    <w:p>
      <w:pPr>
        <w:spacing w:after="0" w:line="250" w:lineRule="auto"/>
        <w:rPr>
          <w:sz w:val="20"/>
          <w:szCs w:val="20"/>
          <w:color w:val="auto"/>
        </w:rPr>
      </w:pPr>
      <w:r>
        <w:rPr>
          <w:rFonts w:ascii="Times New Roman" w:cs="Times New Roman" w:eastAsia="Times New Roman" w:hAnsi="Times New Roman"/>
          <w:sz w:val="20"/>
          <w:szCs w:val="20"/>
          <w:color w:val="auto"/>
        </w:rPr>
        <w:t>For 2023, CMS had finalized a reduction in the Medicare fee schedule payments rates, which was revised by Congress, pursuant to the Consolidated Appropriations Act, 2023, to a lesser reduction. Additionally, since 2019, fee schedule payments have been adjusted for certain physicians based on their performance under a consolidated measurement system (that measures performance with respect to quality, resource utilization, meaningful use of certified electronic health records technology, and clinical practice improvement activities). Physicians are eligible for a bonus based on the use of certain alternative payment models designated as “advanced” by CMS. The ongoing and future impact of these changes cannot be determined at this time.</w:t>
      </w:r>
    </w:p>
    <w:p>
      <w:pPr>
        <w:spacing w:after="0" w:line="91" w:lineRule="exact"/>
        <w:rPr>
          <w:sz w:val="20"/>
          <w:szCs w:val="20"/>
          <w:color w:val="auto"/>
        </w:rPr>
      </w:pPr>
    </w:p>
    <w:p>
      <w:pPr>
        <w:ind w:right="120" w:firstLine="441"/>
        <w:spacing w:after="0" w:line="264" w:lineRule="auto"/>
        <w:rPr>
          <w:sz w:val="20"/>
          <w:szCs w:val="20"/>
          <w:color w:val="auto"/>
        </w:rPr>
      </w:pPr>
      <w:r>
        <w:rPr>
          <w:rFonts w:ascii="Times New Roman" w:cs="Times New Roman" w:eastAsia="Times New Roman" w:hAnsi="Times New Roman"/>
          <w:sz w:val="19"/>
          <w:szCs w:val="19"/>
          <w:color w:val="auto"/>
        </w:rPr>
        <w:t>We believe that Medicare changes to payment policies for imaging procedures applicable to non-hospital settings will continue to result in certain physician practices ceasing to provide these services and a further shifting of where certain medical imaging procedures are performed, from the physician office and free-standing imaging facility settings to the hospital outpatient setting. Changes applicable to Medicare payment in the hospital outpatient setting could also influence the decisions by hospital outpatient physicians to perform procedures that involve our products. Changes to the Medicare hospital outpatient prospective payment system payment rates, including reductions implemented for certain hospital outpatient sites, could influence the decisions by hospital outpatient physicians to perform procedures that involve our products and the risks discussed above with respect to separate payment for diagnostic radiopharmaceuticals in the hospital outpatient setting could also impact clinical decision-making.</w:t>
      </w:r>
    </w:p>
    <w:p>
      <w:pPr>
        <w:spacing w:after="0" w:line="77" w:lineRule="exact"/>
        <w:rPr>
          <w:sz w:val="20"/>
          <w:szCs w:val="20"/>
          <w:color w:val="auto"/>
        </w:rPr>
      </w:pPr>
    </w:p>
    <w:p>
      <w:pPr>
        <w:ind w:right="40" w:firstLine="441"/>
        <w:spacing w:after="0" w:line="250" w:lineRule="auto"/>
        <w:rPr>
          <w:sz w:val="20"/>
          <w:szCs w:val="20"/>
          <w:color w:val="auto"/>
        </w:rPr>
      </w:pPr>
      <w:r>
        <w:rPr>
          <w:rFonts w:ascii="Times New Roman" w:cs="Times New Roman" w:eastAsia="Times New Roman" w:hAnsi="Times New Roman"/>
          <w:sz w:val="20"/>
          <w:szCs w:val="20"/>
          <w:color w:val="auto"/>
        </w:rPr>
        <w:t>We also believe that these changes and their resulting pressures may incrementally reduce the overall number of diagnostic medical imaging procedures performed. These changes overall could slow the acceptance and introduction of next-generation imaging equipment into the marketplace, which, in turn, could adversely impact the future market adoption of certain of our imaging agents already in the market or currently in development. We expect that there will continue to be proposals to reduce or limit Medicare and Medicaid payment for diagnostic services, which could impact our current or potential future diagnostic and other types of products and have a material adverse effect on our business, results of operations, financial condition and cash flows.</w:t>
      </w:r>
    </w:p>
    <w:p>
      <w:pPr>
        <w:spacing w:after="0" w:line="91"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9"/>
          <w:szCs w:val="19"/>
          <w:color w:val="auto"/>
        </w:rPr>
        <w:t>Under section 218(b) of the Protecting Access to Medicare Act, beginning January 1, 2020, a professional who is ordering advanced diagnostic imaging services (which include MRI, CT, nuclear medicine (including PET) and other advanced diagnostic imaging services that the Secretary of U.S. Department of Health and Human Services (“HHS”) may specify, but not currently including echocardiography) must consult a qualified clinical decision support mechanism, as identified by HHS, to determine whether the ordered service adheres to specified appropriate use criteria (“AUC”) developed or endorsed by CMS-qualified “provider led entities”. Medicare claims for such services must include information indicating whether services ordered would adhere to specified applicable AUC. Denial of claims for failure to include AUC consultation information on the claim form was set to begin on January 1, 2022, but was not implemented by CMS. In the CY 2024 Physician Fee Schedule Final Rule, CMS determined that it was not feasible to fully operationalize the AUC program consistent with the statute within the required time frame. Accordingly, the agency finalized an indefinite pause to the AUC program and the rescission of the regulations promulgated thus far to implement the AUC program. While it is unclear when CMS will resume implementation of the AUC program, to the extent that these types of changes have the effect of reducing the aggregate number of diagnostic medical imaging procedures performed in the U.S., our business, results of operations, financial condition and cash flows could be adversely affected.</w:t>
      </w:r>
    </w:p>
    <w:p>
      <w:pPr>
        <w:spacing w:after="0" w:line="86" w:lineRule="exact"/>
        <w:rPr>
          <w:sz w:val="20"/>
          <w:szCs w:val="20"/>
          <w:color w:val="auto"/>
        </w:rPr>
      </w:pPr>
    </w:p>
    <w:p>
      <w:pPr>
        <w:ind w:right="40" w:firstLine="441"/>
        <w:spacing w:after="0" w:line="233" w:lineRule="auto"/>
        <w:rPr>
          <w:sz w:val="20"/>
          <w:szCs w:val="20"/>
          <w:color w:val="auto"/>
        </w:rPr>
      </w:pPr>
      <w:r>
        <w:rPr>
          <w:rFonts w:ascii="Times New Roman" w:cs="Times New Roman" w:eastAsia="Times New Roman" w:hAnsi="Times New Roman"/>
          <w:sz w:val="20"/>
          <w:szCs w:val="20"/>
          <w:color w:val="auto"/>
        </w:rPr>
        <w:t>Medicare coverage of PET radiopharmaceuticals has been the subject of a large number of National Coverage Determinations (“NCDs”) by CMS since 2000. Specific indications for PET imaging were covered, some through Coverage with Evidence Development. CMS’s longtime policy, however, was that a particular use of PET scans is not covered unless an NCD specifically provided that such use was covered. Effective March 7, 2013, CMS revised its policy through an NCD to allow local Medicare Administrative Contractors (“MACs”) to determine coverage within their respective jurisdictions for PET using radiopharmaceuticals for their FDA-approved labeled indications for oncologic imaging. Effective January 1, 2022, non-coverage in the absence of an NCD has also been removed for non-oncologic indications of PET radiopharmaceuticals, allowing MACs to determine coverage for these indications within their respective jurisdictions. To the extent that CMS or the MACs impose more restrictive coverage, our business, results of operations, financial condition and cash flows could be adversely affected.</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Reforms to the U.S. healthcare system may adversely affect our business.</w:t>
      </w:r>
    </w:p>
    <w:p>
      <w:pPr>
        <w:spacing w:after="0" w:line="131" w:lineRule="exact"/>
        <w:rPr>
          <w:sz w:val="20"/>
          <w:szCs w:val="20"/>
          <w:color w:val="auto"/>
        </w:rPr>
      </w:pPr>
    </w:p>
    <w:p>
      <w:pPr>
        <w:ind w:right="60" w:firstLine="441"/>
        <w:spacing w:after="0" w:line="262" w:lineRule="auto"/>
        <w:rPr>
          <w:sz w:val="20"/>
          <w:szCs w:val="20"/>
          <w:color w:val="auto"/>
        </w:rPr>
      </w:pPr>
      <w:r>
        <w:rPr>
          <w:rFonts w:ascii="Times New Roman" w:cs="Times New Roman" w:eastAsia="Times New Roman" w:hAnsi="Times New Roman"/>
          <w:sz w:val="19"/>
          <w:szCs w:val="19"/>
          <w:color w:val="auto"/>
        </w:rPr>
        <w:t>A significant portion of our patient volume is derived from U.S. government healthcare programs, principally Medicare, which are highly regulated and subject to frequent and substantial changes. The Patient Protection and Affordable Care Act, as amended by the Health Care and Education Reconciliation Act (collectively, the “Healthcare Reform Act”) substantially changed the way healthcare is financed by both governmental and private insurers. The law contains a number of provisions that affect coverage and reimbursement of drug products and medical imaging procedures in which our drug products are used and/or that could potentially reduce the aggregate number of diagnostic medical imaging procedures performed in the U.S. Subsequently, the Medicare Access and CHIP Reauthorization Act of 2015 significantly revised the methodology for updating the Medicare physician fee schedule. In 2017, Congress enacted legislation that effectively eliminated the Healthcare Reform Act’s “individual mandate” beginning in 2019. Congress continues to consider other healthcare reform legislation. There is no assurance that the Healthcare Reform Act, as currently enacted or as amended in the future, will not adversely affect our business and financial results, and we cannot predict how future federal or state legislative, judicial or administrative changes relating to healthcare reform will affect our business.</w:t>
      </w:r>
    </w:p>
    <w:p>
      <w:pPr>
        <w:sectPr>
          <w:pgSz w:w="11880" w:h="15480" w:orient="portrait"/>
          <w:cols w:equalWidth="0" w:num="1">
            <w:col w:w="10580"/>
          </w:cols>
          <w:pgMar w:left="640" w:top="622"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35</w:t>
      </w:r>
    </w:p>
    <w:p>
      <w:pPr>
        <w:sectPr>
          <w:pgSz w:w="11880" w:h="15480" w:orient="portrait"/>
          <w:cols w:equalWidth="0" w:num="1">
            <w:col w:w="10580"/>
          </w:cols>
          <w:pgMar w:left="640" w:top="622" w:right="660" w:bottom="0" w:gutter="0" w:footer="0" w:header="0"/>
          <w:type w:val="continuous"/>
        </w:sectPr>
      </w:pPr>
    </w:p>
    <w:bookmarkStart w:id="41" w:name="page42"/>
    <w:bookmarkEnd w:id="41"/>
    <w:p>
      <w:pPr>
        <w:ind w:firstLine="441"/>
        <w:spacing w:after="0" w:line="249" w:lineRule="auto"/>
        <w:rPr>
          <w:sz w:val="20"/>
          <w:szCs w:val="20"/>
          <w:color w:val="auto"/>
        </w:rPr>
      </w:pPr>
      <w:r>
        <w:rPr>
          <w:rFonts w:ascii="Times New Roman" w:cs="Times New Roman" w:eastAsia="Times New Roman" w:hAnsi="Times New Roman"/>
          <w:sz w:val="20"/>
          <w:szCs w:val="20"/>
          <w:color w:val="auto"/>
        </w:rPr>
        <w:t>In addition, other legislative changes have been proposed and adopted since the Healthcare Reform Act was enacted. The Budget Control Act of 2011 and subsequent Congressional actions includes provisions to reduce the federal deficit. These provisions have resulted in the imposition of 2% reductions in Medicare payments to providers, which went into effect on April 1, 2013 and will remain in effect through fiscal year 2030. The imposition of the 2% payment adjustment had been suspended through March 31, 2022 and went into effect as of April 1, 2022. Any significant spending reductions affecting Medicare, Medicaid or other publicly funded or subsidized health programs that may be implemented and/or any significant taxes or fees that may be imposed on us, as part of any broader deficit reduction effort or legislative replacement to the Budget Control Act, could have an adverse impact on our business, results of operations, financial condition and cash flows.</w:t>
      </w:r>
    </w:p>
    <w:p>
      <w:pPr>
        <w:spacing w:after="0" w:line="208" w:lineRule="exact"/>
        <w:rPr>
          <w:sz w:val="20"/>
          <w:szCs w:val="20"/>
          <w:color w:val="auto"/>
        </w:rPr>
      </w:pPr>
    </w:p>
    <w:p>
      <w:pPr>
        <w:ind w:right="40" w:firstLine="441"/>
        <w:spacing w:after="0" w:line="250" w:lineRule="auto"/>
        <w:rPr>
          <w:sz w:val="20"/>
          <w:szCs w:val="20"/>
          <w:color w:val="auto"/>
        </w:rPr>
      </w:pPr>
      <w:r>
        <w:rPr>
          <w:rFonts w:ascii="Times New Roman" w:cs="Times New Roman" w:eastAsia="Times New Roman" w:hAnsi="Times New Roman"/>
          <w:sz w:val="20"/>
          <w:szCs w:val="20"/>
          <w:color w:val="auto"/>
        </w:rPr>
        <w:t>Further, changes in payor mix and reimbursement by private third-party payors may also affect our business. Rates paid by some private third-party payors are based, in part, on established physician, clinic and hospital charges and are generally higher than Medicare payment rates. Reductions in the amount of reimbursement paid for diagnostic medical imaging procedures, including the elimination of any additional payment such as TPT Status, and changes in the mix of our patients between non-governmental payors and government sponsored healthcare programs and among different types of non-government payor sources, could have a material adverse effect on our business, results of operations, financial condition and cash flows.</w:t>
      </w:r>
    </w:p>
    <w:p>
      <w:pPr>
        <w:spacing w:after="0" w:line="209" w:lineRule="exact"/>
        <w:rPr>
          <w:sz w:val="20"/>
          <w:szCs w:val="20"/>
          <w:color w:val="auto"/>
        </w:rPr>
      </w:pPr>
    </w:p>
    <w:p>
      <w:pPr>
        <w:ind w:right="20" w:firstLine="441"/>
        <w:spacing w:after="0" w:line="252" w:lineRule="auto"/>
        <w:rPr>
          <w:sz w:val="20"/>
          <w:szCs w:val="20"/>
          <w:color w:val="auto"/>
        </w:rPr>
      </w:pPr>
      <w:r>
        <w:rPr>
          <w:rFonts w:ascii="Times New Roman" w:cs="Times New Roman" w:eastAsia="Times New Roman" w:hAnsi="Times New Roman"/>
          <w:sz w:val="20"/>
          <w:szCs w:val="20"/>
          <w:color w:val="auto"/>
        </w:rPr>
        <w:t>The full impact on our business of healthcare reforms and other new laws, or changes in existing laws, is uncertain. Nor is it clear whether additional legislative changes will be adopted or how those changes would affect our industry in general or our ability to successfully commercialize our products or develop or commercialize new products. It is also unclear exactly how the results of the 2024 election will impact healthcare reform measures of the previous administration or whether the new administration could impose other reform efforts, including what, if any, impact this will have on our business.</w:t>
      </w:r>
    </w:p>
    <w:p>
      <w:pPr>
        <w:spacing w:after="0" w:line="196" w:lineRule="exact"/>
        <w:rPr>
          <w:sz w:val="20"/>
          <w:szCs w:val="20"/>
          <w:color w:val="auto"/>
        </w:rPr>
      </w:pPr>
    </w:p>
    <w:p>
      <w:pPr>
        <w:ind w:right="500" w:firstLine="441"/>
        <w:spacing w:after="0" w:line="261" w:lineRule="auto"/>
        <w:rPr>
          <w:sz w:val="20"/>
          <w:szCs w:val="20"/>
          <w:color w:val="auto"/>
        </w:rPr>
      </w:pPr>
      <w:r>
        <w:rPr>
          <w:rFonts w:ascii="Times New Roman" w:cs="Times New Roman" w:eastAsia="Times New Roman" w:hAnsi="Times New Roman"/>
          <w:sz w:val="20"/>
          <w:szCs w:val="20"/>
          <w:b w:val="1"/>
          <w:bCs w:val="1"/>
          <w:i w:val="1"/>
          <w:iCs w:val="1"/>
          <w:color w:val="auto"/>
        </w:rPr>
        <w:t>Our business and industry are subject to complex and costly regulations. If government regulations are interpreted or enforced in a manner adverse to us or our business, we may be subject to enforcement actions, penalties, exclusion and other material limitations on our operations.</w:t>
      </w:r>
    </w:p>
    <w:p>
      <w:pPr>
        <w:spacing w:after="0" w:line="81"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9"/>
          <w:szCs w:val="19"/>
          <w:color w:val="auto"/>
        </w:rPr>
        <w:t>Both before and after the approval of our products in development, we, our products, development products, operations, facilities, suppliers, distributors, contract manufacturers, contract research organizations and contract testing laboratories are subject to extensive and, in certain circumstances, expanding regulation by federal, state and local government agencies in the U.S., as well as non-U.S. and transnational laws and regulations, with regulations differing from country to country and even state to state, including, among other things, anti-trust and competition laws and regulations, and data privacy laws and regulations such as the General Data Protection Regulation in the European Union and the California Consumer Privacy Act and the California Privacy Rights Act. In the U.S., the FDA regulates, among other things, the pre-clinical testing, clinical trials, manufacturing, safety, efficacy, potency, labeling, storage, record keeping, quality systems, advertising, promotion, sale, distribution, and import and export of drug products. We are required to register our business for permits and/or licenses with, and comply with the stringent requirements of the FDA, the Nuclear Regulatory Commission, the HHS, Health Canada, the EMA, the U.K. Medicines and Healthcare Products Regulatory Agency (“MHRA”), the National Medical Products Administration, state and provincial boards of pharmacy, state and provincial health departments and other federal, state and provincial agencies. Violation of any of these regulatory schemes, individually or collectively, could disrupt our business and have a material adverse effect on our business, results of operations, financial condition and cash flows.</w:t>
      </w:r>
    </w:p>
    <w:p>
      <w:pPr>
        <w:spacing w:after="0" w:line="204" w:lineRule="exact"/>
        <w:rPr>
          <w:sz w:val="20"/>
          <w:szCs w:val="20"/>
          <w:color w:val="auto"/>
        </w:rPr>
      </w:pPr>
    </w:p>
    <w:p>
      <w:pPr>
        <w:ind w:firstLine="441"/>
        <w:spacing w:after="0" w:line="247" w:lineRule="auto"/>
        <w:rPr>
          <w:sz w:val="20"/>
          <w:szCs w:val="20"/>
          <w:color w:val="auto"/>
        </w:rPr>
      </w:pPr>
      <w:r>
        <w:rPr>
          <w:rFonts w:ascii="Times New Roman" w:cs="Times New Roman" w:eastAsia="Times New Roman" w:hAnsi="Times New Roman"/>
          <w:sz w:val="20"/>
          <w:szCs w:val="20"/>
          <w:color w:val="auto"/>
        </w:rPr>
        <w:t>Under U.S. law, for example, we are required to report certain adverse events and production problems, if any, to the FDA or other federal or state regulators. We also have similar adverse event and production reporting obligations outside of the U.S., including to the EMA and MHRA. Additionally, we must comply with requirements concerning advertising and promotion for our products, including the prohibition on the promotion of our products for indications for which they have not been approved by the FDA or a so-called “off-label use” or promotion that is inconsistent with the approved labeling. If the FDA determines that our promotional materials constitute unlawful promotion, it could request that we modify our promotional materials or subject us to regulatory or enforcement actions. Also, quality control and manufacturing procedures at our own facility and at third-party suppliers must conform to current Good Manufacturing Practices (“cGMP”) regulations and other applicable law after approval, and the FDA periodically inspects manufacturing facilities to assess compliance with cGMPs and other applicable law, and, from time to time, makes those cGMPs more stringent. Accordingly, we and others with whom we work must expend time, money, and effort in all areas of regulatory compliance, including manufacturing, production and quality control. If in the future issues arise at our own manufacturing facility or at a third-party manufacturer, the FDA could take regulatory action which could limit or suspend the ability to manufacture our products or have any additional products approved at the relevant facility for manufacture until the issues are resolved and remediated. Such a limitation or suspension could have a material adverse effect on our business, results of operations, financial condition and cash flows.</w:t>
      </w:r>
    </w:p>
    <w:p>
      <w:pPr>
        <w:spacing w:after="0" w:line="213" w:lineRule="exact"/>
        <w:rPr>
          <w:sz w:val="20"/>
          <w:szCs w:val="20"/>
          <w:color w:val="auto"/>
        </w:rPr>
      </w:pPr>
    </w:p>
    <w:p>
      <w:pPr>
        <w:jc w:val="both"/>
        <w:ind w:right="60" w:firstLine="441"/>
        <w:spacing w:after="0" w:line="258" w:lineRule="auto"/>
        <w:rPr>
          <w:sz w:val="20"/>
          <w:szCs w:val="20"/>
          <w:color w:val="auto"/>
        </w:rPr>
      </w:pPr>
      <w:r>
        <w:rPr>
          <w:rFonts w:ascii="Times New Roman" w:cs="Times New Roman" w:eastAsia="Times New Roman" w:hAnsi="Times New Roman"/>
          <w:sz w:val="20"/>
          <w:szCs w:val="20"/>
          <w:color w:val="auto"/>
        </w:rPr>
        <w:t>We are also subject to laws and regulations that govern financial and other arrangements between pharmaceutical manufacturers and healthcare providers, including federal and state anti-kickback statutes, federal and state false claims laws and regulations, federal and state “sunshine” laws and regulations and other fraud and abuse laws and regulations.</w:t>
      </w:r>
    </w:p>
    <w:p>
      <w:pPr>
        <w:sectPr>
          <w:pgSz w:w="11880" w:h="15480" w:orient="portrait"/>
          <w:cols w:equalWidth="0" w:num="1">
            <w:col w:w="10580"/>
          </w:cols>
          <w:pgMar w:left="640" w:top="622" w:right="660" w:bottom="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36</w:t>
      </w:r>
    </w:p>
    <w:p>
      <w:pPr>
        <w:sectPr>
          <w:pgSz w:w="11880" w:h="15480" w:orient="portrait"/>
          <w:cols w:equalWidth="0" w:num="1">
            <w:col w:w="10580"/>
          </w:cols>
          <w:pgMar w:left="640" w:top="622" w:right="660" w:bottom="0" w:gutter="0" w:footer="0" w:header="0"/>
          <w:type w:val="continuous"/>
        </w:sectPr>
      </w:pPr>
    </w:p>
    <w:bookmarkStart w:id="42" w:name="page43"/>
    <w:bookmarkEnd w:id="42"/>
    <w:p>
      <w:pPr>
        <w:ind w:right="40" w:firstLine="441"/>
        <w:spacing w:after="0" w:line="248" w:lineRule="auto"/>
        <w:rPr>
          <w:sz w:val="20"/>
          <w:szCs w:val="20"/>
          <w:color w:val="auto"/>
        </w:rPr>
      </w:pPr>
      <w:r>
        <w:rPr>
          <w:rFonts w:ascii="Times New Roman" w:cs="Times New Roman" w:eastAsia="Times New Roman" w:hAnsi="Times New Roman"/>
          <w:sz w:val="20"/>
          <w:szCs w:val="20"/>
          <w:color w:val="auto"/>
        </w:rPr>
        <w:t>We must offer discounted pricing or rebates on purchases of pharmaceutical products under various federal and state healthcare programs, such as the Medicaid drug rebate program, the 340B drug pricing program and the Medicare Part D Program. We must also report specific prices and price-related information to government agencies under healthcare programs, such as the Medicaid drug rebate program and Medicare Part B. Our Medicaid Drug Rebate agreements require us to report certain price information to the federal government. Determination of the rebate amount that we pay to state Medicaid programs for our products, of prices charged to government and certain private payors for our products, or of amounts paid for our products under government healthcare programs, depends upon information reported by us to the government. If we provide customers or government officials with inaccurate information about the products’ pricing or eligibility for coverage, or the products fail to satisfy coverage requirements, we could be terminated from the rebate program, be excluded from participation in government healthcare programs, or be subject to potential liability under the False Claims Act or other laws and regulations.</w:t>
      </w:r>
    </w:p>
    <w:p>
      <w:pPr>
        <w:spacing w:after="0" w:line="211" w:lineRule="exact"/>
        <w:rPr>
          <w:sz w:val="20"/>
          <w:szCs w:val="20"/>
          <w:color w:val="auto"/>
        </w:rPr>
      </w:pPr>
    </w:p>
    <w:p>
      <w:pPr>
        <w:jc w:val="both"/>
        <w:ind w:right="120" w:firstLine="441"/>
        <w:spacing w:after="0" w:line="258" w:lineRule="auto"/>
        <w:rPr>
          <w:sz w:val="20"/>
          <w:szCs w:val="20"/>
          <w:color w:val="auto"/>
        </w:rPr>
      </w:pPr>
      <w:r>
        <w:rPr>
          <w:rFonts w:ascii="Times New Roman" w:cs="Times New Roman" w:eastAsia="Times New Roman" w:hAnsi="Times New Roman"/>
          <w:sz w:val="20"/>
          <w:szCs w:val="20"/>
          <w:color w:val="auto"/>
        </w:rPr>
        <w:t>Failure to comply with other requirements and restrictions placed upon us or our third-party manufacturers or suppliers by laws and regulations can result in fines, civil and criminal penalties, exclusion from federal healthcare programs and debarment. Possible consequences of those actions could include:</w:t>
      </w:r>
    </w:p>
    <w:p>
      <w:pPr>
        <w:spacing w:after="0" w:line="82" w:lineRule="exact"/>
        <w:rPr>
          <w:sz w:val="20"/>
          <w:szCs w:val="20"/>
          <w:color w:val="auto"/>
        </w:rPr>
      </w:pPr>
    </w:p>
    <w:p>
      <w:pPr>
        <w:ind w:left="1060" w:hanging="346"/>
        <w:spacing w:after="0"/>
        <w:tabs>
          <w:tab w:leader="none" w:pos="10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Substantial modifications to our business practices and operations;</w:t>
      </w:r>
    </w:p>
    <w:p>
      <w:pPr>
        <w:spacing w:after="0" w:line="122" w:lineRule="exact"/>
        <w:rPr>
          <w:rFonts w:ascii="Times New Roman" w:cs="Times New Roman" w:eastAsia="Times New Roman" w:hAnsi="Times New Roman"/>
          <w:sz w:val="20"/>
          <w:szCs w:val="20"/>
          <w:color w:val="auto"/>
        </w:rPr>
      </w:pPr>
    </w:p>
    <w:p>
      <w:pPr>
        <w:ind w:left="1060" w:right="100" w:hanging="346"/>
        <w:spacing w:after="0" w:line="271" w:lineRule="auto"/>
        <w:tabs>
          <w:tab w:leader="none" w:pos="10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Significantly reduced demand for our products (if products become ineligible for reimbursement under federal and state healthcare programs);</w:t>
      </w:r>
    </w:p>
    <w:p>
      <w:pPr>
        <w:spacing w:after="0" w:line="68" w:lineRule="exact"/>
        <w:rPr>
          <w:rFonts w:ascii="Times New Roman" w:cs="Times New Roman" w:eastAsia="Times New Roman" w:hAnsi="Times New Roman"/>
          <w:sz w:val="20"/>
          <w:szCs w:val="20"/>
          <w:color w:val="auto"/>
        </w:rPr>
      </w:pPr>
    </w:p>
    <w:p>
      <w:pPr>
        <w:ind w:left="1060" w:right="460" w:hanging="346"/>
        <w:spacing w:after="0" w:line="271" w:lineRule="auto"/>
        <w:tabs>
          <w:tab w:leader="none" w:pos="10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total or partial shutdown of production in one or more of the facilities where our products are produced while the alleged violation is being remediated;</w:t>
      </w:r>
    </w:p>
    <w:p>
      <w:pPr>
        <w:spacing w:after="0" w:line="68"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or the inability to obtain future pre-market clearances or approvals; and</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Withdrawals or suspensions of our current products from the market.</w:t>
      </w:r>
    </w:p>
    <w:p>
      <w:pPr>
        <w:spacing w:after="0" w:line="232" w:lineRule="exact"/>
        <w:rPr>
          <w:sz w:val="20"/>
          <w:szCs w:val="20"/>
          <w:color w:val="auto"/>
        </w:rPr>
      </w:pPr>
    </w:p>
    <w:p>
      <w:pPr>
        <w:ind w:right="640" w:firstLine="441"/>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marketing and sales practices may contain risks that could result in significant liability, require us to change our business practices, and restrict our operations in the future.</w:t>
      </w:r>
    </w:p>
    <w:p>
      <w:pPr>
        <w:spacing w:after="0" w:line="65" w:lineRule="exact"/>
        <w:rPr>
          <w:sz w:val="20"/>
          <w:szCs w:val="20"/>
          <w:color w:val="auto"/>
        </w:rPr>
      </w:pPr>
    </w:p>
    <w:p>
      <w:pPr>
        <w:ind w:right="280" w:firstLine="441"/>
        <w:spacing w:after="0" w:line="252" w:lineRule="auto"/>
        <w:rPr>
          <w:sz w:val="20"/>
          <w:szCs w:val="20"/>
          <w:color w:val="auto"/>
        </w:rPr>
      </w:pPr>
      <w:r>
        <w:rPr>
          <w:rFonts w:ascii="Times New Roman" w:cs="Times New Roman" w:eastAsia="Times New Roman" w:hAnsi="Times New Roman"/>
          <w:sz w:val="20"/>
          <w:szCs w:val="20"/>
          <w:color w:val="auto"/>
        </w:rPr>
        <w:t>We are subject to numerous domestic (federal, state and local) and foreign laws addressing fraud and abuse in the healthcare industry, including the FCA and federal Anti-Kickback Statute, self-referral laws, the Foreign Corrupt Practices Act (“FCPA”), the U.K. Bribery Act (the “Bribery Act”), FDA promotional restrictions, the federal disclosure (sunshine) law and state marketing and disclosure (sunshine) laws, as well as in other countries where we do business and where our products, including investigational products, may be used.</w:t>
      </w:r>
    </w:p>
    <w:p>
      <w:pPr>
        <w:spacing w:after="0" w:line="86" w:lineRule="exact"/>
        <w:rPr>
          <w:sz w:val="20"/>
          <w:szCs w:val="20"/>
          <w:color w:val="auto"/>
        </w:rPr>
      </w:pPr>
    </w:p>
    <w:p>
      <w:pPr>
        <w:ind w:right="120" w:firstLine="441"/>
        <w:spacing w:after="0" w:line="271" w:lineRule="auto"/>
        <w:rPr>
          <w:sz w:val="20"/>
          <w:szCs w:val="20"/>
          <w:color w:val="auto"/>
        </w:rPr>
      </w:pPr>
      <w:r>
        <w:rPr>
          <w:rFonts w:ascii="Times New Roman" w:cs="Times New Roman" w:eastAsia="Times New Roman" w:hAnsi="Times New Roman"/>
          <w:sz w:val="20"/>
          <w:szCs w:val="20"/>
          <w:color w:val="auto"/>
        </w:rPr>
        <w:t>The FCPA, the Bribery Act and similar worldwide anti-bribery laws in non-U.S. jurisdictions generally prohibit companies and their intermediaries from making improper payments to non-U.S. officials for the purpose of obtaining or retaining business.</w:t>
      </w:r>
    </w:p>
    <w:p>
      <w:pPr>
        <w:spacing w:after="0" w:line="69" w:lineRule="exact"/>
        <w:rPr>
          <w:sz w:val="20"/>
          <w:szCs w:val="20"/>
          <w:color w:val="auto"/>
        </w:rPr>
      </w:pPr>
    </w:p>
    <w:p>
      <w:pPr>
        <w:ind w:right="20" w:firstLine="441"/>
        <w:spacing w:after="0" w:line="249" w:lineRule="auto"/>
        <w:rPr>
          <w:sz w:val="20"/>
          <w:szCs w:val="20"/>
          <w:color w:val="auto"/>
        </w:rPr>
      </w:pPr>
      <w:r>
        <w:rPr>
          <w:rFonts w:ascii="Times New Roman" w:cs="Times New Roman" w:eastAsia="Times New Roman" w:hAnsi="Times New Roman"/>
          <w:sz w:val="20"/>
          <w:szCs w:val="20"/>
          <w:color w:val="auto"/>
        </w:rPr>
        <w:t>The FCPA prohibits us from providing anything of value to foreign officials for the purposes of obtaining or retaining business or securing any improper business advantage. It also requires us to keep books and records that accurately and fairly reflect our transactions. Because of the predominance of government-sponsored healthcare systems around the world, many of our customer relationships outside of the U.S. are, either directly or indirectly, with governmental entities and are therefore subject to the FCPA and similar anti-bribery laws in non-U.S. jurisdictions. In addition, the provisions of the Bribery Act extend beyond bribery of foreign public officials and are more onerous than the FCPA in a number of other respects, including jurisdiction, non-exemption of facilitation payments and penalties.</w:t>
      </w:r>
    </w:p>
    <w:p>
      <w:pPr>
        <w:spacing w:after="0" w:line="94" w:lineRule="exact"/>
        <w:rPr>
          <w:sz w:val="20"/>
          <w:szCs w:val="20"/>
          <w:color w:val="auto"/>
        </w:rPr>
      </w:pPr>
    </w:p>
    <w:p>
      <w:pPr>
        <w:ind w:firstLine="441"/>
        <w:spacing w:after="0" w:line="247" w:lineRule="auto"/>
        <w:rPr>
          <w:sz w:val="20"/>
          <w:szCs w:val="20"/>
          <w:color w:val="auto"/>
        </w:rPr>
      </w:pPr>
      <w:r>
        <w:rPr>
          <w:rFonts w:ascii="Times New Roman" w:cs="Times New Roman" w:eastAsia="Times New Roman" w:hAnsi="Times New Roman"/>
          <w:sz w:val="20"/>
          <w:szCs w:val="20"/>
          <w:color w:val="auto"/>
        </w:rPr>
        <w:t>Violations of these laws are punishable by criminal or civil sanctions, including substantial fines, imprisonment and exclusion from participation in healthcare programs such as Medicare and Medicaid, as well as health programs outside the U.S., and even settlement of alleged violations can result in the imposition of corporate integrity agreements that could subject us to additional compliance and reporting requirements and impact our business practices. These laws and regulations are complex and subject to changing interpretation and application, which could restrict our sales or marketing practices. Even minor and inadvertent irregularities could potentially give rise to a charge that the law has been violated. Our policies mandate compliance with these anti-bribery laws. We operate in many parts of the world that have experienced governmental corruption to some degree, and in certain circumstances strict compliance with anti-bribery laws may conflict with local customs and practices. Despite our training and compliance programs, our internal control policies and procedures may not always protect us from reckless or criminal acts committed by our employees or agents. Additionally, if there is a change in law, regulation or administrative or judicial interpretations, we may have to change one or more of our business practices to be in compliance with these laws. Required changes could be costly and time consuming.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Risks Related to Our Intellectual Property and Legal Proceedings</w:t>
      </w:r>
    </w:p>
    <w:p>
      <w:pPr>
        <w:spacing w:after="0" w:line="240" w:lineRule="exact"/>
        <w:rPr>
          <w:sz w:val="20"/>
          <w:szCs w:val="20"/>
          <w:color w:val="auto"/>
        </w:rPr>
      </w:pPr>
    </w:p>
    <w:p>
      <w:pPr>
        <w:ind w:right="580" w:firstLine="441"/>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are involved in various legal proceedings that are uncertain, costly and time-consuming and could have a material adverse impact on our business, financial condition and results of operations.</w:t>
      </w:r>
    </w:p>
    <w:p>
      <w:pPr>
        <w:sectPr>
          <w:pgSz w:w="11880" w:h="15480" w:orient="portrait"/>
          <w:cols w:equalWidth="0" w:num="1">
            <w:col w:w="10560"/>
          </w:cols>
          <w:pgMar w:left="640" w:top="622" w:right="680" w:bottom="0" w:gutter="0" w:footer="0" w:header="0"/>
        </w:sect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37</w:t>
      </w:r>
    </w:p>
    <w:p>
      <w:pPr>
        <w:sectPr>
          <w:pgSz w:w="11880" w:h="15480" w:orient="portrait"/>
          <w:cols w:equalWidth="0" w:num="1">
            <w:col w:w="10560"/>
          </w:cols>
          <w:pgMar w:left="640" w:top="622" w:right="680" w:bottom="0" w:gutter="0" w:footer="0" w:header="0"/>
          <w:type w:val="continuous"/>
        </w:sectPr>
      </w:pPr>
    </w:p>
    <w:bookmarkStart w:id="43" w:name="page44"/>
    <w:bookmarkEnd w:id="43"/>
    <w:p>
      <w:pPr>
        <w:ind w:right="80" w:firstLine="441"/>
        <w:spacing w:after="0" w:line="249" w:lineRule="auto"/>
        <w:rPr>
          <w:sz w:val="20"/>
          <w:szCs w:val="20"/>
          <w:color w:val="auto"/>
        </w:rPr>
      </w:pPr>
      <w:r>
        <w:rPr>
          <w:rFonts w:ascii="Times New Roman" w:cs="Times New Roman" w:eastAsia="Times New Roman" w:hAnsi="Times New Roman"/>
          <w:sz w:val="20"/>
          <w:szCs w:val="20"/>
          <w:color w:val="auto"/>
        </w:rPr>
        <w:t>From time to time we are involved in legal proceedings and disputes, such as the PNT2003 Litigation (as defined below), and may be involved in litigation in the future. Legal proceedings are complex and extended and occupy the resources of our management and employees. Legal proceedings are also costly to prosecute and defend and may involve substantial awards or damages payable by us if not found in our favor. We may be required to pay substantial amounts or grant certain rights on unfavorable terms in order to settle such proceedings. Defending against or settling legal proceedings and any unfavorable legal decisions, settlements or orders could have a material adverse effect on our business, financial condition and results of operations and could cause the market value of our common stock to decline.</w:t>
      </w:r>
    </w:p>
    <w:p>
      <w:pPr>
        <w:spacing w:after="0" w:line="94"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20"/>
          <w:szCs w:val="20"/>
          <w:color w:val="auto"/>
        </w:rPr>
        <w:t>For example, on January 26, 2024, we were sued in the United States District Court for the District of Delaware by Advanced Accelerator Applications USA, Inc. and Advanced Accelerator Applications SA, each a Novartis entity, for patent infringement in response to the filing of our ANDA for PNT2003 and Paragraph IV certification, consistent with the process established by the Hatch-Waxman Act.</w:t>
      </w:r>
    </w:p>
    <w:p>
      <w:pPr>
        <w:spacing w:after="0" w:line="85" w:lineRule="exact"/>
        <w:rPr>
          <w:sz w:val="20"/>
          <w:szCs w:val="20"/>
          <w:color w:val="auto"/>
        </w:rPr>
      </w:pPr>
    </w:p>
    <w:p>
      <w:pPr>
        <w:ind w:right="100" w:firstLine="441"/>
        <w:spacing w:after="0" w:line="268" w:lineRule="auto"/>
        <w:rPr>
          <w:sz w:val="20"/>
          <w:szCs w:val="20"/>
          <w:color w:val="auto"/>
        </w:rPr>
      </w:pPr>
      <w:r>
        <w:rPr>
          <w:rFonts w:ascii="Times New Roman" w:cs="Times New Roman" w:eastAsia="Times New Roman" w:hAnsi="Times New Roman"/>
          <w:sz w:val="19"/>
          <w:szCs w:val="19"/>
          <w:color w:val="auto"/>
        </w:rPr>
        <w:t>Similarly, in 2024 we filed a patent infringement lawsuit against a healthcare-related imaging software developer, and that developer filed a motion to dismiss the case based on grounds of invalidity for certain patents and failure to state a claim for infringement for other patents. The court dismissed the developer’s motion to dismiss as to invalidity, and granted the motion as to certain allegations of infringement. While we believe it is important to vigorously defend our patents, such defense may be costly and time-consuming and we cannot predict the path that this or any other litigation may take or what the potential outcome may be.</w:t>
      </w:r>
    </w:p>
    <w:p>
      <w:pPr>
        <w:spacing w:after="0" w:line="183"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20"/>
          <w:szCs w:val="20"/>
          <w:b w:val="1"/>
          <w:bCs w:val="1"/>
          <w:i w:val="1"/>
          <w:iCs w:val="1"/>
          <w:color w:val="auto"/>
        </w:rPr>
        <w:t>We, or our business partners, may be subject to claims that we, or our partners, have infringed, misappropriated or otherwise violated the patent or other intellectual property rights of a third party. The outcome of any of these claims is uncertain and any unfavorable result could adversely affect our business, financial condition and results of operations.</w:t>
      </w:r>
    </w:p>
    <w:p>
      <w:pPr>
        <w:spacing w:after="0" w:line="81" w:lineRule="exact"/>
        <w:rPr>
          <w:sz w:val="20"/>
          <w:szCs w:val="20"/>
          <w:color w:val="auto"/>
        </w:rPr>
      </w:pPr>
    </w:p>
    <w:p>
      <w:pPr>
        <w:ind w:right="160" w:firstLine="441"/>
        <w:spacing w:after="0" w:line="265" w:lineRule="auto"/>
        <w:rPr>
          <w:sz w:val="20"/>
          <w:szCs w:val="20"/>
          <w:color w:val="auto"/>
        </w:rPr>
      </w:pPr>
      <w:r>
        <w:rPr>
          <w:rFonts w:ascii="Times New Roman" w:cs="Times New Roman" w:eastAsia="Times New Roman" w:hAnsi="Times New Roman"/>
          <w:sz w:val="19"/>
          <w:szCs w:val="19"/>
          <w:color w:val="auto"/>
        </w:rPr>
        <w:t>We, or our business partners, may be subject to claims by third parties that we, or our partners, have infringed, misappropriated or otherwise violated third-party intellectual property rights. We are aware of intellectual property rights held by third parties that relate to products or technologies we are developing. For example, we are aware of other groups investigating PSMA or related compounds and monoclonal antibodies directed at PSMA, and PSMA-targeted imaging agents and therapeutics, and of patents held, and patent applications filed, by these groups in those areas. While the validity of these issued patents, the patentability of pending patent applications and the applicability of any of them to our products and programs are uncertain, if asserted against us or our partners, any related patent or other intellectual property rights could adversely affect our ability to commercialize our products.</w:t>
      </w:r>
    </w:p>
    <w:p>
      <w:pPr>
        <w:spacing w:after="0" w:line="75" w:lineRule="exact"/>
        <w:rPr>
          <w:sz w:val="20"/>
          <w:szCs w:val="20"/>
          <w:color w:val="auto"/>
        </w:rPr>
      </w:pPr>
    </w:p>
    <w:p>
      <w:pPr>
        <w:ind w:firstLine="441"/>
        <w:spacing w:after="0" w:line="247" w:lineRule="auto"/>
        <w:rPr>
          <w:sz w:val="20"/>
          <w:szCs w:val="20"/>
          <w:color w:val="auto"/>
        </w:rPr>
      </w:pPr>
      <w:r>
        <w:rPr>
          <w:rFonts w:ascii="Times New Roman" w:cs="Times New Roman" w:eastAsia="Times New Roman" w:hAnsi="Times New Roman"/>
          <w:sz w:val="20"/>
          <w:szCs w:val="20"/>
          <w:color w:val="auto"/>
        </w:rPr>
        <w:t>In particular, the pharmaceutical and medical device industries historically have generated substantial litigation concerning the manufacture, use and sale of products, and we expect this litigation activity to continue. As a result, we may be subject to litigation over infringement claims regarding the products we manufacture or distribute or intend to manufacture or distribute. For example, on January 26, 2024, we were sued in the United States District Court for the District of Delaware by Advanced Accelerator Applications USA, Inc. and Advanced Accelerator Applications SA, each a Novartis entity, for patent infringement in response to the filing of our ANDA for PNT2003 and Paragraph IV certification, consistent with the process established by the Hatch-Waxman Act (the “PNT2003 Litigation”). This type of litigation can be costly and time consuming and could divert management’s attention and resources, generate significant expenses, damage payments (potentially including treble damages) or restrictions or prohibitions on our use of our technology, which could adversely affect our business, results of operations, financial condition and cash flows. In addition, if we or one of our partners are found to be infringing on proprietary rights of others, we may be required to develop non-infringing technology, obtain a license (which may not be available on reasonable terms, or at all), make substantial one-time or ongoing royalty payments, or cease making, using and/or selling the infringing products, any of which could have a material adverse effect on our business, results of operations, financial condition and cash flows.</w:t>
      </w:r>
    </w:p>
    <w:p>
      <w:pPr>
        <w:spacing w:after="0" w:line="98" w:lineRule="exact"/>
        <w:rPr>
          <w:sz w:val="20"/>
          <w:szCs w:val="20"/>
          <w:color w:val="auto"/>
        </w:rPr>
      </w:pPr>
    </w:p>
    <w:p>
      <w:pPr>
        <w:ind w:right="180" w:firstLine="441"/>
        <w:spacing w:after="0" w:line="235" w:lineRule="auto"/>
        <w:rPr>
          <w:sz w:val="20"/>
          <w:szCs w:val="20"/>
          <w:color w:val="auto"/>
        </w:rPr>
      </w:pPr>
      <w:r>
        <w:rPr>
          <w:rFonts w:ascii="Times New Roman" w:cs="Times New Roman" w:eastAsia="Times New Roman" w:hAnsi="Times New Roman"/>
          <w:sz w:val="20"/>
          <w:szCs w:val="20"/>
          <w:color w:val="auto"/>
        </w:rPr>
        <w:t>Similarly, in June of 2024, Endocyte, Inc. (“Endocyte”), Novartis and Purdue Research Foundation sued POINT Biopharma Global Inc. (“POINT”) and Lilly alleging that POINT’s manufacturing and sale of PNT2002 infringes an Endocyte patent that discloses PSMA-binding conjugates useful for delivery targeted therapeutic, diagnostic and imaging agents, including radiopharmaceuticals. While we have not been named as a party to the lawsuit, if POINT is found to be infringing on proprietary rights of Endocyte, it could prevent or result in a delay in our development and commercialization of PNT2002 or otherwise have an adverse effect on our business, results of operations, financial condition and cash flows.</w:t>
      </w:r>
    </w:p>
    <w:p>
      <w:pPr>
        <w:spacing w:after="0" w:line="84" w:lineRule="exact"/>
        <w:rPr>
          <w:sz w:val="20"/>
          <w:szCs w:val="20"/>
          <w:color w:val="auto"/>
        </w:rPr>
      </w:pPr>
    </w:p>
    <w:p>
      <w:pPr>
        <w:ind w:right="20" w:firstLine="441"/>
        <w:spacing w:after="0" w:line="263" w:lineRule="auto"/>
        <w:rPr>
          <w:sz w:val="20"/>
          <w:szCs w:val="20"/>
          <w:color w:val="auto"/>
        </w:rPr>
      </w:pPr>
      <w:r>
        <w:rPr>
          <w:rFonts w:ascii="Times New Roman" w:cs="Times New Roman" w:eastAsia="Times New Roman" w:hAnsi="Times New Roman"/>
          <w:sz w:val="19"/>
          <w:szCs w:val="19"/>
          <w:color w:val="auto"/>
        </w:rPr>
        <w:t>In addition, in the U.S., it has become increasingly common for patent infringement actions to prompt claims that antitrust laws have been violated during the prosecution of the patent or during litigation involving the defense of that patent. Such claims by direct and indirect purchasers and other payors are typically filed as class actions. The relief sought may include treble damages and restitution claims. Similarly, antitrust claims may be brought by government entities or private parties following settlement of patent litigation, alleging that such settlements are anti-competitive and in violation of antitrust laws. In the U.S. and Europe, regulatory authorities have continued to challenge as anti-competitive so-called “reverse payment” settlements between branded and generic drug manufacturers. We may also be subject to other antitrust litigation involving competition claims unrelated to patent infringement and prosecution. A successful antitrust claim by a private party or government entity against us could have a material adverse effect on our business, financial condition and results of operations and could cause the market value of our common stock to decline.</w:t>
      </w:r>
    </w:p>
    <w:p>
      <w:pPr>
        <w:sectPr>
          <w:pgSz w:w="11880" w:h="15480" w:orient="portrait"/>
          <w:cols w:equalWidth="0" w:num="1">
            <w:col w:w="10580"/>
          </w:cols>
          <w:pgMar w:left="640" w:top="857" w:right="660" w:bottom="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38</w:t>
      </w:r>
    </w:p>
    <w:p>
      <w:pPr>
        <w:sectPr>
          <w:pgSz w:w="11880" w:h="15480" w:orient="portrait"/>
          <w:cols w:equalWidth="0" w:num="1">
            <w:col w:w="10580"/>
          </w:cols>
          <w:pgMar w:left="640" w:top="857" w:right="660" w:bottom="0" w:gutter="0" w:footer="0" w:header="0"/>
          <w:type w:val="continuous"/>
        </w:sectPr>
      </w:pPr>
    </w:p>
    <w:bookmarkStart w:id="44" w:name="page45"/>
    <w:bookmarkEnd w:id="44"/>
    <w:p>
      <w:pPr>
        <w:ind w:right="80" w:firstLine="441"/>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protect our intellectual property, our competitors could develop and market products with features similar to our products, and demand for our products may decline.</w:t>
      </w:r>
    </w:p>
    <w:p>
      <w:pPr>
        <w:spacing w:after="0" w:line="65" w:lineRule="exact"/>
        <w:rPr>
          <w:sz w:val="20"/>
          <w:szCs w:val="20"/>
          <w:color w:val="auto"/>
        </w:rPr>
      </w:pPr>
    </w:p>
    <w:p>
      <w:pPr>
        <w:ind w:right="220" w:firstLine="441"/>
        <w:spacing w:after="0" w:line="252" w:lineRule="auto"/>
        <w:rPr>
          <w:sz w:val="20"/>
          <w:szCs w:val="20"/>
          <w:color w:val="auto"/>
        </w:rPr>
      </w:pPr>
      <w:r>
        <w:rPr>
          <w:rFonts w:ascii="Times New Roman" w:cs="Times New Roman" w:eastAsia="Times New Roman" w:hAnsi="Times New Roman"/>
          <w:sz w:val="20"/>
          <w:szCs w:val="20"/>
          <w:color w:val="auto"/>
        </w:rPr>
        <w:t>Our commercial success will depend in part on obtaining and maintaining patent and trade secret protection of our commercial products and technologies and products in development, as well as successfully enforcing and defending these patents and trade secrets against third parties and their challenges, both in the U.S. and in foreign countries. We will only be able to protect our intellectual property from unauthorized use by third parties to the extent that we maintain the secrecy of our trade secrets and can enforce our valid patents and trademarks.</w:t>
      </w:r>
    </w:p>
    <w:p>
      <w:pPr>
        <w:spacing w:after="0" w:line="86" w:lineRule="exact"/>
        <w:rPr>
          <w:sz w:val="20"/>
          <w:szCs w:val="20"/>
          <w:color w:val="auto"/>
        </w:rPr>
      </w:pPr>
    </w:p>
    <w:p>
      <w:pPr>
        <w:ind w:right="60" w:firstLine="441"/>
        <w:spacing w:after="0" w:line="252" w:lineRule="auto"/>
        <w:rPr>
          <w:sz w:val="20"/>
          <w:szCs w:val="20"/>
          <w:color w:val="auto"/>
        </w:rPr>
      </w:pPr>
      <w:r>
        <w:rPr>
          <w:rFonts w:ascii="Times New Roman" w:cs="Times New Roman" w:eastAsia="Times New Roman" w:hAnsi="Times New Roman"/>
          <w:sz w:val="20"/>
          <w:szCs w:val="20"/>
          <w:color w:val="auto"/>
        </w:rPr>
        <w:t>The patent positions of pharmaceutical and biotechnology companies can be highly uncertain and involve complex legal and factual questions for which important legal principles remain unresolved. In addition, changes in either the patent laws or in interpretations of patent laws in the U.S. or other countries may diminish the value of our intellectual property and we may not receive the same degree of protection in every jurisdiction. Accordingly, we cannot predict the breadth of claims that may be allowed or enforced in our patents or in third-party patents.</w:t>
      </w:r>
    </w:p>
    <w:p>
      <w:pPr>
        <w:spacing w:after="0" w:line="86" w:lineRule="exact"/>
        <w:rPr>
          <w:sz w:val="20"/>
          <w:szCs w:val="20"/>
          <w:color w:val="auto"/>
        </w:rPr>
      </w:pPr>
    </w:p>
    <w:p>
      <w:pPr>
        <w:ind w:firstLine="441"/>
        <w:spacing w:after="0" w:line="271" w:lineRule="auto"/>
        <w:rPr>
          <w:sz w:val="20"/>
          <w:szCs w:val="20"/>
          <w:color w:val="auto"/>
        </w:rPr>
      </w:pPr>
      <w:r>
        <w:rPr>
          <w:rFonts w:ascii="Times New Roman" w:cs="Times New Roman" w:eastAsia="Times New Roman" w:hAnsi="Times New Roman"/>
          <w:sz w:val="20"/>
          <w:szCs w:val="20"/>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69" w:lineRule="exact"/>
        <w:rPr>
          <w:sz w:val="20"/>
          <w:szCs w:val="20"/>
          <w:color w:val="auto"/>
        </w:rPr>
      </w:pPr>
    </w:p>
    <w:p>
      <w:pPr>
        <w:ind w:left="900" w:right="400" w:hanging="186"/>
        <w:spacing w:after="0" w:line="271" w:lineRule="auto"/>
        <w:tabs>
          <w:tab w:leader="none" w:pos="9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might not have been the first to make the inventions covered by each of our pending patent applications and issued patents, and we could lose our patent rights as a result;</w:t>
      </w:r>
    </w:p>
    <w:p>
      <w:pPr>
        <w:spacing w:after="0" w:line="68" w:lineRule="exact"/>
        <w:rPr>
          <w:rFonts w:ascii="Times New Roman" w:cs="Times New Roman" w:eastAsia="Times New Roman" w:hAnsi="Times New Roman"/>
          <w:sz w:val="20"/>
          <w:szCs w:val="20"/>
          <w:color w:val="auto"/>
        </w:rPr>
      </w:pPr>
    </w:p>
    <w:p>
      <w:pPr>
        <w:ind w:left="900" w:right="360" w:hanging="186"/>
        <w:spacing w:after="0" w:line="271" w:lineRule="auto"/>
        <w:tabs>
          <w:tab w:leader="none" w:pos="9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might not have been the first to file patent applications for these inventions or our patent applications may not have been timely filed, and we could lose our patent rights as a result;</w:t>
      </w:r>
    </w:p>
    <w:p>
      <w:pPr>
        <w:spacing w:after="0" w:line="68" w:lineRule="exact"/>
        <w:rPr>
          <w:rFonts w:ascii="Times New Roman" w:cs="Times New Roman" w:eastAsia="Times New Roman" w:hAnsi="Times New Roman"/>
          <w:sz w:val="20"/>
          <w:szCs w:val="20"/>
          <w:color w:val="auto"/>
        </w:rPr>
      </w:pPr>
    </w:p>
    <w:p>
      <w:pPr>
        <w:ind w:left="900" w:hanging="186"/>
        <w:spacing w:after="0"/>
        <w:tabs>
          <w:tab w:leader="none" w:pos="9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Others may independently develop similar or alternative technologies or duplicate any of our technologies;</w:t>
      </w:r>
    </w:p>
    <w:p>
      <w:pPr>
        <w:spacing w:after="0" w:line="122" w:lineRule="exact"/>
        <w:rPr>
          <w:rFonts w:ascii="Times New Roman" w:cs="Times New Roman" w:eastAsia="Times New Roman" w:hAnsi="Times New Roman"/>
          <w:sz w:val="20"/>
          <w:szCs w:val="20"/>
          <w:color w:val="auto"/>
        </w:rPr>
      </w:pPr>
    </w:p>
    <w:p>
      <w:pPr>
        <w:ind w:left="900" w:hanging="186"/>
        <w:spacing w:after="0"/>
        <w:tabs>
          <w:tab w:leader="none" w:pos="9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possible that none of our pending patent applications will result in any further issued patents;</w:t>
      </w:r>
    </w:p>
    <w:p>
      <w:pPr>
        <w:spacing w:after="0" w:line="122" w:lineRule="exact"/>
        <w:rPr>
          <w:rFonts w:ascii="Times New Roman" w:cs="Times New Roman" w:eastAsia="Times New Roman" w:hAnsi="Times New Roman"/>
          <w:sz w:val="20"/>
          <w:szCs w:val="20"/>
          <w:color w:val="auto"/>
        </w:rPr>
      </w:pPr>
    </w:p>
    <w:p>
      <w:pPr>
        <w:jc w:val="both"/>
        <w:ind w:left="900" w:right="340" w:hanging="186"/>
        <w:spacing w:after="0" w:line="298" w:lineRule="auto"/>
        <w:tabs>
          <w:tab w:leader="none" w:pos="90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issued patents may not provide a basis for commercially viable drugs, may not provide us with any protection from unauthorized use of our intellectual property by third parties, and may not provide us with any competitive advantages;</w:t>
      </w:r>
    </w:p>
    <w:p>
      <w:pPr>
        <w:spacing w:after="0" w:line="45" w:lineRule="exact"/>
        <w:rPr>
          <w:rFonts w:ascii="Times New Roman" w:cs="Times New Roman" w:eastAsia="Times New Roman" w:hAnsi="Times New Roman"/>
          <w:sz w:val="19"/>
          <w:szCs w:val="19"/>
          <w:color w:val="auto"/>
        </w:rPr>
      </w:pPr>
    </w:p>
    <w:p>
      <w:pPr>
        <w:ind w:left="900" w:right="560" w:hanging="186"/>
        <w:spacing w:after="0" w:line="298" w:lineRule="auto"/>
        <w:tabs>
          <w:tab w:leader="none" w:pos="90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validity or enforceability of our patent applications or patents may be subject to challenge through interferences, oppositions, post-grant review, ex-parte re-examinations, inter partes review or similar administrative proceedings;</w:t>
      </w:r>
    </w:p>
    <w:p>
      <w:pPr>
        <w:spacing w:after="0" w:line="45" w:lineRule="exact"/>
        <w:rPr>
          <w:rFonts w:ascii="Times New Roman" w:cs="Times New Roman" w:eastAsia="Times New Roman" w:hAnsi="Times New Roman"/>
          <w:sz w:val="19"/>
          <w:szCs w:val="19"/>
          <w:color w:val="auto"/>
        </w:rPr>
      </w:pPr>
    </w:p>
    <w:p>
      <w:pPr>
        <w:ind w:left="900" w:right="40" w:hanging="186"/>
        <w:spacing w:after="0" w:line="258" w:lineRule="auto"/>
        <w:tabs>
          <w:tab w:leader="none" w:pos="9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While we generally apply for patents in those countries where we intend to make, have made, use or sell patented products, we may not be able to accurately predict all of the countries where patent protection will ultimately be desirable and may be precluded from doing so at a later date;</w:t>
      </w:r>
    </w:p>
    <w:p>
      <w:pPr>
        <w:spacing w:after="0" w:line="81" w:lineRule="exact"/>
        <w:rPr>
          <w:rFonts w:ascii="Times New Roman" w:cs="Times New Roman" w:eastAsia="Times New Roman" w:hAnsi="Times New Roman"/>
          <w:sz w:val="20"/>
          <w:szCs w:val="20"/>
          <w:color w:val="auto"/>
        </w:rPr>
      </w:pPr>
    </w:p>
    <w:p>
      <w:pPr>
        <w:ind w:left="900" w:right="80" w:hanging="186"/>
        <w:spacing w:after="0" w:line="271" w:lineRule="auto"/>
        <w:tabs>
          <w:tab w:leader="none" w:pos="9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choose not to seek patent protection in certain countries where the actual cost outweighs the perceived benefit at a certain time;</w:t>
      </w:r>
    </w:p>
    <w:p>
      <w:pPr>
        <w:spacing w:after="0" w:line="68" w:lineRule="exact"/>
        <w:rPr>
          <w:rFonts w:ascii="Times New Roman" w:cs="Times New Roman" w:eastAsia="Times New Roman" w:hAnsi="Times New Roman"/>
          <w:sz w:val="20"/>
          <w:szCs w:val="20"/>
          <w:color w:val="auto"/>
        </w:rPr>
      </w:pPr>
    </w:p>
    <w:p>
      <w:pPr>
        <w:ind w:left="900" w:right="40" w:hanging="186"/>
        <w:spacing w:after="0" w:line="271" w:lineRule="auto"/>
        <w:tabs>
          <w:tab w:leader="none" w:pos="9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Patents issued in foreign jurisdictions may have different scopes of coverage than our U.S. patents and so our products may not receive the same degree of protection in foreign countries as they would in the U.S.;</w:t>
      </w:r>
    </w:p>
    <w:p>
      <w:pPr>
        <w:spacing w:after="0" w:line="68" w:lineRule="exact"/>
        <w:rPr>
          <w:rFonts w:ascii="Times New Roman" w:cs="Times New Roman" w:eastAsia="Times New Roman" w:hAnsi="Times New Roman"/>
          <w:sz w:val="20"/>
          <w:szCs w:val="20"/>
          <w:color w:val="auto"/>
        </w:rPr>
      </w:pPr>
    </w:p>
    <w:p>
      <w:pPr>
        <w:ind w:left="900" w:hanging="186"/>
        <w:spacing w:after="0"/>
        <w:tabs>
          <w:tab w:leader="none" w:pos="9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develop additional proprietary technologies that are patentable;</w:t>
      </w:r>
    </w:p>
    <w:p>
      <w:pPr>
        <w:spacing w:after="0" w:line="122" w:lineRule="exact"/>
        <w:rPr>
          <w:rFonts w:ascii="Times New Roman" w:cs="Times New Roman" w:eastAsia="Times New Roman" w:hAnsi="Times New Roman"/>
          <w:sz w:val="20"/>
          <w:szCs w:val="20"/>
          <w:color w:val="auto"/>
        </w:rPr>
      </w:pPr>
    </w:p>
    <w:p>
      <w:pPr>
        <w:ind w:left="900" w:hanging="186"/>
        <w:spacing w:after="0"/>
        <w:tabs>
          <w:tab w:leader="none" w:pos="9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patents of others may have an adverse effect on our business; or</w:t>
      </w:r>
    </w:p>
    <w:p>
      <w:pPr>
        <w:spacing w:after="0" w:line="122" w:lineRule="exact"/>
        <w:rPr>
          <w:rFonts w:ascii="Times New Roman" w:cs="Times New Roman" w:eastAsia="Times New Roman" w:hAnsi="Times New Roman"/>
          <w:sz w:val="20"/>
          <w:szCs w:val="20"/>
          <w:color w:val="auto"/>
        </w:rPr>
      </w:pPr>
    </w:p>
    <w:p>
      <w:pPr>
        <w:ind w:left="900" w:hanging="186"/>
        <w:spacing w:after="0"/>
        <w:tabs>
          <w:tab w:leader="none" w:pos="9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to defend our patents may be significant and may result in litigation which could be costly and time consuming.</w:t>
      </w:r>
    </w:p>
    <w:p>
      <w:pPr>
        <w:spacing w:after="0" w:line="240" w:lineRule="exact"/>
        <w:rPr>
          <w:sz w:val="20"/>
          <w:szCs w:val="20"/>
          <w:color w:val="auto"/>
        </w:rPr>
      </w:pPr>
    </w:p>
    <w:p>
      <w:pPr>
        <w:ind w:right="40" w:firstLine="441"/>
        <w:spacing w:after="0" w:line="250" w:lineRule="auto"/>
        <w:rPr>
          <w:sz w:val="20"/>
          <w:szCs w:val="20"/>
          <w:color w:val="auto"/>
        </w:rPr>
      </w:pPr>
      <w:r>
        <w:rPr>
          <w:rFonts w:ascii="Times New Roman" w:cs="Times New Roman" w:eastAsia="Times New Roman" w:hAnsi="Times New Roman"/>
          <w:sz w:val="20"/>
          <w:szCs w:val="20"/>
          <w:color w:val="auto"/>
        </w:rPr>
        <w:t>Moreover, the issuance of a patent is not conclusive as to its validity or enforceability. Third parties have challenged and are likely to continue challenging the validity or enforceability of patents that have been issued to us by the USPTO or the applicable foreign patent office or licensed to us. Our patents may be challenged, invalidated, held to be unenforceable, or circumvented, which could negatively impact their commercial value. Furthermore, patent applications filed outside the United States may be challenged by other parties, for example, by filing third-party observations that argue against patentability or an opposition. Such opposition proceedings are increasingly common in the European Union (“EU”) and are costly to defend.</w:t>
      </w:r>
    </w:p>
    <w:p>
      <w:pPr>
        <w:spacing w:after="0" w:line="91" w:lineRule="exact"/>
        <w:rPr>
          <w:sz w:val="20"/>
          <w:szCs w:val="20"/>
          <w:color w:val="auto"/>
        </w:rPr>
      </w:pPr>
    </w:p>
    <w:p>
      <w:pPr>
        <w:ind w:right="120" w:firstLine="441"/>
        <w:spacing w:after="0" w:line="266" w:lineRule="auto"/>
        <w:rPr>
          <w:sz w:val="20"/>
          <w:szCs w:val="20"/>
          <w:color w:val="auto"/>
        </w:rPr>
      </w:pPr>
      <w:r>
        <w:rPr>
          <w:rFonts w:ascii="Times New Roman" w:cs="Times New Roman" w:eastAsia="Times New Roman" w:hAnsi="Times New Roman"/>
          <w:sz w:val="19"/>
          <w:szCs w:val="19"/>
          <w:color w:val="auto"/>
        </w:rPr>
        <w:t>The initiation, defense and prosecution of intellectual property suits (including Hatch-Waxman related litigation), interferences, oppositions and related legal and administrative proceedings are costly, time consuming to pursue and result in a diversion of resources, including a significant amount of management time. The outcome of these proceedings is uncertain and could significantly harm our business. If we are not able to enforce and defend the patents of our technologies and products, then we will have lost an opportunity that could have permitted us to exclude competitors from marketing products that directly compete with our products, which could have a material and adverse effect on our business, results of operations, financial condition and cash flows.</w:t>
      </w:r>
    </w:p>
    <w:p>
      <w:pPr>
        <w:spacing w:after="0" w:line="76" w:lineRule="exact"/>
        <w:rPr>
          <w:sz w:val="20"/>
          <w:szCs w:val="20"/>
          <w:color w:val="auto"/>
        </w:rPr>
      </w:pPr>
    </w:p>
    <w:p>
      <w:pPr>
        <w:ind w:firstLine="441"/>
        <w:spacing w:after="0" w:line="271" w:lineRule="auto"/>
        <w:rPr>
          <w:sz w:val="20"/>
          <w:szCs w:val="20"/>
          <w:color w:val="auto"/>
        </w:rPr>
      </w:pPr>
      <w:r>
        <w:rPr>
          <w:rFonts w:ascii="Times New Roman" w:cs="Times New Roman" w:eastAsia="Times New Roman" w:hAnsi="Times New Roman"/>
          <w:sz w:val="19"/>
          <w:szCs w:val="19"/>
          <w:color w:val="auto"/>
        </w:rPr>
        <w:t>We also rely on trade secrets and other know-how and proprietary information to protect our technology, especially where we do not believe patent protection is appropriate or obtainable. However, trade secrets are difficult to protect. We use reasonable efforts to protect our trade secrets, but our employees, consultants, contractors, outside scientific partners and other advisors may unintentionally or willfully disclose our confidential information to competitors or other third parties. Enforcing a claim that a third party improperly</w:t>
      </w:r>
    </w:p>
    <w:p>
      <w:pPr>
        <w:sectPr>
          <w:pgSz w:w="11880" w:h="15480" w:orient="portrait"/>
          <w:cols w:equalWidth="0" w:num="1">
            <w:col w:w="10600"/>
          </w:cols>
          <w:pgMar w:left="640" w:top="614" w:right="640" w:bottom="0" w:gutter="0" w:footer="0" w:header="0"/>
        </w:sect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880" w:h="15480" w:orient="portrait"/>
          <w:cols w:equalWidth="0" w:num="1">
            <w:col w:w="10600"/>
          </w:cols>
          <w:pgMar w:left="640" w:top="614" w:right="640" w:bottom="0" w:gutter="0" w:footer="0" w:header="0"/>
          <w:type w:val="continuous"/>
        </w:sectPr>
      </w:pPr>
    </w:p>
    <w:bookmarkStart w:id="45" w:name="page46"/>
    <w:bookmarkEnd w:id="45"/>
    <w:p>
      <w:pPr>
        <w:spacing w:after="0" w:line="262" w:lineRule="auto"/>
        <w:rPr>
          <w:sz w:val="20"/>
          <w:szCs w:val="20"/>
          <w:color w:val="auto"/>
        </w:rPr>
      </w:pPr>
      <w:r>
        <w:rPr>
          <w:rFonts w:ascii="Times New Roman" w:cs="Times New Roman" w:eastAsia="Times New Roman" w:hAnsi="Times New Roman"/>
          <w:sz w:val="19"/>
          <w:szCs w:val="19"/>
          <w:color w:val="auto"/>
        </w:rPr>
        <w:t>obtained and is using our trade secrets is expensive, time consuming and resource intensive, and the outcome is unpredictable. In addition, courts outside the U.S. are sometimes less willing to protect trade secrets. Moreover, our competitors may independently develop equivalent knowledge, methods and know-how. We rely on confidentiality agreements with our collaborators, employees, consultants and other third parties and invention assignment agreements with our employees to protect our trade secrets and other know-how and proprietary information concerning our business. These confidentiality agreements may not prevent unauthorized disclosure of trade secrets and other know-how and proprietary information, and there can be no guarantee that an employee or an outside party will not make an unauthorized disclosure of our trade secrets, other technical know-how or proprietary information, or that we can detect such an unauthorized disclosure. We may not have adequate remedies for any unauthorized disclosure. This might happen intentionally or inadvertently. It is possible that a competitor will make use of that information, and that our competitive position will be compromised, in spite of any legal action we might take against persons making those unauthorized disclosures, which could have a material and adverse effect on our business, results of operations, financial condition and cash flows.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Risks Related to Our Business Operations and Financial Results</w:t>
      </w:r>
    </w:p>
    <w:p>
      <w:pPr>
        <w:spacing w:after="0" w:line="240" w:lineRule="exact"/>
        <w:rPr>
          <w:sz w:val="20"/>
          <w:szCs w:val="20"/>
          <w:color w:val="auto"/>
        </w:rPr>
      </w:pPr>
    </w:p>
    <w:p>
      <w:pPr>
        <w:ind w:right="180" w:firstLine="441"/>
        <w:spacing w:after="0" w:line="281" w:lineRule="auto"/>
        <w:rPr>
          <w:sz w:val="20"/>
          <w:szCs w:val="20"/>
          <w:color w:val="auto"/>
        </w:rPr>
      </w:pPr>
      <w:r>
        <w:rPr>
          <w:rFonts w:ascii="Times New Roman" w:cs="Times New Roman" w:eastAsia="Times New Roman" w:hAnsi="Times New Roman"/>
          <w:sz w:val="19"/>
          <w:szCs w:val="19"/>
          <w:b w:val="1"/>
          <w:bCs w:val="1"/>
          <w:i w:val="1"/>
          <w:iCs w:val="1"/>
          <w:color w:val="auto"/>
        </w:rPr>
        <w:t>We may not be able to hire or retain the number of qualified personnel, particularly scientific, medical and sales personnel, required for our business, which would harm the expansion of our internal research and development capabilities, sales of our products and approval timelines for and commercialization of our product candidates and limit our ability to grow.</w:t>
      </w:r>
    </w:p>
    <w:p>
      <w:pPr>
        <w:spacing w:after="0" w:line="64" w:lineRule="exact"/>
        <w:rPr>
          <w:sz w:val="20"/>
          <w:szCs w:val="20"/>
          <w:color w:val="auto"/>
        </w:rPr>
      </w:pPr>
    </w:p>
    <w:p>
      <w:pPr>
        <w:ind w:firstLine="441"/>
        <w:spacing w:after="0" w:line="248" w:lineRule="auto"/>
        <w:rPr>
          <w:sz w:val="20"/>
          <w:szCs w:val="20"/>
          <w:color w:val="auto"/>
        </w:rPr>
      </w:pPr>
      <w:r>
        <w:rPr>
          <w:rFonts w:ascii="Times New Roman" w:cs="Times New Roman" w:eastAsia="Times New Roman" w:hAnsi="Times New Roman"/>
          <w:sz w:val="20"/>
          <w:szCs w:val="20"/>
          <w:color w:val="auto"/>
        </w:rPr>
        <w:t>Competition in our industry for highly skilled scientific, healthcare and sales personnel is intense and we may compete with larger pharmaceutical companies that likely will have access to greater financial resources than we do. As we expand our product candidate pipeline, including by expanding beyond prostate cancer and cardiology, and develop and expand our internal research and development capabilities, we will need to continue to hire additional scientific, medical and regulatory personnel. In addition, similar to our approach with the launch and continued growth of PYLARIFY, as we seek to commercialize additional products, we will need to hire additional employees to assist us with such commercialization, including in sales, marketing, reimbursement, quality and medical affairs. Although we have not had any material difficulty in the past in hiring or retaining qualified personnel, if we are unable to retain our existing personnel, or attract and train additional qualified personnel, either because of competition in our industry for these personnel or due to insufficient financial resources, then timelines for the approval and commercialization of our product candidates could be impacted, our growth could be limited and it could have a material adverse effect on our business.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If we lose the services of our key personnel, our business could be adversely affected.</w:t>
      </w:r>
    </w:p>
    <w:p>
      <w:pPr>
        <w:spacing w:after="0" w:line="131" w:lineRule="exact"/>
        <w:rPr>
          <w:sz w:val="20"/>
          <w:szCs w:val="20"/>
          <w:color w:val="auto"/>
        </w:rPr>
      </w:pPr>
    </w:p>
    <w:p>
      <w:pPr>
        <w:ind w:right="80" w:firstLine="441"/>
        <w:spacing w:after="0" w:line="248" w:lineRule="auto"/>
        <w:rPr>
          <w:sz w:val="20"/>
          <w:szCs w:val="20"/>
          <w:color w:val="auto"/>
        </w:rPr>
      </w:pPr>
      <w:r>
        <w:rPr>
          <w:rFonts w:ascii="Times New Roman" w:cs="Times New Roman" w:eastAsia="Times New Roman" w:hAnsi="Times New Roman"/>
          <w:sz w:val="20"/>
          <w:szCs w:val="20"/>
          <w:color w:val="auto"/>
        </w:rPr>
        <w:t>Our success is substantially dependent upon the performance, contributions and expertise of our Chief Executive Officer (“CEO”), executive leadership and senior management team. Brian Markison, our CEO, and other members of our executive leadership and senior management team play a significant role in formulating and executing on our long-term strategy, generating business and overseeing operations. We have employment agreements with Mr. Markison effective March 1, 2024, and a limited number of other individuals on our executive leadership team, although we cannot prevent them from terminating their employment with us. We do not maintain key person life insurance policies on any of our executive officers. While we have experienced some turnover on our executive leadership team, we have generally been able to fill positions by either promoting existing employees or attracting new, qualified individuals to lead key functional areas. Our inability to retain our existing executive leadership and senior management team, maintain an appropriate internal succession program or attract and retain additional qualified personnel could have a material adverse effect on our business.</w:t>
      </w:r>
    </w:p>
    <w:p>
      <w:pPr>
        <w:spacing w:after="0" w:line="85" w:lineRule="exact"/>
        <w:rPr>
          <w:sz w:val="20"/>
          <w:szCs w:val="20"/>
          <w:color w:val="auto"/>
        </w:rPr>
      </w:pPr>
    </w:p>
    <w:p>
      <w:pPr>
        <w:ind w:right="240" w:firstLine="441"/>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Any constraint on the availability of PET scanners could impact our ability to grow PYLARIFY and to successfully launch and commercialize radiodiagnostic products in our pipeline.</w:t>
      </w:r>
    </w:p>
    <w:p>
      <w:pPr>
        <w:spacing w:after="0" w:line="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Use of our radiopharmaceutical diagnostic products is dependent upon the availability of PET scanners in the market. Our ability</w:t>
      </w:r>
    </w:p>
    <w:p>
      <w:pPr>
        <w:spacing w:after="0" w:line="18" w:lineRule="exact"/>
        <w:rPr>
          <w:sz w:val="20"/>
          <w:szCs w:val="20"/>
          <w:color w:val="auto"/>
        </w:rPr>
      </w:pPr>
    </w:p>
    <w:p>
      <w:pPr>
        <w:ind w:right="420"/>
        <w:spacing w:after="0" w:line="255" w:lineRule="auto"/>
        <w:rPr>
          <w:sz w:val="20"/>
          <w:szCs w:val="20"/>
          <w:color w:val="auto"/>
        </w:rPr>
      </w:pPr>
      <w:r>
        <w:rPr>
          <w:rFonts w:ascii="Times New Roman" w:cs="Times New Roman" w:eastAsia="Times New Roman" w:hAnsi="Times New Roman"/>
          <w:sz w:val="20"/>
          <w:szCs w:val="20"/>
          <w:color w:val="auto"/>
        </w:rPr>
        <w:t>to continue to grow PYLARIFY and to successfully launch new PET diagnostic products, including MK-6240 and NAV-4694, is dependent upon the availability of PET scanners generally. If PET scanner capacity becomes constrained, that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could have a material adverse effect on our business, results of operations, financial conditions and cash flows</w:t>
      </w:r>
      <w:r>
        <w:rPr>
          <w:rFonts w:ascii="Times New Roman" w:cs="Times New Roman" w:eastAsia="Times New Roman" w:hAnsi="Times New Roman"/>
          <w:sz w:val="23"/>
          <w:szCs w:val="23"/>
          <w:color w:val="auto"/>
        </w:rPr>
        <w:t>.</w:t>
      </w:r>
    </w:p>
    <w:p>
      <w:pPr>
        <w:spacing w:after="0" w:line="238" w:lineRule="exact"/>
        <w:rPr>
          <w:sz w:val="20"/>
          <w:szCs w:val="20"/>
          <w:color w:val="auto"/>
        </w:rPr>
      </w:pPr>
    </w:p>
    <w:p>
      <w:pPr>
        <w:ind w:right="100" w:firstLine="441"/>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business depends on our ability to successfully introduce new products and adapt to a changing technology and medical practice landscape.</w:t>
      </w:r>
    </w:p>
    <w:p>
      <w:pPr>
        <w:spacing w:after="0" w:line="65" w:lineRule="exact"/>
        <w:rPr>
          <w:sz w:val="20"/>
          <w:szCs w:val="20"/>
          <w:color w:val="auto"/>
        </w:rPr>
      </w:pPr>
    </w:p>
    <w:p>
      <w:pPr>
        <w:ind w:right="80" w:firstLine="441"/>
        <w:spacing w:after="0" w:line="264" w:lineRule="auto"/>
        <w:rPr>
          <w:sz w:val="20"/>
          <w:szCs w:val="20"/>
          <w:color w:val="auto"/>
        </w:rPr>
      </w:pPr>
      <w:r>
        <w:rPr>
          <w:rFonts w:ascii="Times New Roman" w:cs="Times New Roman" w:eastAsia="Times New Roman" w:hAnsi="Times New Roman"/>
          <w:sz w:val="19"/>
          <w:szCs w:val="19"/>
          <w:color w:val="auto"/>
        </w:rPr>
        <w:t>The healthcare industry is characterized by continuous technological development resulting in changing customer preferences and requirements. The success of new product development depends on many factors, including our ability to fund development of new products or new indications for existing products, anticipate and satisfy customer needs, obtain timely regulatory approval based on performance of our products in development versus their clinical trial comparators, develop and manufacture products in a cost-effective and timely manner, maintain advantageous positions with respect to intellectual property and differentiate our products from our competitors. To compete successfully in the marketplace, we must make substantial investments in new product development, whether internally or externally through licensing or acquisitions. Our failure to introduce new and innovative products in a timely manner would have an adverse effect on our business, results of operations, financial condition and cash flows.</w:t>
      </w:r>
    </w:p>
    <w:p>
      <w:pPr>
        <w:sectPr>
          <w:pgSz w:w="11880" w:h="15480" w:orient="portrait"/>
          <w:cols w:equalWidth="0" w:num="1">
            <w:col w:w="10580"/>
          </w:cols>
          <w:pgMar w:left="640" w:top="622" w:right="660" w:bottom="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40</w:t>
      </w:r>
    </w:p>
    <w:p>
      <w:pPr>
        <w:sectPr>
          <w:pgSz w:w="11880" w:h="15480" w:orient="portrait"/>
          <w:cols w:equalWidth="0" w:num="1">
            <w:col w:w="10580"/>
          </w:cols>
          <w:pgMar w:left="640" w:top="622" w:right="660" w:bottom="0" w:gutter="0" w:footer="0" w:header="0"/>
          <w:type w:val="continuous"/>
        </w:sectPr>
      </w:pPr>
    </w:p>
    <w:bookmarkStart w:id="46" w:name="page47"/>
    <w:bookmarkEnd w:id="46"/>
    <w:p>
      <w:pPr>
        <w:jc w:val="both"/>
        <w:ind w:firstLine="441"/>
        <w:spacing w:after="0" w:line="258" w:lineRule="auto"/>
        <w:rPr>
          <w:sz w:val="20"/>
          <w:szCs w:val="20"/>
          <w:color w:val="auto"/>
        </w:rPr>
      </w:pPr>
      <w:r>
        <w:rPr>
          <w:rFonts w:ascii="Times New Roman" w:cs="Times New Roman" w:eastAsia="Times New Roman" w:hAnsi="Times New Roman"/>
          <w:sz w:val="20"/>
          <w:szCs w:val="20"/>
          <w:color w:val="auto"/>
        </w:rPr>
        <w:t>Even if we are able to develop, manufacture and obtain regulatory approvals for our new products, the success of these products would depend upon market acceptance and adequate coding, coverage and payment. Levels of market acceptance for our new products could be affected by a number of factors, including:</w:t>
      </w:r>
    </w:p>
    <w:p>
      <w:pPr>
        <w:spacing w:after="0" w:line="82" w:lineRule="exact"/>
        <w:rPr>
          <w:sz w:val="20"/>
          <w:szCs w:val="20"/>
          <w:color w:val="auto"/>
        </w:rPr>
      </w:pPr>
    </w:p>
    <w:p>
      <w:pPr>
        <w:ind w:left="1060" w:hanging="346"/>
        <w:spacing w:after="0"/>
        <w:tabs>
          <w:tab w:leader="none" w:pos="10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availability of alternative products from our competitors;</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breadth of indications in which alternative products from our competitors can be marketed;</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price of our products relative to those of our competitors;</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of our market entry;</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enter into commercial contracts on favorable terms to sell our products;</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market and distribute our products effectively;</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acceptance of our products; and</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adequate coding, coverage and payment, including the availability of TPT Status.</w:t>
      </w:r>
    </w:p>
    <w:p>
      <w:pPr>
        <w:spacing w:after="0" w:line="240"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9"/>
          <w:szCs w:val="19"/>
          <w:color w:val="auto"/>
        </w:rPr>
        <w:t>The field of diagnostic medical imaging is dynamic, with new products, including equipment, software and products, continually being developed and existing products continually being refined. Our own diagnostic imaging agents compete not only with other similarly administered imaging agents but also with imaging agents employed in different and often competing diagnostic modalities. New hardware, software or products in a given diagnostic modality may be developed that provide benefits superior to the then-dominant hardware, software and products in that modality, resulting in commercial displacement of the products. Similarly, changing perceptions about comparative efficacy and safety including, among other things, comparative radiation exposure, as well as changing availability of supply or the availability of additional payments for new devices, such as granting of or loss of TPT Status, may favor one product over another or one modality over another. In addition, new or revised appropriate use criteria developed by professional societies, to assist physicians and other health care providers in making imaging decisions for specific clinical conditions, can and have reduced the frequency of and demand for certain imaging modalities and imaging agents. To the extent there is technological obsolescence in any of our products, resulting in lower unit sales or decreased unit sales prices, we will have increased unit overhead allocable to the remaining market share, which could have a material adverse effect on our business, results of operations, financial condition and cash flows. Similar risks could apply to therapeutic products, including products we are developing.</w:t>
      </w:r>
    </w:p>
    <w:p>
      <w:pPr>
        <w:spacing w:after="0" w:line="196" w:lineRule="exact"/>
        <w:rPr>
          <w:sz w:val="20"/>
          <w:szCs w:val="20"/>
          <w:color w:val="auto"/>
        </w:rPr>
      </w:pPr>
    </w:p>
    <w:p>
      <w:pPr>
        <w:ind w:right="40" w:firstLine="441"/>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If we are not able to successfully integrate the businesses we acquire, or if we are unable to successfully secure necessary shareholder and regulatory approvals relating to pending acquisitions in a timely manner or at all, we may not be able to realize the benefits that we expect to result from the transactions. Additionally, the risks related to the acquired businesses, including the risk that we are unable to successfully integrate those businesses into our operations or are unable to realize the anticipated benefits that each acquisition is predicted to bring, could adversely affect our business, financial condition or results of operations.</w:t>
      </w:r>
    </w:p>
    <w:p>
      <w:pPr>
        <w:spacing w:after="0" w:line="77" w:lineRule="exact"/>
        <w:rPr>
          <w:sz w:val="20"/>
          <w:szCs w:val="20"/>
          <w:color w:val="auto"/>
        </w:rPr>
      </w:pPr>
    </w:p>
    <w:p>
      <w:pPr>
        <w:ind w:right="40" w:firstLine="441"/>
        <w:spacing w:after="0" w:line="250" w:lineRule="auto"/>
        <w:rPr>
          <w:sz w:val="20"/>
          <w:szCs w:val="20"/>
          <w:color w:val="auto"/>
        </w:rPr>
      </w:pPr>
      <w:r>
        <w:rPr>
          <w:rFonts w:ascii="Times New Roman" w:cs="Times New Roman" w:eastAsia="Times New Roman" w:hAnsi="Times New Roman"/>
          <w:sz w:val="20"/>
          <w:szCs w:val="20"/>
          <w:color w:val="auto"/>
        </w:rPr>
        <w:t>As a part of our growth strategy, we have made and may continue to make selected acquisitions of complementary businesses, such as our acquisition of Cerveau Technologies, Inc. (“Cerveau”) in February 2023, our acquisition of Meilleur Technologies Inc. (“Meilleur”) in June 2024, and our recently announced definitive agreements to acquire Life Molecular Imaging Ltd. (“Life Molecular”) and Evergreen Theragnostics, Inc. (“Evergreen”). These acquisitions involve numerous risks and operational, financial, and managerial challenges, including the following, any of which could adversely affect our business, financial condition, or results of operations:</w:t>
      </w:r>
    </w:p>
    <w:p>
      <w:pPr>
        <w:spacing w:after="0" w:line="91" w:lineRule="exact"/>
        <w:rPr>
          <w:sz w:val="20"/>
          <w:szCs w:val="20"/>
          <w:color w:val="auto"/>
        </w:rPr>
      </w:pPr>
    </w:p>
    <w:p>
      <w:pPr>
        <w:ind w:left="1060" w:right="280" w:hanging="346"/>
        <w:spacing w:after="0" w:line="271" w:lineRule="auto"/>
        <w:tabs>
          <w:tab w:leader="none" w:pos="10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Coordinating or consolidating geographically separate organizations and integrating personnel with different business backgrounds and corporate cultures;</w:t>
      </w:r>
    </w:p>
    <w:p>
      <w:pPr>
        <w:spacing w:after="0" w:line="68"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Integrating previously autonomous departments, including those in accounting and administrative functions;</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Integrating financial information and management systems;</w:t>
      </w:r>
    </w:p>
    <w:p>
      <w:pPr>
        <w:spacing w:after="0" w:line="122" w:lineRule="exact"/>
        <w:rPr>
          <w:rFonts w:ascii="Times New Roman" w:cs="Times New Roman" w:eastAsia="Times New Roman" w:hAnsi="Times New Roman"/>
          <w:sz w:val="20"/>
          <w:szCs w:val="20"/>
          <w:color w:val="auto"/>
        </w:rPr>
      </w:pPr>
    </w:p>
    <w:p>
      <w:pPr>
        <w:ind w:left="1060" w:right="360" w:hanging="346"/>
        <w:spacing w:after="0" w:line="271" w:lineRule="auto"/>
        <w:tabs>
          <w:tab w:leader="none" w:pos="10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pace of our acquisition activity and the related diversion of already limited resources and management and other personnel time;</w:t>
      </w:r>
    </w:p>
    <w:p>
      <w:pPr>
        <w:spacing w:after="0" w:line="68"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 of our ongoing business;</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integrating new operations, technologies, products, and personnel;</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Inconsistencies in standards, controls, procedures, and policies;</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Lack of synergies, if synergies are anticipated, or the inability to realize expected synergies and cost-savings;</w:t>
      </w:r>
    </w:p>
    <w:p>
      <w:pPr>
        <w:spacing w:after="0" w:line="122" w:lineRule="exact"/>
        <w:rPr>
          <w:rFonts w:ascii="Times New Roman" w:cs="Times New Roman" w:eastAsia="Times New Roman" w:hAnsi="Times New Roman"/>
          <w:sz w:val="20"/>
          <w:szCs w:val="20"/>
          <w:color w:val="auto"/>
        </w:rPr>
      </w:pPr>
    </w:p>
    <w:p>
      <w:pPr>
        <w:ind w:left="1060" w:right="140" w:hanging="346"/>
        <w:spacing w:after="0" w:line="271" w:lineRule="auto"/>
        <w:tabs>
          <w:tab w:leader="none" w:pos="10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Underperformance of any acquired technology, product candidate, or business relative to our expectations and the price we paid;</w:t>
      </w:r>
    </w:p>
    <w:p>
      <w:pPr>
        <w:spacing w:after="0" w:line="68"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Managing the risks of entering markets or types of businesses in which we have limited or no direct experience;</w:t>
      </w:r>
    </w:p>
    <w:p>
      <w:pPr>
        <w:sectPr>
          <w:pgSz w:w="11880" w:h="15480" w:orient="portrait"/>
          <w:cols w:equalWidth="0" w:num="1">
            <w:col w:w="10580"/>
          </w:cols>
          <w:pgMar w:left="640" w:top="622" w:right="660" w:bottom="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41</w:t>
      </w:r>
    </w:p>
    <w:p>
      <w:pPr>
        <w:sectPr>
          <w:pgSz w:w="11880" w:h="15480" w:orient="portrait"/>
          <w:cols w:equalWidth="0" w:num="1">
            <w:col w:w="10580"/>
          </w:cols>
          <w:pgMar w:left="640" w:top="622" w:right="660" w:bottom="0" w:gutter="0" w:footer="0" w:header="0"/>
          <w:type w:val="continuous"/>
        </w:sectPr>
      </w:pPr>
    </w:p>
    <w:bookmarkStart w:id="47" w:name="page48"/>
    <w:bookmarkEnd w:id="47"/>
    <w:p>
      <w:pPr>
        <w:ind w:left="1060" w:hanging="346"/>
        <w:spacing w:after="0"/>
        <w:tabs>
          <w:tab w:leader="none" w:pos="10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Exposure to unforeseen liabilities;</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loss of key employees and strategic partners of acquired companies; and</w:t>
      </w:r>
    </w:p>
    <w:p>
      <w:pPr>
        <w:spacing w:after="0" w:line="122" w:lineRule="exact"/>
        <w:rPr>
          <w:rFonts w:ascii="Times New Roman" w:cs="Times New Roman" w:eastAsia="Times New Roman" w:hAnsi="Times New Roman"/>
          <w:sz w:val="20"/>
          <w:szCs w:val="20"/>
          <w:color w:val="auto"/>
        </w:rPr>
      </w:pPr>
    </w:p>
    <w:p>
      <w:pPr>
        <w:ind w:left="1060" w:right="680" w:hanging="346"/>
        <w:spacing w:after="0" w:line="271" w:lineRule="auto"/>
        <w:tabs>
          <w:tab w:leader="none" w:pos="10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associated with acquiring intellectual property, including potential disputes regarding acquired companies’ intellectual property.</w:t>
      </w:r>
    </w:p>
    <w:p>
      <w:pPr>
        <w:spacing w:after="0" w:line="69" w:lineRule="exact"/>
        <w:rPr>
          <w:sz w:val="20"/>
          <w:szCs w:val="20"/>
          <w:color w:val="auto"/>
        </w:rPr>
      </w:pPr>
    </w:p>
    <w:p>
      <w:pPr>
        <w:ind w:right="40" w:firstLine="441"/>
        <w:spacing w:after="0" w:line="252" w:lineRule="auto"/>
        <w:rPr>
          <w:sz w:val="20"/>
          <w:szCs w:val="20"/>
          <w:color w:val="auto"/>
        </w:rPr>
      </w:pPr>
      <w:r>
        <w:rPr>
          <w:rFonts w:ascii="Times New Roman" w:cs="Times New Roman" w:eastAsia="Times New Roman" w:hAnsi="Times New Roman"/>
          <w:sz w:val="20"/>
          <w:szCs w:val="20"/>
          <w:color w:val="auto"/>
        </w:rPr>
        <w:t>In addition, the successful integration of acquired businesses requires significant efforts and expense across all operational areas, including research and development, manufacturing, sales and marketing, finance, legal, and information technologies. There can be no assurance that any of our acquisitions will be successful or will be, or will become or remain, profitable. Our failure to successfully address the foregoing risks may prevent us from achieving the anticipated benefits from any acquisition in a reasonable time frame, or at all.</w:t>
      </w:r>
    </w:p>
    <w:p>
      <w:pPr>
        <w:spacing w:after="0" w:line="86" w:lineRule="exact"/>
        <w:rPr>
          <w:sz w:val="20"/>
          <w:szCs w:val="20"/>
          <w:color w:val="auto"/>
        </w:rPr>
      </w:pPr>
    </w:p>
    <w:p>
      <w:pPr>
        <w:ind w:right="160" w:firstLine="441"/>
        <w:spacing w:after="0" w:line="271" w:lineRule="auto"/>
        <w:rPr>
          <w:sz w:val="20"/>
          <w:szCs w:val="20"/>
          <w:color w:val="auto"/>
        </w:rPr>
      </w:pPr>
      <w:r>
        <w:rPr>
          <w:rFonts w:ascii="Times New Roman" w:cs="Times New Roman" w:eastAsia="Times New Roman" w:hAnsi="Times New Roman"/>
          <w:sz w:val="19"/>
          <w:szCs w:val="19"/>
          <w:color w:val="auto"/>
        </w:rPr>
        <w:t>Further, our pending acquisitions of Life Molecular and Evergreen are subject to customary closing conditions, including regulatory clearances or expiration of applicable waiting periods under antitrust laws and foreign investment laws and receipt of any requisite stockholder approvals. Such closing conditions may be time consuming, and such approvals may be costly to obtain or may be denied, and if obtained, the terms of such regulatory approvals may limit our ongoing operations or require us to divest assets.</w:t>
      </w:r>
    </w:p>
    <w:p>
      <w:pPr>
        <w:spacing w:after="0" w:line="181" w:lineRule="exact"/>
        <w:rPr>
          <w:sz w:val="20"/>
          <w:szCs w:val="20"/>
          <w:color w:val="auto"/>
        </w:rPr>
      </w:pPr>
    </w:p>
    <w:p>
      <w:pPr>
        <w:ind w:right="580" w:firstLine="441"/>
        <w:spacing w:after="0" w:line="261" w:lineRule="auto"/>
        <w:rPr>
          <w:sz w:val="20"/>
          <w:szCs w:val="20"/>
          <w:color w:val="auto"/>
        </w:rPr>
      </w:pPr>
      <w:r>
        <w:rPr>
          <w:rFonts w:ascii="Times New Roman" w:cs="Times New Roman" w:eastAsia="Times New Roman" w:hAnsi="Times New Roman"/>
          <w:sz w:val="20"/>
          <w:szCs w:val="20"/>
          <w:b w:val="1"/>
          <w:bCs w:val="1"/>
          <w:i w:val="1"/>
          <w:iCs w:val="1"/>
          <w:color w:val="auto"/>
        </w:rPr>
        <w:t>Our future growth may depend on our ability to identify and acquire or in-license additional products, businesses or technologies, and if we do not successfully do so, we may have limited growth opportunities and it could result in significant impairment charges or other adverse financial consequences.</w:t>
      </w:r>
    </w:p>
    <w:p>
      <w:pPr>
        <w:spacing w:after="0" w:line="81" w:lineRule="exact"/>
        <w:rPr>
          <w:sz w:val="20"/>
          <w:szCs w:val="20"/>
          <w:color w:val="auto"/>
        </w:rPr>
      </w:pPr>
    </w:p>
    <w:p>
      <w:pPr>
        <w:ind w:right="700" w:firstLine="441"/>
        <w:spacing w:after="0" w:line="298" w:lineRule="auto"/>
        <w:rPr>
          <w:sz w:val="20"/>
          <w:szCs w:val="20"/>
          <w:color w:val="auto"/>
        </w:rPr>
      </w:pPr>
      <w:r>
        <w:rPr>
          <w:rFonts w:ascii="Times New Roman" w:cs="Times New Roman" w:eastAsia="Times New Roman" w:hAnsi="Times New Roman"/>
          <w:sz w:val="19"/>
          <w:szCs w:val="19"/>
          <w:color w:val="auto"/>
        </w:rPr>
        <w:t>We seek to acquire or in-license products, businesses or technologies that we believe are a strategic fit with our business strategy. Future acquisitions or in-licenses, however, may entail numerous operational and financial risks, including:</w:t>
      </w:r>
    </w:p>
    <w:p>
      <w:pPr>
        <w:spacing w:after="0" w:line="45" w:lineRule="exact"/>
        <w:rPr>
          <w:sz w:val="20"/>
          <w:szCs w:val="20"/>
          <w:color w:val="auto"/>
        </w:rPr>
      </w:pPr>
    </w:p>
    <w:p>
      <w:pPr>
        <w:ind w:left="1060" w:hanging="346"/>
        <w:spacing w:after="0"/>
        <w:tabs>
          <w:tab w:leader="none" w:pos="10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of our current financial resources;</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Incurrence of substantial debt or dilutive issuances of securities to pay for acquisitions;</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Difficulty or inability to secure financing to fund development activities for those acquired or in-licensed technologies;</w:t>
      </w:r>
    </w:p>
    <w:p>
      <w:pPr>
        <w:spacing w:after="0" w:line="134" w:lineRule="exact"/>
        <w:rPr>
          <w:rFonts w:ascii="Times New Roman" w:cs="Times New Roman" w:eastAsia="Times New Roman" w:hAnsi="Times New Roman"/>
          <w:sz w:val="19"/>
          <w:szCs w:val="19"/>
          <w:color w:val="auto"/>
        </w:rPr>
      </w:pPr>
    </w:p>
    <w:p>
      <w:pPr>
        <w:ind w:left="1060" w:hanging="346"/>
        <w:spacing w:after="0"/>
        <w:tabs>
          <w:tab w:leader="none" w:pos="10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Higher than expected acquisition, integration or operational costs;</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amortization expenses;</w:t>
      </w:r>
    </w:p>
    <w:p>
      <w:pPr>
        <w:spacing w:after="0" w:line="122" w:lineRule="exact"/>
        <w:rPr>
          <w:rFonts w:ascii="Times New Roman" w:cs="Times New Roman" w:eastAsia="Times New Roman" w:hAnsi="Times New Roman"/>
          <w:sz w:val="20"/>
          <w:szCs w:val="20"/>
          <w:color w:val="auto"/>
        </w:rPr>
      </w:pPr>
    </w:p>
    <w:p>
      <w:pPr>
        <w:ind w:left="1060" w:right="620" w:hanging="346"/>
        <w:spacing w:after="0" w:line="271" w:lineRule="auto"/>
        <w:tabs>
          <w:tab w:leader="none" w:pos="10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and cost in combining the operations and personnel of any acquired businesses with our operations and personnel or of retaining key personnel; and</w:t>
      </w:r>
    </w:p>
    <w:p>
      <w:pPr>
        <w:spacing w:after="0" w:line="68" w:lineRule="exact"/>
        <w:rPr>
          <w:rFonts w:ascii="Times New Roman" w:cs="Times New Roman" w:eastAsia="Times New Roman" w:hAnsi="Times New Roman"/>
          <w:sz w:val="20"/>
          <w:szCs w:val="20"/>
          <w:color w:val="auto"/>
        </w:rPr>
      </w:pPr>
    </w:p>
    <w:p>
      <w:pPr>
        <w:ind w:left="1060" w:right="700" w:hanging="346"/>
        <w:spacing w:after="0" w:line="271" w:lineRule="auto"/>
        <w:tabs>
          <w:tab w:leader="none" w:pos="10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Diversion of our management’s and other personnel’s time and attention to identify, assess and acquire potential additional products, businesses or technologies.</w:t>
      </w:r>
    </w:p>
    <w:p>
      <w:pPr>
        <w:spacing w:after="0" w:line="186" w:lineRule="exact"/>
        <w:rPr>
          <w:sz w:val="20"/>
          <w:szCs w:val="20"/>
          <w:color w:val="auto"/>
        </w:rPr>
      </w:pPr>
    </w:p>
    <w:p>
      <w:pPr>
        <w:ind w:firstLine="441"/>
        <w:spacing w:after="0" w:line="248" w:lineRule="auto"/>
        <w:rPr>
          <w:sz w:val="20"/>
          <w:szCs w:val="20"/>
          <w:color w:val="auto"/>
        </w:rPr>
      </w:pPr>
      <w:r>
        <w:rPr>
          <w:rFonts w:ascii="Times New Roman" w:cs="Times New Roman" w:eastAsia="Times New Roman" w:hAnsi="Times New Roman"/>
          <w:sz w:val="20"/>
          <w:szCs w:val="20"/>
          <w:color w:val="auto"/>
        </w:rPr>
        <w:t>We may not have sufficient resources to identify and execute the acquisition or in-licensing of third-party products, businesses and technologies and integrate them into our current infrastructure. In particular, we may compete with larger pharmaceutical companies and other competitors in our efforts to establish new collaborations and in-licensing opportunities. These competitors likely will have access to greater financial resources than we do and may have greater expertise in identifying and evaluating new opportunities. Furthermore, there may be an overlap between our products or customers and the companies which we acquire that may create conflicts in relationships or other commitments detrimental to the integrated businesses. Additionally, the time between our expenditures to acquire or in-license new products, technologies or businesses and the subsequent generation of revenues from those acquired products, technologies or businesses (or the timing of revenue recognition related to licensing agreements and/or strategic collaborations) could cause fluctuations in our financial performance from period to period. Finally, if we devote resources to potential acquisitions or in-licensing opportunities that are never completed, or if we fail to realize the anticipated benefits of those efforts, we could incur significant impairment charges or other adverse financial consequences.</w:t>
      </w:r>
    </w:p>
    <w:p>
      <w:pPr>
        <w:spacing w:after="0" w:line="200" w:lineRule="exact"/>
        <w:rPr>
          <w:sz w:val="20"/>
          <w:szCs w:val="20"/>
          <w:color w:val="auto"/>
        </w:rPr>
      </w:pPr>
    </w:p>
    <w:p>
      <w:pPr>
        <w:ind w:right="180" w:firstLine="441"/>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Challenges with product quality or product performance, including defects, caused by us or our manufacturers or suppliers could result in a decrease in customers and revenues, unexpected expenses and loss of market share.</w:t>
      </w:r>
    </w:p>
    <w:p>
      <w:pPr>
        <w:spacing w:after="0" w:line="65" w:lineRule="exact"/>
        <w:rPr>
          <w:sz w:val="20"/>
          <w:szCs w:val="20"/>
          <w:color w:val="auto"/>
        </w:rPr>
      </w:pPr>
    </w:p>
    <w:p>
      <w:pPr>
        <w:ind w:firstLine="441"/>
        <w:spacing w:after="0" w:line="249" w:lineRule="auto"/>
        <w:rPr>
          <w:sz w:val="20"/>
          <w:szCs w:val="20"/>
          <w:color w:val="auto"/>
        </w:rPr>
      </w:pPr>
      <w:r>
        <w:rPr>
          <w:rFonts w:ascii="Times New Roman" w:cs="Times New Roman" w:eastAsia="Times New Roman" w:hAnsi="Times New Roman"/>
          <w:sz w:val="20"/>
          <w:szCs w:val="20"/>
          <w:color w:val="auto"/>
        </w:rPr>
        <w:t>The manufacture of our products is highly exacting and complex and must meet stringent quality requirements, due in part to strict regulatory requirements, including the FDA’s cGMPs. Problems may be identified or arise during manufacturing, quality review, packaging or shipment for a variety of reasons including equipment malfunction, failure to follow specific protocols and procedures, defective raw materials and environmental factors. Additionally, manufacturing flaws, component failures, design defects, off-label uses or inadequate disclosure of product-related information could result in an unsafe condition or the injury or death of a patient. Those events could lead to a recall of, or issuance of a safety alert relating to, our products or could harm our reputation and our ability to market our products in the future. We also may undertake voluntarily to recall products or temporarily shut down production lines based on internal safety and quality monitoring and testing data.</w:t>
      </w:r>
    </w:p>
    <w:p>
      <w:pPr>
        <w:sectPr>
          <w:pgSz w:w="11880" w:h="15480" w:orient="portrait"/>
          <w:cols w:equalWidth="0" w:num="1">
            <w:col w:w="10580"/>
          </w:cols>
          <w:pgMar w:left="640" w:top="622"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42</w:t>
      </w:r>
    </w:p>
    <w:p>
      <w:pPr>
        <w:sectPr>
          <w:pgSz w:w="11880" w:h="15480" w:orient="portrait"/>
          <w:cols w:equalWidth="0" w:num="1">
            <w:col w:w="10580"/>
          </w:cols>
          <w:pgMar w:left="640" w:top="622" w:right="660" w:bottom="0" w:gutter="0" w:footer="0" w:header="0"/>
          <w:type w:val="continuous"/>
        </w:sectPr>
      </w:pPr>
    </w:p>
    <w:bookmarkStart w:id="48" w:name="page49"/>
    <w:bookmarkEnd w:id="48"/>
    <w:p>
      <w:pPr>
        <w:ind w:firstLine="441"/>
        <w:spacing w:after="0" w:line="248" w:lineRule="auto"/>
        <w:rPr>
          <w:sz w:val="20"/>
          <w:szCs w:val="20"/>
          <w:color w:val="auto"/>
        </w:rPr>
      </w:pPr>
      <w:r>
        <w:rPr>
          <w:rFonts w:ascii="Times New Roman" w:cs="Times New Roman" w:eastAsia="Times New Roman" w:hAnsi="Times New Roman"/>
          <w:sz w:val="20"/>
          <w:szCs w:val="20"/>
          <w:color w:val="auto"/>
        </w:rPr>
        <w:t>Quality, regulatory and recall challenges could cause us to incur significant costs, including costs to replace products, lost revenue, damage to customer relationships, time and expense spent investigating the cause and costs of any possible settlements or judgments related thereto and potentially cause similar losses with respect to other products. These challenges could also divert the attention of our management and employees from operational, commercial or other business efforts. If we deliver products with defects, or if there is a perception that our products or the processes related to our products contain errors or defects, we could incur additional recall and product liability costs, and our credibility and the market acceptance and sales of our products could be materially adversely affected. Due to the strong name recognition of our brands, an adverse event involving one of our products could result in reduced market acceptance and demand for all products, and could harm our reputation and our ability to market our products in the future. In some circumstances, adverse events arising from or associated with the design, manufacture or marketing of our products could result in the suspension or delay of regulatory reviews of our applications for new product approvals. These challenges could have a material adverse effect on our business, results of operations, financial condition and cash flows.</w:t>
      </w:r>
    </w:p>
    <w:p>
      <w:pPr>
        <w:spacing w:after="0" w:line="200" w:lineRule="exact"/>
        <w:rPr>
          <w:sz w:val="20"/>
          <w:szCs w:val="20"/>
          <w:color w:val="auto"/>
        </w:rPr>
      </w:pPr>
    </w:p>
    <w:p>
      <w:pPr>
        <w:ind w:right="600" w:firstLine="441"/>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In the ordinary course of business, we may be subject to product liability claims and lawsuits, including potential class actions, alleging that our products have resulted or could result in an unsafe condition or injury.</w:t>
      </w:r>
    </w:p>
    <w:p>
      <w:pPr>
        <w:spacing w:after="0" w:line="65" w:lineRule="exact"/>
        <w:rPr>
          <w:sz w:val="20"/>
          <w:szCs w:val="20"/>
          <w:color w:val="auto"/>
        </w:rPr>
      </w:pPr>
    </w:p>
    <w:p>
      <w:pPr>
        <w:ind w:right="80" w:firstLine="441"/>
        <w:spacing w:after="0" w:line="263" w:lineRule="auto"/>
        <w:rPr>
          <w:sz w:val="20"/>
          <w:szCs w:val="20"/>
          <w:color w:val="auto"/>
        </w:rPr>
      </w:pPr>
      <w:r>
        <w:rPr>
          <w:rFonts w:ascii="Times New Roman" w:cs="Times New Roman" w:eastAsia="Times New Roman" w:hAnsi="Times New Roman"/>
          <w:sz w:val="19"/>
          <w:szCs w:val="19"/>
          <w:color w:val="auto"/>
        </w:rPr>
        <w:t>Any product liability claim brought against us, with or without merit, could be time consuming and costly to defend and could result in an increase of our insurance premiums and cause reputational harm. Although we have not had any such claims to date, claims that could be brought against us might not be covered by our insurance policies. Furthermore, although we currently have product liability insurance coverage with policy limits that we believe are customary for pharmaceutical companies in the diagnostic medical imaging industry and adequate to provide us with insurance coverage for foreseeable risks, even where the claim is covered by our insurance, our insurance coverage might be inadequate and we would have to pay the amount of any settlement or judgment that is in excess of our policy limits. We may not be able to obtain insurance on terms acceptable to us or at all, since insurance varies in cost and can be difficult to obtain. Our failure to maintain adequate insurance coverage or successfully defend against product liability claims could have a material adverse effect on our business, results of operations, financial condition and cash flows.</w:t>
      </w:r>
    </w:p>
    <w:p>
      <w:pPr>
        <w:spacing w:after="0" w:line="189" w:lineRule="exact"/>
        <w:rPr>
          <w:sz w:val="20"/>
          <w:szCs w:val="20"/>
          <w:color w:val="auto"/>
        </w:rPr>
      </w:pPr>
    </w:p>
    <w:p>
      <w:pPr>
        <w:ind w:right="660" w:firstLine="441"/>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use hazardous materials in our business and must comply with environmental laws and regulations, which can be expensive.</w:t>
      </w:r>
    </w:p>
    <w:p>
      <w:pPr>
        <w:spacing w:after="0" w:line="65" w:lineRule="exact"/>
        <w:rPr>
          <w:sz w:val="20"/>
          <w:szCs w:val="20"/>
          <w:color w:val="auto"/>
        </w:rPr>
      </w:pPr>
    </w:p>
    <w:p>
      <w:pPr>
        <w:ind w:right="40" w:firstLine="441"/>
        <w:spacing w:after="0" w:line="247" w:lineRule="auto"/>
        <w:rPr>
          <w:sz w:val="20"/>
          <w:szCs w:val="20"/>
          <w:color w:val="auto"/>
        </w:rPr>
      </w:pPr>
      <w:r>
        <w:rPr>
          <w:rFonts w:ascii="Times New Roman" w:cs="Times New Roman" w:eastAsia="Times New Roman" w:hAnsi="Times New Roman"/>
          <w:sz w:val="20"/>
          <w:szCs w:val="20"/>
          <w:color w:val="auto"/>
        </w:rPr>
        <w:t>Our operations use hazardous materials and produce hazardous wastes, including radioactive, chemical and, in certain circumstances, biological materials and wastes. We are subject to a variety of federal, state and local laws and regulations, as well as non-U.S. laws and regulations relating to the transport, use, handling, storage, exposure to and disposal of these materials and wastes. Environmental laws and regulations are complex, change frequently and have generally become more stringent over time. We are required to obtain, maintain and renew various environmental permits and nuclear licenses. Although we believe that our safety procedures for transporting, using, handling, storing and disposing of, and limiting exposure to, these materials and wastes comply in all material respects with the standards prescribed by applicable laws and regulations, the risk of accidental contamination or injury cannot be eliminated. We place a high priority on these safety procedures and seek to limit any inherent risks. We generally contract with third parties for the disposal of wastes generated by our operations. We store low level radioactive waste at our facility and dispose of the materials in accordance with applicable laws and regulations. A majority of our low level radioactive waste is held to decay until materials are no longer considered radioactive. Although we believe we have complied in all material respects with all applicable environmental, health and safety laws and regulations, we cannot assure you that we have been or will be in compliance with all such laws at all times. If we violate these laws, we could be fined, criminally charged or otherwise sanctioned by regulators. We may be required to incur further costs to comply with current or future environmental and safety laws and regulations. In addition, in the event of accidental contamination or injury from these materials, we could be held liable for any damages that result and any such liability could exceed our resources.</w:t>
      </w:r>
    </w:p>
    <w:p>
      <w:pPr>
        <w:spacing w:after="0" w:line="211" w:lineRule="exact"/>
        <w:rPr>
          <w:sz w:val="20"/>
          <w:szCs w:val="20"/>
          <w:color w:val="auto"/>
        </w:rPr>
      </w:pPr>
    </w:p>
    <w:p>
      <w:pPr>
        <w:ind w:right="20" w:firstLine="441"/>
        <w:spacing w:after="0" w:line="264" w:lineRule="auto"/>
        <w:rPr>
          <w:sz w:val="20"/>
          <w:szCs w:val="20"/>
          <w:color w:val="auto"/>
        </w:rPr>
      </w:pPr>
      <w:r>
        <w:rPr>
          <w:rFonts w:ascii="Times New Roman" w:cs="Times New Roman" w:eastAsia="Times New Roman" w:hAnsi="Times New Roman"/>
          <w:sz w:val="19"/>
          <w:szCs w:val="19"/>
          <w:color w:val="auto"/>
        </w:rPr>
        <w:t>We previously leased a small portion of our North Billerica campus to PerkinElmer for the manufacturing, finishing and packaging of certain radioisotopes, including Strontium-90, which has physical characteristics that make it more challenging to work with and dispose of than our own commercial radioisotopes, including a much longer half-life. PerkinElmer decommissioned its space and vacated the premises as of December 30, 2021. We are fully indemnified by PerkinElmer under our lease for any property damage or personal injury resulting from their activities in our facility. If any release or excursion of radioactive materials took place from their leased space that resulted in property damage or personal injury, the indemnification obligations were not honored, and we were forced to cover any related remediation, clean-up or other expenses, depending on the magnitude, the cost of such remediation, clean-up or other expenses could have a material adverse effect on our business, results of operations, financial condition and cash flows.</w:t>
      </w:r>
    </w:p>
    <w:p>
      <w:pPr>
        <w:spacing w:after="0" w:line="194" w:lineRule="exact"/>
        <w:rPr>
          <w:sz w:val="20"/>
          <w:szCs w:val="20"/>
          <w:color w:val="auto"/>
        </w:rPr>
      </w:pPr>
    </w:p>
    <w:p>
      <w:pPr>
        <w:ind w:right="240" w:firstLine="441"/>
        <w:spacing w:after="0" w:line="252" w:lineRule="auto"/>
        <w:rPr>
          <w:sz w:val="20"/>
          <w:szCs w:val="20"/>
          <w:color w:val="auto"/>
        </w:rPr>
      </w:pPr>
      <w:r>
        <w:rPr>
          <w:rFonts w:ascii="Times New Roman" w:cs="Times New Roman" w:eastAsia="Times New Roman" w:hAnsi="Times New Roman"/>
          <w:sz w:val="20"/>
          <w:szCs w:val="20"/>
          <w:color w:val="auto"/>
        </w:rPr>
        <w:t>While we have budgeted for current and future capital and operating expenditures to maintain compliance with these laws and regulations, we cannot assure you that our costs of complying with current or future environmental, health and safety laws and regulations will not exceed our estimates or adversely affect our results of operations and financial condition. Further, we cannot assure you that we will not be subject to additional environmental claims for personal injury, investigation or cleanup in the future based on our past, present or future business activities.</w:t>
      </w:r>
    </w:p>
    <w:p>
      <w:pPr>
        <w:sectPr>
          <w:pgSz w:w="11880" w:h="15480" w:orient="portrait"/>
          <w:cols w:equalWidth="0" w:num="1">
            <w:col w:w="10580"/>
          </w:cols>
          <w:pgMar w:left="640" w:top="622"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43</w:t>
      </w:r>
    </w:p>
    <w:p>
      <w:pPr>
        <w:sectPr>
          <w:pgSz w:w="11880" w:h="15480" w:orient="portrait"/>
          <w:cols w:equalWidth="0" w:num="1">
            <w:col w:w="10580"/>
          </w:cols>
          <w:pgMar w:left="640" w:top="622" w:right="660" w:bottom="0" w:gutter="0" w:footer="0" w:header="0"/>
          <w:type w:val="continuous"/>
        </w:sectPr>
      </w:pPr>
    </w:p>
    <w:bookmarkStart w:id="49" w:name="page50"/>
    <w:bookmarkEnd w:id="49"/>
    <w:p>
      <w:pPr>
        <w:ind w:right="640" w:firstLine="441"/>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be adversely affected by prevailing economic conditions and financial, business and other factors beyond our control.</w:t>
      </w:r>
    </w:p>
    <w:p>
      <w:pPr>
        <w:spacing w:after="0" w:line="65" w:lineRule="exact"/>
        <w:rPr>
          <w:sz w:val="20"/>
          <w:szCs w:val="20"/>
          <w:color w:val="auto"/>
        </w:rPr>
      </w:pPr>
    </w:p>
    <w:p>
      <w:pPr>
        <w:ind w:right="20" w:firstLine="441"/>
        <w:spacing w:after="0" w:line="247" w:lineRule="auto"/>
        <w:rPr>
          <w:sz w:val="20"/>
          <w:szCs w:val="20"/>
          <w:color w:val="auto"/>
        </w:rPr>
      </w:pPr>
      <w:r>
        <w:rPr>
          <w:rFonts w:ascii="Times New Roman" w:cs="Times New Roman" w:eastAsia="Times New Roman" w:hAnsi="Times New Roman"/>
          <w:sz w:val="20"/>
          <w:szCs w:val="20"/>
          <w:color w:val="auto"/>
        </w:rPr>
        <w:t>Our ability to attract and retain employees, customers, invest in and grow our business, maintain our desired levels of costs of goods sold and operating expenses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U.S. and inflationary pressures, including escalating energy prices. We cannot anticipate all the ways in which the current or future economic climate and financial market conditions could adversely impact our business. We are exposed to risks associated with reduced profitability and the potential financial instability of our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customers may experience reductions in revenues, profitability and/or cash flow that could lead them to modify, delay or cancel orders for our products. If customers are not successful in generating sufficient revenue or are precluded from securing financing, they may not be able to pay, or may delay payment of, accounts receivable that are owed to us. This, in turn, could adversely affect our financial condition and liquidity. To the extent prevailing economic conditions result in fewer procedures being performed, our business, results of operations, financial condition and cash flows could be adversely affected.</w:t>
      </w:r>
    </w:p>
    <w:p>
      <w:pPr>
        <w:spacing w:after="0" w:line="214" w:lineRule="exact"/>
        <w:rPr>
          <w:sz w:val="20"/>
          <w:szCs w:val="20"/>
          <w:color w:val="auto"/>
        </w:rPr>
      </w:pPr>
    </w:p>
    <w:p>
      <w:pPr>
        <w:ind w:right="40" w:firstLine="441"/>
        <w:spacing w:after="0" w:line="249" w:lineRule="auto"/>
        <w:rPr>
          <w:sz w:val="20"/>
          <w:szCs w:val="20"/>
          <w:color w:val="auto"/>
        </w:rPr>
      </w:pPr>
      <w:r>
        <w:rPr>
          <w:rFonts w:ascii="Times New Roman" w:cs="Times New Roman" w:eastAsia="Times New Roman" w:hAnsi="Times New Roman"/>
          <w:sz w:val="20"/>
          <w:szCs w:val="20"/>
          <w:color w:val="auto"/>
        </w:rPr>
        <w:t>Similarly, we would expect our costs of goods sold and other operating expenses to change in the future in line with periodic inflationary changes in price levels. Because we intend to retain and continue to use our property and equipment, we believe that the incremental inflation related to the replacement costs of those items will not materially affect our operations. However, the rate of inflation affects our expenses, such as those for employee compensation, contract services, and transportation costs, which could increase our level of expenses and the rate at which we use our resources. While we generally believe that we will be able to offset the effect of price-level changes by adjusting our product prices and implementing operating efficiencies, any material unfavorable changes in price levels could have a material adverse effect on our financial condition, results of operations and cash flows.</w:t>
      </w:r>
    </w:p>
    <w:p>
      <w:pPr>
        <w:spacing w:after="0" w:line="203" w:lineRule="exact"/>
        <w:rPr>
          <w:sz w:val="20"/>
          <w:szCs w:val="20"/>
          <w:color w:val="auto"/>
        </w:rPr>
      </w:pPr>
    </w:p>
    <w:p>
      <w:pPr>
        <w:ind w:right="780" w:firstLine="441"/>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business is subject to international economic, political and other risks that could negatively affect our results of operations or financial position.</w:t>
      </w:r>
    </w:p>
    <w:p>
      <w:pPr>
        <w:spacing w:after="0" w:line="65" w:lineRule="exact"/>
        <w:rPr>
          <w:sz w:val="20"/>
          <w:szCs w:val="20"/>
          <w:color w:val="auto"/>
        </w:rPr>
      </w:pPr>
    </w:p>
    <w:p>
      <w:pPr>
        <w:ind w:right="280" w:firstLine="441"/>
        <w:spacing w:after="0" w:line="258" w:lineRule="auto"/>
        <w:rPr>
          <w:sz w:val="20"/>
          <w:szCs w:val="20"/>
          <w:color w:val="auto"/>
        </w:rPr>
      </w:pPr>
      <w:r>
        <w:rPr>
          <w:rFonts w:ascii="Times New Roman" w:cs="Times New Roman" w:eastAsia="Times New Roman" w:hAnsi="Times New Roman"/>
          <w:sz w:val="20"/>
          <w:szCs w:val="20"/>
          <w:color w:val="auto"/>
        </w:rPr>
        <w:t>For the year ended December 31, 2024, we derived approximately 3.2% of our revenues and sourced approximately 12.9% of our costs of goods sold outside of the United States. Accordingly, our business is subject to risks associated with doing business internationally, including:</w:t>
      </w:r>
    </w:p>
    <w:p>
      <w:pPr>
        <w:spacing w:after="0" w:line="82" w:lineRule="exact"/>
        <w:rPr>
          <w:sz w:val="20"/>
          <w:szCs w:val="20"/>
          <w:color w:val="auto"/>
        </w:rPr>
      </w:pPr>
    </w:p>
    <w:p>
      <w:pPr>
        <w:ind w:left="1060" w:right="360" w:hanging="346"/>
        <w:spacing w:after="0" w:line="271" w:lineRule="auto"/>
        <w:tabs>
          <w:tab w:leader="none" w:pos="10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 stable political and economic environment and changes in a specific country’s or region’s political or economic conditions;</w:t>
      </w:r>
    </w:p>
    <w:p>
      <w:pPr>
        <w:spacing w:after="0" w:line="68" w:lineRule="exact"/>
        <w:rPr>
          <w:rFonts w:ascii="Times New Roman" w:cs="Times New Roman" w:eastAsia="Times New Roman" w:hAnsi="Times New Roman"/>
          <w:sz w:val="20"/>
          <w:szCs w:val="20"/>
          <w:color w:val="auto"/>
        </w:rPr>
      </w:pPr>
    </w:p>
    <w:p>
      <w:pPr>
        <w:ind w:left="1060" w:hanging="346"/>
        <w:spacing w:after="0" w:line="258" w:lineRule="auto"/>
        <w:tabs>
          <w:tab w:leader="none" w:pos="10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trade policies, regulatory requirements and other barriers, including, for example, U.S. trade sanctions against Iran and those countries and entities doing business with Iran, which could adversely impact international isotope production and, indirectly, our global supply chain;</w:t>
      </w:r>
    </w:p>
    <w:p>
      <w:pPr>
        <w:spacing w:after="0" w:line="81"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to, or the imposition of new tariffs or customs duties;</w:t>
      </w:r>
    </w:p>
    <w:p>
      <w:pPr>
        <w:spacing w:after="0" w:line="122" w:lineRule="exact"/>
        <w:rPr>
          <w:rFonts w:ascii="Times New Roman" w:cs="Times New Roman" w:eastAsia="Times New Roman" w:hAnsi="Times New Roman"/>
          <w:sz w:val="20"/>
          <w:szCs w:val="20"/>
          <w:color w:val="auto"/>
        </w:rPr>
      </w:pPr>
    </w:p>
    <w:p>
      <w:pPr>
        <w:ind w:left="1060" w:right="1060" w:hanging="346"/>
        <w:spacing w:after="0" w:line="271" w:lineRule="auto"/>
        <w:tabs>
          <w:tab w:leader="none" w:pos="10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global disruptions in air transport, which could adversely affect our international supply chains for radioisotopes, as well as international distribution channels for our commercial products;</w:t>
      </w:r>
    </w:p>
    <w:p>
      <w:pPr>
        <w:spacing w:after="0" w:line="68" w:lineRule="exact"/>
        <w:rPr>
          <w:rFonts w:ascii="Times New Roman" w:cs="Times New Roman" w:eastAsia="Times New Roman" w:hAnsi="Times New Roman"/>
          <w:sz w:val="20"/>
          <w:szCs w:val="20"/>
          <w:color w:val="auto"/>
        </w:rPr>
      </w:pPr>
    </w:p>
    <w:p>
      <w:pPr>
        <w:jc w:val="both"/>
        <w:ind w:left="1060" w:right="100" w:hanging="346"/>
        <w:spacing w:after="0" w:line="258" w:lineRule="auto"/>
        <w:tabs>
          <w:tab w:leader="none" w:pos="10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Entering into, renewing or enforcing commercial agreements with international governments or provincial authorities or entities directly or indirectly owned or controlled by such governments or authorities, such as our Chinese development and commercialization partner, Double-Crane;</w:t>
      </w:r>
    </w:p>
    <w:p>
      <w:pPr>
        <w:spacing w:after="0" w:line="81"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International customers which are agencies or institutions owned or controlled by foreign governments;</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Local business practices which may be in conflict with the FCPA and the Bribery Act;</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Currency fluctuations;</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Unfavorable labor regulations;</w:t>
      </w:r>
    </w:p>
    <w:p>
      <w:pPr>
        <w:spacing w:after="0" w:line="122" w:lineRule="exact"/>
        <w:rPr>
          <w:rFonts w:ascii="Times New Roman" w:cs="Times New Roman" w:eastAsia="Times New Roman" w:hAnsi="Times New Roman"/>
          <w:sz w:val="20"/>
          <w:szCs w:val="20"/>
          <w:color w:val="auto"/>
        </w:rPr>
      </w:pPr>
    </w:p>
    <w:p>
      <w:pPr>
        <w:ind w:left="1060" w:right="720" w:hanging="346"/>
        <w:spacing w:after="0" w:line="271" w:lineRule="auto"/>
        <w:tabs>
          <w:tab w:leader="none" w:pos="10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Greater difficulties in relying on non-U.S. courts to enforce either local or U.S. laws, particularly with respect to intellectual property;</w:t>
      </w:r>
    </w:p>
    <w:p>
      <w:pPr>
        <w:spacing w:after="0" w:line="68"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Greater potential for intellectual property piracy;</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Greater difficulties in managing and staffing non-U.S. operations, including our EXINI operations in Sweden;</w:t>
      </w:r>
    </w:p>
    <w:p>
      <w:pPr>
        <w:spacing w:after="0" w:line="122" w:lineRule="exact"/>
        <w:rPr>
          <w:rFonts w:ascii="Times New Roman" w:cs="Times New Roman" w:eastAsia="Times New Roman" w:hAnsi="Times New Roman"/>
          <w:sz w:val="20"/>
          <w:szCs w:val="20"/>
          <w:color w:val="auto"/>
        </w:rPr>
      </w:pPr>
    </w:p>
    <w:p>
      <w:pPr>
        <w:ind w:left="1060" w:right="360" w:hanging="346"/>
        <w:spacing w:after="0" w:line="278" w:lineRule="auto"/>
        <w:tabs>
          <w:tab w:leader="none" w:pos="106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need to ensure compliance with the numerous in-country and international regulatory and legal requirements applicable to our business in each of these jurisdictions and to maintain an effective compliance program to ensure compliance with these requirements, including in connection with the General Data Protection Regulation in the EU;</w:t>
      </w:r>
    </w:p>
    <w:p>
      <w:pPr>
        <w:sectPr>
          <w:pgSz w:w="11880" w:h="15480" w:orient="portrait"/>
          <w:cols w:equalWidth="0" w:num="1">
            <w:col w:w="10580"/>
          </w:cols>
          <w:pgMar w:left="640" w:top="614" w:right="660" w:bottom="0" w:gutter="0" w:footer="0" w:header="0"/>
        </w:sect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44</w:t>
      </w:r>
    </w:p>
    <w:p>
      <w:pPr>
        <w:sectPr>
          <w:pgSz w:w="11880" w:h="15480" w:orient="portrait"/>
          <w:cols w:equalWidth="0" w:num="1">
            <w:col w:w="10580"/>
          </w:cols>
          <w:pgMar w:left="640" w:top="614" w:right="660" w:bottom="0" w:gutter="0" w:footer="0" w:header="0"/>
          <w:type w:val="continuous"/>
        </w:sectPr>
      </w:pPr>
    </w:p>
    <w:bookmarkStart w:id="50" w:name="page51"/>
    <w:bookmarkEnd w:id="50"/>
    <w:p>
      <w:pPr>
        <w:ind w:left="1060" w:hanging="346"/>
        <w:spacing w:after="0"/>
        <w:tabs>
          <w:tab w:leader="none" w:pos="10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public attitudes about the perceived safety of nuclear facilities;</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Civil unrest or other catastrophic events; and</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Longer payment cycles of non-U.S. customers and difficulty collecting receivables in non-U.S. jurisdictions.</w:t>
      </w:r>
    </w:p>
    <w:p>
      <w:pPr>
        <w:spacing w:after="0" w:line="240" w:lineRule="exact"/>
        <w:rPr>
          <w:sz w:val="20"/>
          <w:szCs w:val="20"/>
          <w:color w:val="auto"/>
        </w:rPr>
      </w:pPr>
    </w:p>
    <w:p>
      <w:pPr>
        <w:jc w:val="both"/>
        <w:ind w:right="180" w:firstLine="441"/>
        <w:spacing w:after="0" w:line="258" w:lineRule="auto"/>
        <w:rPr>
          <w:sz w:val="20"/>
          <w:szCs w:val="20"/>
          <w:color w:val="auto"/>
        </w:rPr>
      </w:pPr>
      <w:r>
        <w:rPr>
          <w:rFonts w:ascii="Times New Roman" w:cs="Times New Roman" w:eastAsia="Times New Roman" w:hAnsi="Times New Roman"/>
          <w:sz w:val="20"/>
          <w:szCs w:val="20"/>
          <w:color w:val="auto"/>
        </w:rPr>
        <w:t>These factors are beyond our control. The realization of any of these or other risks associated with operating outside the United States, including the need to import materials from outside the U.S. to produce our products, could have a material adverse effect on our business, results of operations, financial condition and cash flows.</w:t>
      </w:r>
    </w:p>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We face currency and other risks associated with international sales.</w:t>
      </w:r>
    </w:p>
    <w:p>
      <w:pPr>
        <w:spacing w:after="0" w:line="131" w:lineRule="exact"/>
        <w:rPr>
          <w:sz w:val="20"/>
          <w:szCs w:val="20"/>
          <w:color w:val="auto"/>
        </w:rPr>
      </w:pPr>
    </w:p>
    <w:p>
      <w:pPr>
        <w:ind w:right="40" w:firstLine="441"/>
        <w:spacing w:after="0" w:line="250" w:lineRule="auto"/>
        <w:rPr>
          <w:sz w:val="20"/>
          <w:szCs w:val="20"/>
          <w:color w:val="auto"/>
        </w:rPr>
      </w:pPr>
      <w:r>
        <w:rPr>
          <w:rFonts w:ascii="Times New Roman" w:cs="Times New Roman" w:eastAsia="Times New Roman" w:hAnsi="Times New Roman"/>
          <w:sz w:val="20"/>
          <w:szCs w:val="20"/>
          <w:color w:val="auto"/>
        </w:rPr>
        <w:t>We generate revenue from export sales, as well as from operations conducted outside the United States. Operations outside the U.S. expose us to risks including fluctuations in currency values, trade restrictions, tariff and trade regulations, U.S. export controls, U.S. and non</w:t>
      </w:r>
      <w:r>
        <w:rPr>
          <w:rFonts w:ascii="Arial" w:cs="Arial" w:eastAsia="Arial" w:hAnsi="Arial"/>
          <w:sz w:val="20"/>
          <w:szCs w:val="20"/>
          <w:color w:val="auto"/>
        </w:rPr>
        <w:t>-</w:t>
      </w:r>
      <w:r>
        <w:rPr>
          <w:rFonts w:ascii="Times New Roman" w:cs="Times New Roman" w:eastAsia="Times New Roman" w:hAnsi="Times New Roman"/>
          <w:sz w:val="20"/>
          <w:szCs w:val="20"/>
          <w:color w:val="auto"/>
        </w:rPr>
        <w:t>U.S. tax laws, shipping delays and economic and political instability. For example, violations of U.S. export controls, including those administered by the U.S. Treasury Department’s Office of Foreign Assets Control, could result in fines, other civil or criminal penalties and the suspension or loss of export privileges which could have a material adverse effect on our business, results of operations, financial conditions and cash flows.</w:t>
      </w:r>
    </w:p>
    <w:p>
      <w:pPr>
        <w:spacing w:after="0" w:line="200" w:lineRule="exact"/>
        <w:rPr>
          <w:sz w:val="20"/>
          <w:szCs w:val="20"/>
          <w:color w:val="auto"/>
        </w:rPr>
      </w:pPr>
    </w:p>
    <w:p>
      <w:pPr>
        <w:ind w:right="540" w:firstLine="441"/>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business depends on the continued effectiveness and availability of our information technology infrastructure, and failures of this infrastructure could harm our operations.</w:t>
      </w:r>
    </w:p>
    <w:p>
      <w:pPr>
        <w:spacing w:after="0" w:line="65"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9"/>
          <w:szCs w:val="19"/>
          <w:color w:val="auto"/>
        </w:rPr>
        <w:t>To remain competitive in our industry, we must employ information technologies to support manufacturing processes, quality processes, distribution, research and development and regulatory applications to capture, manage and analyze large streams of data in compliance with applicable regulatory requirements. While we rely extensively on technology, some of which is managed by third-party service providers, to allow the concurrent conduct of work sharing around the world, all aspects of our business are not automated and we cannot eliminate all potential risks associated with our information technology systems, including those associated with introducing new systems, processes or data. As with all information technology, our equipment and infrastructure age and become subject to increasing maintenance and repair and our systems generally are vulnerable to potential damage or interruptions from fires, natural disasters, power outages, blackouts, machinery breakdown, telecommunications failures and other unexpected events, as well as to break-ins, sabotage, increasingly sophisticated intentional acts of vandalism or cybersecurity threats which, due to the nature of such attacks, may remain undetected for a period of time. In addition, a failure to adopt evolving technologies could introduce risk as legacy systems may be incompatible with newer technologies introduced to our systems or become less effective, inefficient to sustain and potentially obsolete. As these threats continue to evolve, we may be required to expend additional resources to enhance our information security measures or to investigate and remediate any information security vulnerabilities. Given the extensive reliance of our business on technology, including reliance on third-party service providers, any failure to adhere to robust security practice or any substantial disruption or resulting loss of data that is not avoided or either corrected by our backup measures or other means, could result in legal liability, harm our business, reputation, operations and financial condition.</w:t>
      </w:r>
    </w:p>
    <w:p>
      <w:pPr>
        <w:spacing w:after="0" w:line="189" w:lineRule="exact"/>
        <w:rPr>
          <w:sz w:val="20"/>
          <w:szCs w:val="20"/>
          <w:color w:val="auto"/>
        </w:rPr>
      </w:pPr>
    </w:p>
    <w:p>
      <w:pPr>
        <w:ind w:right="440" w:firstLine="441"/>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A disruption in our computer networks, including those related to cybersecurity, could adversely affect our operations or financial position.</w:t>
      </w:r>
    </w:p>
    <w:p>
      <w:pPr>
        <w:spacing w:after="0" w:line="65" w:lineRule="exact"/>
        <w:rPr>
          <w:sz w:val="20"/>
          <w:szCs w:val="20"/>
          <w:color w:val="auto"/>
        </w:rPr>
      </w:pPr>
    </w:p>
    <w:p>
      <w:pPr>
        <w:ind w:right="60" w:firstLine="441"/>
        <w:spacing w:after="0" w:line="249" w:lineRule="auto"/>
        <w:rPr>
          <w:sz w:val="20"/>
          <w:szCs w:val="20"/>
          <w:color w:val="auto"/>
        </w:rPr>
      </w:pPr>
      <w:r>
        <w:rPr>
          <w:rFonts w:ascii="Times New Roman" w:cs="Times New Roman" w:eastAsia="Times New Roman" w:hAnsi="Times New Roman"/>
          <w:sz w:val="20"/>
          <w:szCs w:val="20"/>
          <w:color w:val="auto"/>
        </w:rPr>
        <w:t>We believe that our cybersecurity program is designed to effectively mitigate the risks of material cybersecurity incidents. However, our management does not expect that our cybersecurity program will prevent or detect all occurrences of cybersecurity incidents, material or otherwise, and there is potential risk that certain cybersecurity breaches may go undetected for a period of time. The design of our cybersecurity program is based, in part, upon certain assumptions about the likelihood of future incidents, and there can be no assurance that any design will prevent or detect all cybersecurity breaches. Over time, certain aspects of cybersecurity programs may become inadequate because of changes in technology, sophistication of cybersecurity attacks, emerging threats or other conditions, or the degree of compliance with our policies and procedures may deteriorate.</w:t>
      </w:r>
    </w:p>
    <w:p>
      <w:pPr>
        <w:spacing w:after="0" w:line="211" w:lineRule="exact"/>
        <w:rPr>
          <w:sz w:val="20"/>
          <w:szCs w:val="20"/>
          <w:color w:val="auto"/>
        </w:rPr>
      </w:pPr>
    </w:p>
    <w:p>
      <w:pPr>
        <w:ind w:right="40" w:firstLine="441"/>
        <w:spacing w:after="0" w:line="262" w:lineRule="auto"/>
        <w:rPr>
          <w:sz w:val="20"/>
          <w:szCs w:val="20"/>
          <w:color w:val="auto"/>
        </w:rPr>
      </w:pPr>
      <w:r>
        <w:rPr>
          <w:rFonts w:ascii="Times New Roman" w:cs="Times New Roman" w:eastAsia="Times New Roman" w:hAnsi="Times New Roman"/>
          <w:sz w:val="19"/>
          <w:szCs w:val="19"/>
          <w:color w:val="auto"/>
        </w:rPr>
        <w:t>We rely on our computer networks and systems, some of which are managed by third parties, to manage and store electronic information (including sensitive data such as confidential business information, personally identifiable data and personal health information), and to manage or support a variety of critical business processes and activities. We may face threats to our networks from unauthorized access, security breaches and other system disruptions. Despite our security measures, our infrastructure may be vulnerable to external or internal attacks. Any such security breach may compromise information stored on our networks and may result in significant data losses or theft of sensitive or proprietary information. A cybersecurity breach could hurt our reputation by adversely affecting the perception of customers and potential customers about the security of their orders and personal information, as well as the perception of our manufacturing partners of the security of their proprietary information. In addition, a cybersecurity attack could result in other negative consequences, including disruption of our internal operations, increased cybersecurity protection costs, lost revenue, regulatory actions or litigation. Any disruption of internal operations could also have a material adverse impact on our results of operations, financial condition and cash flows. To date, we have not experienced any known material cybersecurity attacks.</w:t>
      </w:r>
    </w:p>
    <w:p>
      <w:pPr>
        <w:sectPr>
          <w:pgSz w:w="11880" w:h="15480" w:orient="portrait"/>
          <w:cols w:equalWidth="0" w:num="1">
            <w:col w:w="10600"/>
          </w:cols>
          <w:pgMar w:left="640" w:top="622" w:right="640" w:bottom="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880" w:h="15480" w:orient="portrait"/>
          <w:cols w:equalWidth="0" w:num="1">
            <w:col w:w="10600"/>
          </w:cols>
          <w:pgMar w:left="640" w:top="622" w:right="640" w:bottom="0" w:gutter="0" w:footer="0" w:header="0"/>
          <w:type w:val="continuous"/>
        </w:sectPr>
      </w:pPr>
    </w:p>
    <w:bookmarkStart w:id="51" w:name="page52"/>
    <w:bookmarkEnd w:id="51"/>
    <w:p>
      <w:pPr>
        <w:ind w:right="100" w:firstLine="441"/>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be limited in our ability to utilize, or may not be able to utilize, net operating loss carryforwards to reduce our future tax liability.</w:t>
      </w:r>
    </w:p>
    <w:p>
      <w:pPr>
        <w:spacing w:after="0" w:line="65"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9"/>
          <w:szCs w:val="19"/>
          <w:color w:val="auto"/>
        </w:rPr>
        <w:t>As of December 31, 2024, we had U.S. federal income tax loss carryforwards of $269.9 million, $128.1 million of which will expire between 2027 and 2037, $141.8 million of which can be carried forward indefinitely, and state income tax loss carryforwards of $9.1 million, tax-effected. We may be limited in our ability to use these tax loss carryforwards to reduce our future U.S. federal and state income tax liabilities if our future income is not sufficient to absorb the losses, or if we were to experience another “ownership change” as specified in Section 382 of the Internal Revenue Code including if we were to issue a certain amount of equity securities, certain of our stockholders were to sell shares of our common stock, or we were to enter into certain strategic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Risks Related to our and our Strategic Partners’ Portfolios of Clinical Development Candidates</w:t>
      </w:r>
    </w:p>
    <w:p>
      <w:pPr>
        <w:spacing w:after="0" w:line="240" w:lineRule="exact"/>
        <w:rPr>
          <w:sz w:val="20"/>
          <w:szCs w:val="20"/>
          <w:color w:val="auto"/>
        </w:rPr>
      </w:pPr>
    </w:p>
    <w:p>
      <w:pPr>
        <w:ind w:right="300" w:firstLine="441"/>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not, or may take longer to, realize the expected benefits and opportunities related to, investments we have made to develop diagnostic product candidates to be used in diagnosing, staging and monitoring Alzheimer’s disease.</w:t>
      </w:r>
    </w:p>
    <w:p>
      <w:pPr>
        <w:spacing w:after="0" w:line="65" w:lineRule="exact"/>
        <w:rPr>
          <w:sz w:val="20"/>
          <w:szCs w:val="20"/>
          <w:color w:val="auto"/>
        </w:rPr>
      </w:pPr>
    </w:p>
    <w:p>
      <w:pPr>
        <w:jc w:val="both"/>
        <w:ind w:right="60" w:firstLine="441"/>
        <w:spacing w:after="0" w:line="258" w:lineRule="auto"/>
        <w:rPr>
          <w:sz w:val="20"/>
          <w:szCs w:val="20"/>
          <w:color w:val="auto"/>
        </w:rPr>
      </w:pPr>
      <w:r>
        <w:rPr>
          <w:rFonts w:ascii="Times New Roman" w:cs="Times New Roman" w:eastAsia="Times New Roman" w:hAnsi="Times New Roman"/>
          <w:sz w:val="20"/>
          <w:szCs w:val="20"/>
          <w:color w:val="auto"/>
        </w:rPr>
        <w:t>During 2024, we acquired Meilleur, which holds the rights under a license agreement to develop and commercialize NAV-4694, an investigational late-stage F-18-labeled PET imaging agent that targets beta amyloid in Alzheimer’s disease. NAV-4694 is currently in Phase 3 development and is also being used in academic and industry sponsored clinical trials.</w:t>
      </w:r>
    </w:p>
    <w:p>
      <w:pPr>
        <w:spacing w:after="0" w:line="82"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20"/>
          <w:szCs w:val="20"/>
          <w:color w:val="auto"/>
        </w:rPr>
        <w:t>Previously, we acquired MK-6240, which is an investigational late-stage F-18-labeled PET imaging agent that targets tau tangles. In 2024, we held a pre-NDA meeting with the FDA and we expect to submit a new drug application (“NDA”) for MK-6240 in 2025, but we can provide no assurance that we will meet that expected timeline, that our NDA will be accepted by the FDA, that MK-6240 will be approved by the FDA based on the data submitted or, if approved, that we will be successful in commercializing MK-6240.</w:t>
      </w:r>
    </w:p>
    <w:p>
      <w:pPr>
        <w:spacing w:after="0" w:line="86" w:lineRule="exact"/>
        <w:rPr>
          <w:sz w:val="20"/>
          <w:szCs w:val="20"/>
          <w:color w:val="auto"/>
        </w:rPr>
      </w:pPr>
    </w:p>
    <w:p>
      <w:pPr>
        <w:ind w:right="60" w:firstLine="441"/>
        <w:spacing w:after="0" w:line="249" w:lineRule="auto"/>
        <w:rPr>
          <w:sz w:val="20"/>
          <w:szCs w:val="20"/>
          <w:color w:val="auto"/>
        </w:rPr>
      </w:pPr>
      <w:r>
        <w:rPr>
          <w:rFonts w:ascii="Times New Roman" w:cs="Times New Roman" w:eastAsia="Times New Roman" w:hAnsi="Times New Roman"/>
          <w:sz w:val="20"/>
          <w:szCs w:val="20"/>
          <w:color w:val="auto"/>
        </w:rPr>
        <w:t>While we believe that both MK-6240, as a tau imaging agent, and NAV-4694, as a beta amyloid imaging agent, have the potential to play an important role in diagnosing, staging and monitoring Alzheimer’s disease, we can give no assurance that we will be successful with continued development, regulatory approval and commercialization of these product candidates or that disagreements with the counterparties to our license agreements for MK-6240 and NAV-4694 or the former stockholders of the companies we acquired who could receive future milestone and royalty-based payments will not arise over proprietary rights, contract interpretation or the preferred course of product research, development or marketing that might cause delays or termination of the license agreements, or might result in litigation or arbitration, which could be time-consuming and expensive.</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i w:val="1"/>
          <w:iCs w:val="1"/>
          <w:color w:val="auto"/>
        </w:rPr>
        <w:t>We may not, or may take longer to, realize the expected benefits and opportunities related to, the POINT License Agreements.</w:t>
      </w:r>
    </w:p>
    <w:p>
      <w:pPr>
        <w:spacing w:after="0" w:line="142" w:lineRule="exact"/>
        <w:rPr>
          <w:sz w:val="20"/>
          <w:szCs w:val="20"/>
          <w:color w:val="auto"/>
        </w:rPr>
      </w:pPr>
    </w:p>
    <w:p>
      <w:pPr>
        <w:ind w:right="20" w:firstLine="441"/>
        <w:spacing w:after="0" w:line="247" w:lineRule="auto"/>
        <w:rPr>
          <w:sz w:val="20"/>
          <w:szCs w:val="20"/>
          <w:color w:val="auto"/>
        </w:rPr>
      </w:pPr>
      <w:r>
        <w:rPr>
          <w:rFonts w:ascii="Times New Roman" w:cs="Times New Roman" w:eastAsia="Times New Roman" w:hAnsi="Times New Roman"/>
          <w:sz w:val="20"/>
          <w:szCs w:val="20"/>
          <w:color w:val="auto"/>
        </w:rPr>
        <w:t>On December 20, 2022, we announced the closing of a set of strategic collaborations with an affiliate of POINT, in which we were granted a license to exclusive worldwide rights (excluding Japan, South Korea, China (including Hong Kong, Macau and Taiwan), Singapore and Indonesia) to co-develop and commercialize POINT’s PNT2002 and PNT2003 product candidates (the “POINT License Agreements”). The expected benefits and opportunities related to the POINT License Agreements may not be realized or may take longer to realize than expected due to, for example, challenges and uncertainties inherent in product research, development, manufacturing, regulatory approval, marketing and competition. In particular, activities under the POINT License Agreements may not result in viable products suitable for commercialization in a timely manner or at all, due to a variety of reasons, including any inability of the relevant parties to perform their commitments and obligations under the POINT License Agreements. The POINT License Agreements impose various development, regulatory filing, commercialization and other obligations on us, and require us to meet development timelines or to exercise commercially reasonable efforts to develop and commercialize licensed products. We, along with our counterparty in the POINT License Agreements, may not be able to meet expected or planned regulatory milestones and timelines due to a number of factors, including, with respect to PNT2003, the PNT2003 Litigation, which could postpone FDA approval for up to 30 months. Even if the licensed products are suitable for commercialization in a timely manner, we may not achieve the expected revenues from the sale of such products, and our revenue, ability to achieve profitability and return on investment may be adversely affected.</w:t>
      </w:r>
    </w:p>
    <w:p>
      <w:pPr>
        <w:spacing w:after="0" w:line="213" w:lineRule="exact"/>
        <w:rPr>
          <w:sz w:val="20"/>
          <w:szCs w:val="20"/>
          <w:color w:val="auto"/>
        </w:rPr>
      </w:pPr>
    </w:p>
    <w:p>
      <w:pPr>
        <w:ind w:right="140" w:firstLine="441"/>
        <w:spacing w:after="0" w:line="249" w:lineRule="auto"/>
        <w:rPr>
          <w:sz w:val="20"/>
          <w:szCs w:val="20"/>
          <w:color w:val="auto"/>
        </w:rPr>
      </w:pPr>
      <w:r>
        <w:rPr>
          <w:rFonts w:ascii="Times New Roman" w:cs="Times New Roman" w:eastAsia="Times New Roman" w:hAnsi="Times New Roman"/>
          <w:sz w:val="20"/>
          <w:szCs w:val="20"/>
          <w:color w:val="auto"/>
        </w:rPr>
        <w:t>On December 18, 2023, we announced positive topline results from the Phase 3 registrational clinical trial for PNT 2002 (“SPLASH”). On September 15, 2024, we presented additional clinical data from initial topline results of SPLASH during the European Society of Medical Oncology Congress 2024. On November 6, 2024, we announced the completion of the second interim analysis for SPLASH at 75% of protocol pre-specified target OS events. Although the results the SPLASH trial met its primary endpoint, interim overall survival results were immature and results for both rPFS and OS at the second interim analysis did not materially change from the interim analysis that was performed at 46% of pre-specified OS events. We can give no assurance that, as additional data become available, such data will represent a material change from the topline data we previously published, or that such data will support an NDA filing, FDA approval, or successful commercialization of PNT2002.</w:t>
      </w:r>
    </w:p>
    <w:p>
      <w:pPr>
        <w:spacing w:after="0" w:line="208" w:lineRule="exact"/>
        <w:rPr>
          <w:sz w:val="20"/>
          <w:szCs w:val="20"/>
          <w:color w:val="auto"/>
        </w:rPr>
      </w:pPr>
    </w:p>
    <w:p>
      <w:pPr>
        <w:ind w:right="560" w:firstLine="441"/>
        <w:spacing w:after="0" w:line="271" w:lineRule="auto"/>
        <w:rPr>
          <w:sz w:val="20"/>
          <w:szCs w:val="20"/>
          <w:color w:val="auto"/>
        </w:rPr>
      </w:pPr>
      <w:r>
        <w:rPr>
          <w:rFonts w:ascii="Times New Roman" w:cs="Times New Roman" w:eastAsia="Times New Roman" w:hAnsi="Times New Roman"/>
          <w:sz w:val="20"/>
          <w:szCs w:val="20"/>
          <w:color w:val="auto"/>
        </w:rPr>
        <w:t>In addition, we are dependent on POINT to develop commercial product capacity and manufacture for both PNT2002 and PNT2003.</w:t>
      </w:r>
    </w:p>
    <w:p>
      <w:pPr>
        <w:sectPr>
          <w:pgSz w:w="11880" w:h="15480" w:orient="portrait"/>
          <w:cols w:equalWidth="0" w:num="1">
            <w:col w:w="10580"/>
          </w:cols>
          <w:pgMar w:left="640" w:top="614" w:right="660" w:bottom="0" w:gutter="0" w:footer="0" w:header="0"/>
        </w:sect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46</w:t>
      </w:r>
    </w:p>
    <w:p>
      <w:pPr>
        <w:sectPr>
          <w:pgSz w:w="11880" w:h="15480" w:orient="portrait"/>
          <w:cols w:equalWidth="0" w:num="1">
            <w:col w:w="10580"/>
          </w:cols>
          <w:pgMar w:left="640" w:top="614" w:right="660" w:bottom="0" w:gutter="0" w:footer="0" w:header="0"/>
          <w:type w:val="continuous"/>
        </w:sectPr>
      </w:pPr>
    </w:p>
    <w:bookmarkStart w:id="52" w:name="page53"/>
    <w:bookmarkEnd w:id="52"/>
    <w:p>
      <w:pPr>
        <w:ind w:right="180" w:firstLine="441"/>
        <w:spacing w:after="0" w:line="254" w:lineRule="auto"/>
        <w:rPr>
          <w:sz w:val="20"/>
          <w:szCs w:val="20"/>
          <w:color w:val="auto"/>
        </w:rPr>
      </w:pPr>
      <w:r>
        <w:rPr>
          <w:rFonts w:ascii="Times New Roman" w:cs="Times New Roman" w:eastAsia="Times New Roman" w:hAnsi="Times New Roman"/>
          <w:sz w:val="20"/>
          <w:szCs w:val="20"/>
          <w:color w:val="auto"/>
        </w:rPr>
        <w:t>Disagreements with POINT in the POINT License Agreements over proprietary rights, contract interpretation or the preferred course of product research, development, regulatory strategy or marketing, might cause delays in performance of the POINT License Agreements or termination of the POINT License Agreements, or might result in litigation or arbitration, which could be time-consuming and expensive.</w:t>
      </w:r>
    </w:p>
    <w:p>
      <w:pPr>
        <w:spacing w:after="0" w:line="202"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20"/>
          <w:szCs w:val="20"/>
          <w:color w:val="auto"/>
        </w:rPr>
        <w:t>Additionally, if we fail to comply with our obligations under the POINT License Agreements, then POINT may conclude that we have materially breached and may terminate one or both of the POINT License Agreements, in which event we may lose our rights to develop and market PNT2002 and PNT2003 or incur liability for damages.</w:t>
      </w:r>
    </w:p>
    <w:p>
      <w:pPr>
        <w:spacing w:after="0" w:line="1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Any of the foregoing risks could have a material adverse effect on our business, results of operations and financial condition.</w:t>
      </w:r>
    </w:p>
    <w:p>
      <w:pPr>
        <w:spacing w:after="0" w:line="232" w:lineRule="exact"/>
        <w:rPr>
          <w:sz w:val="20"/>
          <w:szCs w:val="20"/>
          <w:color w:val="auto"/>
        </w:rPr>
      </w:pPr>
    </w:p>
    <w:p>
      <w:pPr>
        <w:ind w:right="480" w:firstLine="441"/>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process of developing new drugs and obtaining regulatory approval is complex, time-consuming and costly, and the outcome is not certain.</w:t>
      </w:r>
    </w:p>
    <w:p>
      <w:pPr>
        <w:spacing w:after="0" w:line="65" w:lineRule="exact"/>
        <w:rPr>
          <w:sz w:val="20"/>
          <w:szCs w:val="20"/>
          <w:color w:val="auto"/>
        </w:rPr>
      </w:pPr>
    </w:p>
    <w:p>
      <w:pPr>
        <w:ind w:right="80" w:firstLine="441"/>
        <w:spacing w:after="0" w:line="264" w:lineRule="auto"/>
        <w:rPr>
          <w:sz w:val="20"/>
          <w:szCs w:val="20"/>
          <w:color w:val="auto"/>
        </w:rPr>
      </w:pPr>
      <w:r>
        <w:rPr>
          <w:rFonts w:ascii="Times New Roman" w:cs="Times New Roman" w:eastAsia="Times New Roman" w:hAnsi="Times New Roman"/>
          <w:sz w:val="19"/>
          <w:szCs w:val="19"/>
          <w:color w:val="auto"/>
        </w:rPr>
        <w:t xml:space="preserve">We currently have pre-clinical and clinical development programs in the U.S., and are exploring additional lifecycle management opportunities for some of our current products, including PYLARIFY. To obtain regulatory approval for these products, we must conduct extensive human tests, which are referred to as clinical trials, as well as meet other rigorous regulatory requirements, as further described in Part I, Item 1. </w:t>
      </w:r>
      <w:r>
        <w:rPr>
          <w:rFonts w:ascii="Times New Roman" w:cs="Times New Roman" w:eastAsia="Times New Roman" w:hAnsi="Times New Roman"/>
          <w:sz w:val="19"/>
          <w:szCs w:val="19"/>
          <w:i w:val="1"/>
          <w:iCs w:val="1"/>
          <w:color w:val="auto"/>
        </w:rPr>
        <w:t>“Business—Regulatory Matters”</w:t>
      </w:r>
      <w:r>
        <w:rPr>
          <w:rFonts w:ascii="Times New Roman" w:cs="Times New Roman" w:eastAsia="Times New Roman" w:hAnsi="Times New Roman"/>
          <w:sz w:val="19"/>
          <w:szCs w:val="19"/>
          <w:color w:val="auto"/>
        </w:rPr>
        <w:t xml:space="preserve"> to this Form 10-K. In connection with our ongoing development activities, we currently depend, and expect to continue to depend, on numerous third parties, including contract research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organizations, clinical trial investigators and contract manufacturing organizations. If any of these service providers breach or</w:t>
      </w:r>
    </w:p>
    <w:p>
      <w:pPr>
        <w:spacing w:after="0" w:line="25"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20"/>
          <w:szCs w:val="20"/>
          <w:color w:val="auto"/>
        </w:rPr>
        <w:t>terminate its agreement with us or otherwise fail to conduct the service for which it is responsible successfully and in a timely and compliant manner, the development or commercialization of the affected product candidate or research program could be delayed or terminated. In addition, oversight of third-party service providers can be costly and time consuming and could divert management’s and other personnel’s time and attention,</w:t>
      </w:r>
    </w:p>
    <w:p>
      <w:pPr>
        <w:spacing w:after="0" w:line="85" w:lineRule="exact"/>
        <w:rPr>
          <w:sz w:val="20"/>
          <w:szCs w:val="20"/>
          <w:color w:val="auto"/>
        </w:rPr>
      </w:pPr>
    </w:p>
    <w:p>
      <w:pPr>
        <w:ind w:right="60" w:firstLine="441"/>
        <w:spacing w:after="0" w:line="249" w:lineRule="auto"/>
        <w:rPr>
          <w:sz w:val="20"/>
          <w:szCs w:val="20"/>
          <w:color w:val="auto"/>
        </w:rPr>
      </w:pPr>
      <w:r>
        <w:rPr>
          <w:rFonts w:ascii="Times New Roman" w:cs="Times New Roman" w:eastAsia="Times New Roman" w:hAnsi="Times New Roman"/>
          <w:sz w:val="20"/>
          <w:szCs w:val="20"/>
          <w:color w:val="auto"/>
        </w:rPr>
        <w:t>Satisfaction of all regulatory requirements to successfully obtain regulatory approval for a new product typically takes many years and requires the expenditure of substantial resources. A number of other factors may cause significant delays in the completion of our development programs and clinical trials, including unexpected delays in the initiation of clinical sites, slower than projected enrollment, competition with ongoing clinical trials and scheduling conflicts with participating clinicians, regulatory requirements, limits on manufacturing capacity and failure of an investigational product to meet required standards for administration to humans. In addition, it may take longer than we project to achieve study endpoints and complete data analysis for a clinical trial or we may decide to slow down the enrollment in a trial in order to conserve financial resources or for other reasons.</w:t>
      </w:r>
    </w:p>
    <w:p>
      <w:pPr>
        <w:spacing w:after="0" w:line="211" w:lineRule="exact"/>
        <w:rPr>
          <w:sz w:val="20"/>
          <w:szCs w:val="20"/>
          <w:color w:val="auto"/>
        </w:rPr>
      </w:pPr>
    </w:p>
    <w:p>
      <w:pPr>
        <w:ind w:firstLine="441"/>
        <w:spacing w:after="0" w:line="247" w:lineRule="auto"/>
        <w:rPr>
          <w:sz w:val="20"/>
          <w:szCs w:val="20"/>
          <w:color w:val="auto"/>
        </w:rPr>
      </w:pPr>
      <w:r>
        <w:rPr>
          <w:rFonts w:ascii="Times New Roman" w:cs="Times New Roman" w:eastAsia="Times New Roman" w:hAnsi="Times New Roman"/>
          <w:sz w:val="20"/>
          <w:szCs w:val="20"/>
          <w:color w:val="auto"/>
        </w:rPr>
        <w:t>Our products in development are also subject to the risks of failure inherent in drug development, drug testing and regulatory approval. The results of preliminary studies do not necessarily predict clinical success, and larger and later stage clinical trials may not produce the same results as earlier stage trials. Sometimes, products that have shown promising results in early clinical trials have subsequently suffered significant setbacks in later clinical trials. Products in later stage clinical trials may fail to show desired safety and efficacy traits, despite having progressed through initial clinical testing. In addition, the data collected from clinical trials of our products in development may not be sufficient to support regulatory approval, or regulators could interpret the data differently and less favorably than we do. Further, the design of a clinical trial can determine whether its results will support approval of a product, and flaws in the design of a clinical trial may not become apparent until the clinical trial is well advanced. Clinical trials of potential products often reveal that it is not practical or feasible to continue development efforts. Regulatory authorities may require us or our partners to conduct additional clinical testing, in which case we would have to expend additional time and resources. Depending on the regulatory pathway selected for drug approval, such as by filing an ANDA or Section 505(b)(2) NDA that requires sending notice to the innovator of a drug, regulatory approval may also be delayed by litigation brought under the Hatch-Waxman Act, which is the case for the approval pathway for PNT2003, currently subject to the PNT2003 Litigation. The approval process may also be delayed by changes in government regulation, future legislation or administrative action or changes in regulatory policy that occur prior to or during regulatory review. The failure to provide clinical and preclinical data that are adequate to demonstrate to the satisfaction of the regulatory authorities that our products in development are safe and effective for their proposed use will delay or preclude approval and will prevent us from marketing those products.</w:t>
      </w:r>
    </w:p>
    <w:p>
      <w:pPr>
        <w:spacing w:after="0" w:line="210" w:lineRule="exact"/>
        <w:rPr>
          <w:sz w:val="20"/>
          <w:szCs w:val="20"/>
          <w:color w:val="auto"/>
        </w:rPr>
      </w:pPr>
    </w:p>
    <w:p>
      <w:pPr>
        <w:ind w:right="100" w:firstLine="441"/>
        <w:spacing w:after="0" w:line="262" w:lineRule="auto"/>
        <w:rPr>
          <w:sz w:val="20"/>
          <w:szCs w:val="20"/>
          <w:color w:val="auto"/>
        </w:rPr>
      </w:pPr>
      <w:r>
        <w:rPr>
          <w:rFonts w:ascii="Times New Roman" w:cs="Times New Roman" w:eastAsia="Times New Roman" w:hAnsi="Times New Roman"/>
          <w:sz w:val="19"/>
          <w:szCs w:val="19"/>
          <w:color w:val="auto"/>
        </w:rPr>
        <w:t xml:space="preserve">We are not permitted to market our products in development in the U.S. or other countries until we have received requisite regulatory approvals. For example, securing FDA approval for a new drug requires the submission of an NDA to the FDA for our products in development. The NDA must include extensive nonclinical and clinical data and supporting information to establish the product’s safety and effectiveness for each indication. The NDA must also include significant information regarding the chemistry, manufacturing and controls for the product. The FDA review process can take many years to complete, and approval is never guaranteed. If a product is approved, the FDA may limit the indications for which the product may be marketed, require extensive warnings on the product labeling, impose restricted distribution programs, require expedited reporting of certain adverse events, or require costly ongoing requirements for post-marketing clinical trials and surveillance or other risk management measures to monitor the safety or efficacy of the product. In some instances, products in development may also be approved by filing an ANDA or Section 505(b)(2) NDA with the FDA (as further described in Part I, Item 1. </w:t>
      </w:r>
      <w:r>
        <w:rPr>
          <w:rFonts w:ascii="Times New Roman" w:cs="Times New Roman" w:eastAsia="Times New Roman" w:hAnsi="Times New Roman"/>
          <w:sz w:val="19"/>
          <w:szCs w:val="19"/>
          <w:i w:val="1"/>
          <w:iCs w:val="1"/>
          <w:color w:val="auto"/>
        </w:rPr>
        <w:t>“Business—Regulatory Matters—Hatch-Waxman Act”</w:t>
      </w:r>
      <w:r>
        <w:rPr>
          <w:rFonts w:ascii="Times New Roman" w:cs="Times New Roman" w:eastAsia="Times New Roman" w:hAnsi="Times New Roman"/>
          <w:sz w:val="19"/>
          <w:szCs w:val="19"/>
          <w:color w:val="auto"/>
        </w:rPr>
        <w:t xml:space="preserve"> of this</w:t>
      </w:r>
    </w:p>
    <w:p>
      <w:pPr>
        <w:sectPr>
          <w:pgSz w:w="11880" w:h="15480" w:orient="portrait"/>
          <w:cols w:equalWidth="0" w:num="1">
            <w:col w:w="10600"/>
          </w:cols>
          <w:pgMar w:left="640" w:top="622" w:right="640" w:bottom="0"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880" w:h="15480" w:orient="portrait"/>
          <w:cols w:equalWidth="0" w:num="1">
            <w:col w:w="10600"/>
          </w:cols>
          <w:pgMar w:left="640" w:top="622" w:right="640" w:bottom="0" w:gutter="0" w:footer="0" w:header="0"/>
          <w:type w:val="continuous"/>
        </w:sectPr>
      </w:pPr>
    </w:p>
    <w:bookmarkStart w:id="53" w:name="page54"/>
    <w:bookmarkEnd w:id="53"/>
    <w:p>
      <w:pPr>
        <w:ind w:right="20"/>
        <w:spacing w:after="0" w:line="249" w:lineRule="auto"/>
        <w:rPr>
          <w:sz w:val="20"/>
          <w:szCs w:val="20"/>
          <w:color w:val="auto"/>
        </w:rPr>
      </w:pPr>
      <w:r>
        <w:rPr>
          <w:rFonts w:ascii="Times New Roman" w:cs="Times New Roman" w:eastAsia="Times New Roman" w:hAnsi="Times New Roman"/>
          <w:sz w:val="20"/>
          <w:szCs w:val="20"/>
          <w:color w:val="auto"/>
        </w:rPr>
        <w:t>Form 10-K); provided, however, that seeking regulatory approval under such pathways may subject the product candidate to litigation brought by an innovator of similar drugs under the Hatch-Waxman Act, as is the case with the PNT2003 Litigation. Markets outside of the U.S. also have requirements for approval of products with which we must comply prior to marketing. Obtaining regulatory approval for marketing of a product in one country does not ensure we will be able to obtain regulatory approval in other countries, but a failure or delay in obtaining regulatory approval in one country may have a negative effect on the regulatory process in other countries. Also, any regulatory approval of any of our products in development, once obtained, may be withdrawn. Approvals might not be granted on a timely basis, if at all.</w:t>
      </w:r>
    </w:p>
    <w:p>
      <w:pPr>
        <w:spacing w:after="0" w:line="203" w:lineRule="exact"/>
        <w:rPr>
          <w:sz w:val="20"/>
          <w:szCs w:val="20"/>
          <w:color w:val="auto"/>
        </w:rPr>
      </w:pPr>
    </w:p>
    <w:p>
      <w:pPr>
        <w:ind w:right="200" w:firstLine="441"/>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Even if clinical development candidates receive regulatory approval, we can give no assurance that they can be successfully commercialized.</w:t>
      </w:r>
    </w:p>
    <w:p>
      <w:pPr>
        <w:spacing w:after="0" w:line="65" w:lineRule="exact"/>
        <w:rPr>
          <w:sz w:val="20"/>
          <w:szCs w:val="20"/>
          <w:color w:val="auto"/>
        </w:rPr>
      </w:pPr>
    </w:p>
    <w:p>
      <w:pPr>
        <w:ind w:right="40" w:firstLine="441"/>
        <w:spacing w:after="0" w:line="248" w:lineRule="auto"/>
        <w:rPr>
          <w:sz w:val="20"/>
          <w:szCs w:val="20"/>
          <w:color w:val="auto"/>
        </w:rPr>
      </w:pPr>
      <w:r>
        <w:rPr>
          <w:rFonts w:ascii="Times New Roman" w:cs="Times New Roman" w:eastAsia="Times New Roman" w:hAnsi="Times New Roman"/>
          <w:sz w:val="20"/>
          <w:szCs w:val="20"/>
          <w:color w:val="auto"/>
        </w:rPr>
        <w:t>Even if we or our partners’ clinical development candidates proceed through their clinical trials and ultimately receive regulatory approval, there is no guarantee that an approved product can be manufactured in commercial quantities at a reasonable cost or that such a product will be successfully marketed or distributed. For example, although our licensee, GE Healthcare, has received FDA approval of Flyrcado (flurpiridaz F-18) for coronary artery disease diagnosis, there is no guarantee that GE Healthcare will be successful in its commercialization of Flyrcado, which may delay or prevent us from being able to generate additional future royalty revenue from product sales. Additionally, the manufacturing, marketing and distribution of an F-18-based radiopharmaceuticals like Flyrcado, as well as our investigational products, such as MK-6240 and NAV-4694, will require the creation of a field-based network of specialized PET manufacturing facilities, or PMFs, with radioisotope-producing cyclotrons, similar to what we created for PYLARIFY, and will need to be manufactured and distributed rapidly to end-users.</w:t>
      </w:r>
    </w:p>
    <w:p>
      <w:pPr>
        <w:spacing w:after="0" w:line="213" w:lineRule="exact"/>
        <w:rPr>
          <w:sz w:val="20"/>
          <w:szCs w:val="20"/>
          <w:color w:val="auto"/>
        </w:rPr>
      </w:pPr>
    </w:p>
    <w:p>
      <w:pPr>
        <w:ind w:right="160" w:firstLine="441"/>
        <w:spacing w:after="0" w:line="254" w:lineRule="auto"/>
        <w:rPr>
          <w:sz w:val="20"/>
          <w:szCs w:val="20"/>
          <w:color w:val="auto"/>
        </w:rPr>
      </w:pPr>
      <w:r>
        <w:rPr>
          <w:rFonts w:ascii="Times New Roman" w:cs="Times New Roman" w:eastAsia="Times New Roman" w:hAnsi="Times New Roman"/>
          <w:sz w:val="20"/>
          <w:szCs w:val="20"/>
          <w:color w:val="auto"/>
        </w:rPr>
        <w:t>In addition, obtaining adequate coding, coverage, and payment at appropriate payment levels for any clinical development candidate will be critical, including not only coverage from Medicare, Medicaid, and other government payors, but also from private payors. We can give no assurance, even if a clinical development candidate were to obtain regulatory approval, that adequate coding, coverage and payment could be secured to allow the approved products to become successfully commercialized.</w:t>
      </w:r>
    </w:p>
    <w:p>
      <w:pPr>
        <w:spacing w:after="0" w:line="194" w:lineRule="exact"/>
        <w:rPr>
          <w:sz w:val="20"/>
          <w:szCs w:val="20"/>
          <w:color w:val="auto"/>
        </w:rPr>
      </w:pPr>
    </w:p>
    <w:p>
      <w:pPr>
        <w:ind w:right="220" w:firstLine="441"/>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have been and expect to continue to be dependent on partners for the development of certain product candidates, which expose us to the risk of reliance on these partners.</w:t>
      </w:r>
    </w:p>
    <w:p>
      <w:pPr>
        <w:spacing w:after="0" w:line="65" w:lineRule="exact"/>
        <w:rPr>
          <w:sz w:val="20"/>
          <w:szCs w:val="20"/>
          <w:color w:val="auto"/>
        </w:rPr>
      </w:pPr>
    </w:p>
    <w:p>
      <w:pPr>
        <w:ind w:firstLine="441"/>
        <w:spacing w:after="0" w:line="250" w:lineRule="auto"/>
        <w:rPr>
          <w:sz w:val="20"/>
          <w:szCs w:val="20"/>
          <w:color w:val="auto"/>
        </w:rPr>
      </w:pPr>
      <w:r>
        <w:rPr>
          <w:rFonts w:ascii="Times New Roman" w:cs="Times New Roman" w:eastAsia="Times New Roman" w:hAnsi="Times New Roman"/>
          <w:sz w:val="20"/>
          <w:szCs w:val="20"/>
          <w:color w:val="auto"/>
        </w:rPr>
        <w:t>In connection with our ongoing development activities, we currently depend, and expect to continue to depend, on numerous collaborators. For example, in addition to our collaboration with Curium on PYLCLARI in Europe, GE Healthcare on Flyrcado and POINT on PNT2002 and PNT2003, we have other collaborations to develop and commercialize products. In addition, certain clinical trials for our product candidates may be conducted by government-sponsored agencies, and consequently will be dependent on governmental participation and funding. These arrangements expose us to the same considerations we face when contracting with third parties for our own trials.</w:t>
      </w:r>
    </w:p>
    <w:p>
      <w:pPr>
        <w:spacing w:after="0" w:line="209" w:lineRule="exact"/>
        <w:rPr>
          <w:sz w:val="20"/>
          <w:szCs w:val="20"/>
          <w:color w:val="auto"/>
        </w:rPr>
      </w:pPr>
    </w:p>
    <w:p>
      <w:pPr>
        <w:ind w:right="80" w:firstLine="441"/>
        <w:spacing w:after="0" w:line="248" w:lineRule="auto"/>
        <w:rPr>
          <w:sz w:val="20"/>
          <w:szCs w:val="20"/>
          <w:color w:val="auto"/>
        </w:rPr>
      </w:pPr>
      <w:r>
        <w:rPr>
          <w:rFonts w:ascii="Times New Roman" w:cs="Times New Roman" w:eastAsia="Times New Roman" w:hAnsi="Times New Roman"/>
          <w:sz w:val="20"/>
          <w:szCs w:val="20"/>
          <w:color w:val="auto"/>
        </w:rPr>
        <w:t>If any of our collaborators breach or terminate its agreement with us or otherwise fail to conduct successfully and in a timely manner the collaborative activities for which they are responsible, the preclinical or clinical development or commercialization of the affected product candidate or research program could be delayed or terminated. We generally do not control the amount and timing of resources that our collaborators devote to our programs or product candidates. We also do not know whether current or future collaboration partners, if any, might pursue alternative technologies or develop alternative products either on their own or in collaboration with others, including our competitors, as a means for developing treatments for the diseases or conditions targeted by our collaborative arrangements. Our collaborators are also subject to similar development, regulatory, manufacturing, cyber-security and competitive risks as us, which may further impede their ability to successfully perform the collaborative activities for which they are responsible. Setbacks of these types to our collaborators could have a material adverse effect on our business, results of operations and financial condition.</w:t>
      </w:r>
    </w:p>
    <w:p>
      <w:pPr>
        <w:spacing w:after="0" w:line="203" w:lineRule="exact"/>
        <w:rPr>
          <w:sz w:val="20"/>
          <w:szCs w:val="20"/>
          <w:color w:val="auto"/>
        </w:rPr>
      </w:pPr>
    </w:p>
    <w:p>
      <w:pPr>
        <w:ind w:right="80" w:firstLine="441"/>
        <w:spacing w:after="0" w:line="261" w:lineRule="auto"/>
        <w:rPr>
          <w:sz w:val="20"/>
          <w:szCs w:val="20"/>
          <w:color w:val="auto"/>
        </w:rPr>
      </w:pPr>
      <w:r>
        <w:rPr>
          <w:rFonts w:ascii="Times New Roman" w:cs="Times New Roman" w:eastAsia="Times New Roman" w:hAnsi="Times New Roman"/>
          <w:sz w:val="20"/>
          <w:szCs w:val="20"/>
          <w:b w:val="1"/>
          <w:bCs w:val="1"/>
          <w:i w:val="1"/>
          <w:iCs w:val="1"/>
          <w:color w:val="auto"/>
        </w:rPr>
        <w:t>We depend on licenses from third parties for our rights to develop and commercialize certain product candidates. If we fail to achieve milestone requirements or to satisfy other conditions, we may lose those rights under those license agreements, and our business, results of operations and financial condition could be adversely affected.</w:t>
      </w:r>
    </w:p>
    <w:p>
      <w:pPr>
        <w:spacing w:after="0" w:line="81" w:lineRule="exact"/>
        <w:rPr>
          <w:sz w:val="20"/>
          <w:szCs w:val="20"/>
          <w:color w:val="auto"/>
        </w:rPr>
      </w:pPr>
    </w:p>
    <w:p>
      <w:pPr>
        <w:ind w:right="20" w:firstLine="441"/>
        <w:spacing w:after="0" w:line="248" w:lineRule="auto"/>
        <w:rPr>
          <w:sz w:val="20"/>
          <w:szCs w:val="20"/>
          <w:color w:val="auto"/>
        </w:rPr>
      </w:pPr>
      <w:r>
        <w:rPr>
          <w:rFonts w:ascii="Times New Roman" w:cs="Times New Roman" w:eastAsia="Times New Roman" w:hAnsi="Times New Roman"/>
          <w:sz w:val="20"/>
          <w:szCs w:val="20"/>
          <w:color w:val="auto"/>
        </w:rPr>
        <w:t>Many of our products or product candidates incorporate rights licensed by third parties -- for example, we license patent rights on PYLARIFY, PNT2002, PNT2003, MK-6240, NAV-4694, LNTH-1363S, LNTH-2402, LNTH-2403 and LNTH-2404. We could lose the rights to develop or commercialize these products and product candidates if the related license agreement is terminated due to a breach by us or otherwise. In addition, we are required to make substantial cash payments, achieve milestones and satisfy other conditions, including filing for and obtaining marketing approvals and introducing products, sometimes in accordance with established timelines, to maintain rights under our license agreements. Due to the nature of these agreements and the uncertainties of development, we may not be able to achieve milestones or satisfy conditions to which we have contractually committed, and as a result may be unable to maintain our rights under these licenses. If we do not comply with our license agreements, the licensors may terminate them, which could result in our losing our rights to, and therefore being unable to commercialize, related products. This loss could have a material adverse effect on our business, results of operations and financial condition.</w:t>
      </w:r>
    </w:p>
    <w:p>
      <w:pPr>
        <w:sectPr>
          <w:pgSz w:w="11880" w:h="15480" w:orient="portrait"/>
          <w:cols w:equalWidth="0" w:num="1">
            <w:col w:w="10600"/>
          </w:cols>
          <w:pgMar w:left="640" w:top="622" w:right="640" w:bottom="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880" w:h="15480" w:orient="portrait"/>
          <w:cols w:equalWidth="0" w:num="1">
            <w:col w:w="10600"/>
          </w:cols>
          <w:pgMar w:left="640" w:top="622" w:right="640" w:bottom="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Risks Related to Our Capital Structure</w:t>
      </w:r>
    </w:p>
    <w:p>
      <w:pPr>
        <w:spacing w:after="0" w:line="240" w:lineRule="exact"/>
        <w:rPr>
          <w:sz w:val="20"/>
          <w:szCs w:val="20"/>
          <w:color w:val="auto"/>
        </w:rPr>
      </w:pPr>
    </w:p>
    <w:p>
      <w:pPr>
        <w:ind w:right="220" w:firstLine="441"/>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The conditional conversion feature of the 2.625% Convertible Senior Notes due 2027, if triggered, may adversely affect our financial condition and operating results.</w:t>
      </w:r>
    </w:p>
    <w:p>
      <w:pPr>
        <w:spacing w:after="0" w:line="1" w:lineRule="exact"/>
        <w:rPr>
          <w:sz w:val="20"/>
          <w:szCs w:val="20"/>
          <w:color w:val="auto"/>
        </w:rPr>
      </w:pPr>
    </w:p>
    <w:p>
      <w:pPr>
        <w:ind w:firstLine="441"/>
        <w:spacing w:after="0" w:line="249" w:lineRule="auto"/>
        <w:rPr>
          <w:sz w:val="20"/>
          <w:szCs w:val="20"/>
          <w:color w:val="auto"/>
        </w:rPr>
      </w:pPr>
      <w:r>
        <w:rPr>
          <w:rFonts w:ascii="Times New Roman" w:cs="Times New Roman" w:eastAsia="Times New Roman" w:hAnsi="Times New Roman"/>
          <w:sz w:val="19"/>
          <w:szCs w:val="19"/>
          <w:color w:val="auto"/>
        </w:rPr>
        <w:t>On December 8, 2022, we issued $575.0 million in aggregate principal amount of 2.625% Convertible Senior Notes due 2027 (the “Notes”), which included $75.0 million in aggregate principal amount of Notes sold pursuant to the full exercise of the initial purchasers’ option to purchase additional Notes. The Notes were issued under an indenture, dated as of December 8, 2022 (the “Indenture”), among Lantheus Holdings, LMI, and U.S. Bank Trust Company, National Association (“U.S. Bank”), as Trustee. Prior to the close of business on the business day immediately preceding September 15, 2027, the Notes may be converted at the option of the holders upon occurrence of specified events and during certain periods, and thereafter until the close of business on the business day immediately preceding the maturity date, the Notes may be converted at any time. For example, holders could elect to convert their Notes during a calendar quarter if the trading price of our common stock was greater than or equal to 130% of the conversion price of the Notes (initially $79.81 per share) for at least 20 trading days (whether or not consecutive) during the period of 30 consecutive trading days ending on, and including, the last trading day of the immediately preceding calendar quarter (the “Stock Price Conversion Threshold”). During the third quarter of 2024, the closing price of the Company’s common stock exceeded the Stock Price Conversion Threshold, so the Notes were convertible at the option of the holders during the fourth quarter of 2024, and, in connection therewith, holders of $4,000 in aggregate principal of Notes elected to convert their Notes, for which we elected to pay cash in consideration of our conversion obligation in excess of the aggregate principal amount of the converted Notes. During the fourth quarter of 2024, the closing price of the Company’s common stock did not exceed the Stock Price Conversion Threshold, so the Notes are not convertible at the option of the holders of the Notes during the first quarter of 2025. If such a right becomes available again and if one or more holders elect to convert their Notes, unless we elect to satisfy our conversion obligation by arranging for one or more financial institutions to take the Notes from converting holders and pay such holders in accordance with the Indenture, we would be required to settle any converted principal amount of such Notes through the payment of cash and by paying or delivering, at our election, cash, shares of our common stock, or a combination of cash and shares, with respect to the remainder of our conversion obligation in excess of the aggregate principal amount of the Notes being converted, which could adversely affect our liquidity or, if we elect to settle our conversion obligation in excess of the aggregate principal amount of the Notes being converted in shares of common stock (whether in whole or in part), could dilute the ownership interests of our existing common stockholders.</w:t>
      </w:r>
    </w:p>
    <w:p>
      <w:pPr>
        <w:spacing w:after="0" w:line="198" w:lineRule="exact"/>
        <w:rPr>
          <w:sz w:val="20"/>
          <w:szCs w:val="20"/>
          <w:color w:val="auto"/>
        </w:rPr>
      </w:pPr>
    </w:p>
    <w:p>
      <w:pPr>
        <w:ind w:right="500" w:firstLine="441"/>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issuance or sale of shares of our common stock, or rights to acquire shares of our common stock, could depress the trading price of our common stock.</w:t>
      </w:r>
    </w:p>
    <w:p>
      <w:pPr>
        <w:spacing w:after="0" w:line="65" w:lineRule="exact"/>
        <w:rPr>
          <w:sz w:val="20"/>
          <w:szCs w:val="20"/>
          <w:color w:val="auto"/>
        </w:rPr>
      </w:pPr>
    </w:p>
    <w:p>
      <w:pPr>
        <w:ind w:right="40" w:firstLine="441"/>
        <w:spacing w:after="0" w:line="249" w:lineRule="auto"/>
        <w:rPr>
          <w:sz w:val="20"/>
          <w:szCs w:val="20"/>
          <w:color w:val="auto"/>
        </w:rPr>
      </w:pPr>
      <w:r>
        <w:rPr>
          <w:rFonts w:ascii="Times New Roman" w:cs="Times New Roman" w:eastAsia="Times New Roman" w:hAnsi="Times New Roman"/>
          <w:sz w:val="20"/>
          <w:szCs w:val="20"/>
          <w:color w:val="auto"/>
        </w:rPr>
        <w:t>We may conduct future offerings of our common stock, preferred stock or other securities that are convertible into or exercisable for our common stock to finance our operations or fund acquisitions, or for other purposes. In addition, we expect to continue to grant equity awards to directors, officers and employees under our equity incentive plans. If we issue additional shares of our common stock or rights to acquire shares of our common stock, if any of our existing stockholders sells a substantial amount of our common stock, or if the market perceives that such issuances or sales may occur, then the trading price of our common stock may significantly decrease. In addition, our issuance of additional shares of common stock will dilute the ownership interests of our existing common stockholders.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Repurchases by us of our common stock may affect the value of our common stock.</w:t>
      </w:r>
    </w:p>
    <w:p>
      <w:pPr>
        <w:spacing w:after="0" w:line="131" w:lineRule="exact"/>
        <w:rPr>
          <w:sz w:val="20"/>
          <w:szCs w:val="20"/>
          <w:color w:val="auto"/>
        </w:rPr>
      </w:pPr>
    </w:p>
    <w:p>
      <w:pPr>
        <w:ind w:right="20" w:firstLine="441"/>
        <w:spacing w:after="0" w:line="248" w:lineRule="auto"/>
        <w:rPr>
          <w:sz w:val="20"/>
          <w:szCs w:val="20"/>
          <w:color w:val="auto"/>
        </w:rPr>
      </w:pPr>
      <w:r>
        <w:rPr>
          <w:rFonts w:ascii="Times New Roman" w:cs="Times New Roman" w:eastAsia="Times New Roman" w:hAnsi="Times New Roman"/>
          <w:sz w:val="20"/>
          <w:szCs w:val="20"/>
          <w:color w:val="auto"/>
        </w:rPr>
        <w:t>We have from time to time engaged in repurchase programs of our common stock. In November 2024, our Board of Directors (the “Board”) authorized a program to repurchase up to $250.0 million over the next twelve months via open market purchases or privately negotiated transactions, block trades and/or through other legally permissible means, depending on market conditions and in accordance with applicable rules and regulations (the “2024 Program”). We repurchased approximately $100.0 million of our common stock under the 2024 Program during the fourth quarter of 2024 for an average stock price of $89.59 per share, and have the ability to repurchase additional shares of our common stock under the 2024 Program. Such repurchases could increase, or prevent a decrease in, the market price of our common stock, although there can be no assurance that an increase, or prevention of a decrease, would occur, and stockholders could prefer that we allocate our capital in a different manner, which could negatively impact the market price of our common stock.</w:t>
      </w:r>
    </w:p>
    <w:p>
      <w:pPr>
        <w:spacing w:after="0" w:line="205" w:lineRule="exact"/>
        <w:rPr>
          <w:sz w:val="20"/>
          <w:szCs w:val="20"/>
          <w:color w:val="auto"/>
        </w:rPr>
      </w:pPr>
    </w:p>
    <w:p>
      <w:pPr>
        <w:ind w:right="560" w:firstLine="441"/>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have indebtedness that may limit our financial and operating activities and may adversely affect our ability to incur additional debt to fund future needs.</w:t>
      </w:r>
    </w:p>
    <w:p>
      <w:pPr>
        <w:spacing w:after="0" w:line="65" w:lineRule="exact"/>
        <w:rPr>
          <w:sz w:val="20"/>
          <w:szCs w:val="20"/>
          <w:color w:val="auto"/>
        </w:rPr>
      </w:pPr>
    </w:p>
    <w:p>
      <w:pPr>
        <w:ind w:right="220" w:firstLine="441"/>
        <w:spacing w:after="0" w:line="252" w:lineRule="auto"/>
        <w:rPr>
          <w:sz w:val="20"/>
          <w:szCs w:val="20"/>
          <w:color w:val="auto"/>
        </w:rPr>
      </w:pPr>
      <w:r>
        <w:rPr>
          <w:rFonts w:ascii="Times New Roman" w:cs="Times New Roman" w:eastAsia="Times New Roman" w:hAnsi="Times New Roman"/>
          <w:sz w:val="20"/>
          <w:szCs w:val="20"/>
          <w:color w:val="auto"/>
        </w:rPr>
        <w:t>As of December 31, 2024, we had approximately $575.0 million of total principal indebtedness remaining under the Notes and availability of $750.0 million under our five-year revolving credit facility, which was amended in December 2024 (as amended, the “2022 Revolving Facility”). The amendment extended the maturity date of the 2022 Revolving Facility to December 19, 2029 and increased the amount available under the 2022 Revolving Facility from $350.0 million to $750.0 million. Our indebtedness and any future indebtedness we incur could:</w:t>
      </w:r>
    </w:p>
    <w:p>
      <w:pPr>
        <w:spacing w:after="0" w:line="86" w:lineRule="exact"/>
        <w:rPr>
          <w:sz w:val="20"/>
          <w:szCs w:val="20"/>
          <w:color w:val="auto"/>
        </w:rPr>
      </w:pPr>
    </w:p>
    <w:p>
      <w:pPr>
        <w:ind w:left="1060" w:right="260" w:hanging="346"/>
        <w:spacing w:after="0" w:line="258" w:lineRule="auto"/>
        <w:tabs>
          <w:tab w:leader="none" w:pos="10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us to dedicate a substantial portion of cash flow from operations to the payment of interest on and principal of our indebtedness, thereby reducing the funds available for other purposes, including for working capital, capital expenditures and acquisitions;</w:t>
      </w:r>
    </w:p>
    <w:p>
      <w:pPr>
        <w:sectPr>
          <w:pgSz w:w="12600" w:h="16200" w:orient="portrait"/>
          <w:cols w:equalWidth="0" w:num="1">
            <w:col w:w="10600"/>
          </w:cols>
          <w:pgMar w:left="1000" w:top="974" w:right="1000" w:bottom="48" w:gutter="0" w:footer="0" w:header="0"/>
        </w:sect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600" w:h="16200" w:orient="portrait"/>
          <w:cols w:equalWidth="0" w:num="1">
            <w:col w:w="10600"/>
          </w:cols>
          <w:pgMar w:left="1000" w:top="974" w:right="1000" w:bottom="48" w:gutter="0" w:footer="0" w:header="0"/>
          <w:type w:val="continuous"/>
        </w:sectPr>
      </w:pPr>
    </w:p>
    <w:bookmarkStart w:id="55" w:name="page56"/>
    <w:bookmarkEnd w:id="55"/>
    <w:p>
      <w:pPr>
        <w:ind w:left="1060" w:right="320" w:hanging="346"/>
        <w:spacing w:after="0" w:line="271" w:lineRule="auto"/>
        <w:tabs>
          <w:tab w:leader="none" w:pos="10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it more difficult for us to satisfy and comply with our obligations with respect to our outstanding indebtedness, namely the payment of interest and principal;</w:t>
      </w:r>
    </w:p>
    <w:p>
      <w:pPr>
        <w:spacing w:after="0" w:line="68"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it more difficult to refinance the outstanding indebtedness;</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us to increased sensitivity to interest rate increases;</w:t>
      </w:r>
    </w:p>
    <w:p>
      <w:pPr>
        <w:spacing w:after="0" w:line="122" w:lineRule="exact"/>
        <w:rPr>
          <w:rFonts w:ascii="Times New Roman" w:cs="Times New Roman" w:eastAsia="Times New Roman" w:hAnsi="Times New Roman"/>
          <w:sz w:val="20"/>
          <w:szCs w:val="20"/>
          <w:color w:val="auto"/>
        </w:rPr>
      </w:pPr>
    </w:p>
    <w:p>
      <w:pPr>
        <w:ind w:left="1060" w:right="500" w:hanging="346"/>
        <w:spacing w:after="0" w:line="271" w:lineRule="auto"/>
        <w:tabs>
          <w:tab w:leader="none" w:pos="10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us more vulnerable to economic downturns, adverse industry or company conditions or catastrophic external events;</w:t>
      </w:r>
    </w:p>
    <w:p>
      <w:pPr>
        <w:spacing w:after="0" w:line="68"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 our ability to withstand competitive pressures;</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our flexibility in planning for or responding to changing business, industry and economic conditions; and</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Place us at a competitive disadvantage to competitors that have relatively less debt than we have.</w:t>
      </w:r>
    </w:p>
    <w:p>
      <w:pPr>
        <w:spacing w:after="0" w:line="240"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20"/>
          <w:szCs w:val="20"/>
          <w:color w:val="auto"/>
        </w:rPr>
        <w:t>In addition, our level of indebtedness could limit our ability to obtain additional financing on acceptable terms, or at all, for working capital, capital expenditures and general corporate purposes. Our liquidity needs could vary significantly and may be affected by general economic conditions, industry trends, performance and many other factors outside our control.</w:t>
      </w:r>
    </w:p>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generate sufficient cash flow to meet our debt service obligations.</w:t>
      </w:r>
    </w:p>
    <w:p>
      <w:pPr>
        <w:spacing w:after="0" w:line="131" w:lineRule="exact"/>
        <w:rPr>
          <w:sz w:val="20"/>
          <w:szCs w:val="20"/>
          <w:color w:val="auto"/>
        </w:rPr>
      </w:pPr>
    </w:p>
    <w:p>
      <w:pPr>
        <w:ind w:right="20" w:firstLine="441"/>
        <w:spacing w:after="0" w:line="262" w:lineRule="auto"/>
        <w:rPr>
          <w:sz w:val="20"/>
          <w:szCs w:val="20"/>
          <w:color w:val="auto"/>
        </w:rPr>
      </w:pPr>
      <w:r>
        <w:rPr>
          <w:rFonts w:ascii="Times New Roman" w:cs="Times New Roman" w:eastAsia="Times New Roman" w:hAnsi="Times New Roman"/>
          <w:sz w:val="19"/>
          <w:szCs w:val="19"/>
          <w:color w:val="auto"/>
        </w:rPr>
        <w:t>Our ability to generate sufficient cash flow from operations to make scheduled payments on our debt obligations will depend on our future financial performance, which will be affected by a range of economic, competitive and business factors, many of which are outside of our control. If we do not generate sufficient cash flow from operations to satisfy our debt obligations, including interest and principal payments, our credit ratings could be downgraded, and we may have to undertake alternative financing plans, such as refinancing or restructuring our debt, selling assets, entering into additional corporate collaborations or licensing arrangements for one or more of our products in development, reducing or delaying capital investments or seeking to raise additional capital. We cannot assure you that any refinancing would be possible, that any assets could be sold, licensed or partnered, or, if sold, licensed or partnered, of the timing of the transactions and the amount of proceeds realized from those transactions, that additional financing could be obtained on acceptable terms, if at all, or that additional financing would be permitted under the terms of our various debt instruments then in effect. Furthermore, our ability to refinance would depend upon the condition of the financial and credit markets. Our inability to generate sufficient cash flow to satisfy our debt obligations, or to refinance our obligations on commercially reasonable terms or on a timely basis, would have an adverse effect on our business, results of operations and financial condition.</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Despite our indebtedness, we may incur more debt, which could exacerbate the risks described above.</w:t>
      </w:r>
    </w:p>
    <w:p>
      <w:pPr>
        <w:spacing w:after="0" w:line="131" w:lineRule="exact"/>
        <w:rPr>
          <w:sz w:val="20"/>
          <w:szCs w:val="20"/>
          <w:color w:val="auto"/>
        </w:rPr>
      </w:pPr>
    </w:p>
    <w:p>
      <w:pPr>
        <w:ind w:firstLine="441"/>
        <w:spacing w:after="0" w:line="249" w:lineRule="auto"/>
        <w:rPr>
          <w:sz w:val="20"/>
          <w:szCs w:val="20"/>
          <w:color w:val="auto"/>
        </w:rPr>
      </w:pPr>
      <w:r>
        <w:rPr>
          <w:rFonts w:ascii="Times New Roman" w:cs="Times New Roman" w:eastAsia="Times New Roman" w:hAnsi="Times New Roman"/>
          <w:sz w:val="20"/>
          <w:szCs w:val="20"/>
          <w:color w:val="auto"/>
        </w:rPr>
        <w:t>We and our subsidiaries may be able to incur substantial additional indebtedness in the future subject to the limitations contained in the agreements governing our debt, including the 2022 Revolving Facility. Although these agreements restrict us and our restricted subsidiaries from incurring additional indebtedness, these restrictions are subject to important exceptions and qualifications. For example, we are generally permitted to incur certain indebtedness, including indebtedness arising in the ordinary course of business, indebtedness among restricted subsidiaries and us and indebtedness relating to hedging obligations. If we or our subsidiaries incur additional debt, the risks that we and they now face as a result of our leverage could intensify. In addition, the 2022 Revolving Facility will not prevent us from incurring obligations that do not constitute indebtedness under that agreement.</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Our 2022 Revolving Facility contains restrictions that will limit our flexibility in operating our business.</w:t>
      </w:r>
    </w:p>
    <w:p>
      <w:pPr>
        <w:spacing w:after="0" w:line="131" w:lineRule="exact"/>
        <w:rPr>
          <w:sz w:val="20"/>
          <w:szCs w:val="20"/>
          <w:color w:val="auto"/>
        </w:rPr>
      </w:pPr>
    </w:p>
    <w:p>
      <w:pPr>
        <w:ind w:right="80" w:firstLine="441"/>
        <w:spacing w:after="0" w:line="271" w:lineRule="auto"/>
        <w:rPr>
          <w:sz w:val="20"/>
          <w:szCs w:val="20"/>
          <w:color w:val="auto"/>
        </w:rPr>
      </w:pPr>
      <w:r>
        <w:rPr>
          <w:rFonts w:ascii="Times New Roman" w:cs="Times New Roman" w:eastAsia="Times New Roman" w:hAnsi="Times New Roman"/>
          <w:sz w:val="20"/>
          <w:szCs w:val="20"/>
          <w:color w:val="auto"/>
        </w:rPr>
        <w:t>Our 2022 Revolving Facility contains various covenants that limit our ability to engage in specified types of transactions. These covenants limit our and our restricted subsidiaries’ ability to, among other things:</w:t>
      </w:r>
    </w:p>
    <w:p>
      <w:pPr>
        <w:spacing w:after="0" w:line="69" w:lineRule="exact"/>
        <w:rPr>
          <w:sz w:val="20"/>
          <w:szCs w:val="20"/>
          <w:color w:val="auto"/>
        </w:rPr>
      </w:pPr>
    </w:p>
    <w:p>
      <w:pPr>
        <w:ind w:left="1060" w:hanging="346"/>
        <w:spacing w:after="0"/>
        <w:tabs>
          <w:tab w:leader="none" w:pos="10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net leverage above certain specified levels;</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interest coverage below certain specified levels;</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 additional debt;</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dividends or make other distributions;</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Redeem stock;</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 stock of subsidiaries;</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certain investments;</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liens;</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transactions with affiliates; and</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Merge, consolidate or transfer all or substantially all of our assets.</w:t>
      </w:r>
    </w:p>
    <w:p>
      <w:pPr>
        <w:sectPr>
          <w:pgSz w:w="11880" w:h="15480" w:orient="portrait"/>
          <w:cols w:equalWidth="0" w:num="1">
            <w:col w:w="10560"/>
          </w:cols>
          <w:pgMar w:left="640" w:top="622" w:right="680" w:bottom="0" w:gutter="0" w:footer="0" w:header="0"/>
        </w:sect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50</w:t>
      </w:r>
    </w:p>
    <w:p>
      <w:pPr>
        <w:sectPr>
          <w:pgSz w:w="11880" w:h="15480" w:orient="portrait"/>
          <w:cols w:equalWidth="0" w:num="1">
            <w:col w:w="10560"/>
          </w:cols>
          <w:pgMar w:left="640" w:top="622" w:right="680" w:bottom="0" w:gutter="0" w:footer="0" w:header="0"/>
          <w:type w:val="continuous"/>
        </w:sectPr>
      </w:pPr>
    </w:p>
    <w:bookmarkStart w:id="56" w:name="page57"/>
    <w:bookmarkEnd w:id="56"/>
    <w:p>
      <w:pPr>
        <w:ind w:right="220" w:firstLine="441"/>
        <w:spacing w:after="0" w:line="258" w:lineRule="auto"/>
        <w:rPr>
          <w:sz w:val="20"/>
          <w:szCs w:val="20"/>
          <w:color w:val="auto"/>
        </w:rPr>
      </w:pPr>
      <w:r>
        <w:rPr>
          <w:rFonts w:ascii="Times New Roman" w:cs="Times New Roman" w:eastAsia="Times New Roman" w:hAnsi="Times New Roman"/>
          <w:sz w:val="20"/>
          <w:szCs w:val="20"/>
          <w:color w:val="auto"/>
        </w:rPr>
        <w:t>A breach of any of these covenants could result in a default under the 2022 Revolving Facility. We may also be unable to take advantage of business opportunities that arise because of the limitations imposed on us by the restrictive covenants under our indebtedness.</w:t>
      </w:r>
    </w:p>
    <w:p>
      <w:pPr>
        <w:spacing w:after="0" w:line="191" w:lineRule="exact"/>
        <w:rPr>
          <w:sz w:val="20"/>
          <w:szCs w:val="20"/>
          <w:color w:val="auto"/>
        </w:rPr>
      </w:pPr>
    </w:p>
    <w:p>
      <w:pPr>
        <w:ind w:right="20" w:firstLine="441"/>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U.S. credit markets may impact our ability to obtain financing or increase the cost of future financing, including interest rate fluctuations based on macroeconomic conditions that are beyond our control.</w:t>
      </w:r>
    </w:p>
    <w:p>
      <w:pPr>
        <w:spacing w:after="0" w:line="65" w:lineRule="exact"/>
        <w:rPr>
          <w:sz w:val="20"/>
          <w:szCs w:val="20"/>
          <w:color w:val="auto"/>
        </w:rPr>
      </w:pPr>
    </w:p>
    <w:p>
      <w:pPr>
        <w:ind w:firstLine="441"/>
        <w:spacing w:after="0" w:line="249" w:lineRule="auto"/>
        <w:rPr>
          <w:sz w:val="20"/>
          <w:szCs w:val="20"/>
          <w:color w:val="auto"/>
        </w:rPr>
      </w:pPr>
      <w:r>
        <w:rPr>
          <w:rFonts w:ascii="Times New Roman" w:cs="Times New Roman" w:eastAsia="Times New Roman" w:hAnsi="Times New Roman"/>
          <w:sz w:val="20"/>
          <w:szCs w:val="20"/>
          <w:color w:val="auto"/>
        </w:rPr>
        <w:t>During periods of volatility and disruption in the U.S., European, or global credit markets, obtaining additional or replacement financing may be more difficult and the cost of issuing new debt or replacing or repaying our 2022 Revolving Facility could be higher than under our current 2022 Revolving Facility. Higher cost of new debt may limit our ability to have cash on hand for working capital, capital expenditures and acquisitions on terms that are acceptable to us. Additionally, our 2022 Revolving Facility has variable interest rates. By its nature, a variable interest rate will move up or down based on changes in the economy and other factors, all of which are beyond our control. If interest rates increase, our interest expense could increase, affecting earnings and reducing cash flows available for working capital, capital expenditures and acquisitions.</w:t>
      </w:r>
    </w:p>
    <w:p>
      <w:pPr>
        <w:spacing w:after="0" w:line="203" w:lineRule="exact"/>
        <w:rPr>
          <w:sz w:val="20"/>
          <w:szCs w:val="20"/>
          <w:color w:val="auto"/>
        </w:rPr>
      </w:pPr>
    </w:p>
    <w:p>
      <w:pPr>
        <w:ind w:firstLine="441"/>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stock price could fluctuate significantly, which could cause the value of your investment in our common stock to decline, and you may not be able to resell your shares at or above your purchase price.</w:t>
      </w:r>
    </w:p>
    <w:p>
      <w:pPr>
        <w:spacing w:after="0" w:line="65" w:lineRule="exact"/>
        <w:rPr>
          <w:sz w:val="20"/>
          <w:szCs w:val="20"/>
          <w:color w:val="auto"/>
        </w:rPr>
      </w:pPr>
    </w:p>
    <w:p>
      <w:pPr>
        <w:ind w:right="20" w:firstLine="441"/>
        <w:spacing w:after="0" w:line="252" w:lineRule="auto"/>
        <w:rPr>
          <w:sz w:val="20"/>
          <w:szCs w:val="20"/>
          <w:color w:val="auto"/>
        </w:rPr>
      </w:pPr>
      <w:r>
        <w:rPr>
          <w:rFonts w:ascii="Times New Roman" w:cs="Times New Roman" w:eastAsia="Times New Roman" w:hAnsi="Times New Roman"/>
          <w:sz w:val="20"/>
          <w:szCs w:val="20"/>
          <w:color w:val="auto"/>
        </w:rPr>
        <w:t>Securities markets worldwide have experienced, and may continue to experience, significant price and volume fluctuations. This market volatility, as well as general economic, market or political conditions, could reduce the market price of our common stock regardless of our operating performance. The high and low closing sales prices of our common stock during the twelve months ended December 31, 2024 were $123.62 and $51.07, respectively. The trading price of our common stock is likely to be volatile and subject to wide price fluctuations in response to various factors, including:</w:t>
      </w:r>
    </w:p>
    <w:p>
      <w:pPr>
        <w:spacing w:after="0" w:line="86" w:lineRule="exact"/>
        <w:rPr>
          <w:sz w:val="20"/>
          <w:szCs w:val="20"/>
          <w:color w:val="auto"/>
        </w:rPr>
      </w:pPr>
    </w:p>
    <w:p>
      <w:pPr>
        <w:ind w:left="1060" w:hanging="346"/>
        <w:spacing w:after="0"/>
        <w:tabs>
          <w:tab w:leader="none" w:pos="10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conditions in the broader stock market;</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fluctuations in our quarterly financial and operating results;</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Issuance of new or changed securities analysts’ reports or recommendations;</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Investor perceptions of us and the pharmaceutical and medical device industries;</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or anticipated sales, of large blocks of our stock;</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Acquisitions or introductions of new products or services by us or our competitors;</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Positive or negative results from our clinical development programs;</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Additions or departures of key personnel;</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or political developments;</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intellectual property protections;</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Litigation and governmental investigations;</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Geopolitical events; and</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Changing economic conditions.</w:t>
      </w:r>
    </w:p>
    <w:p>
      <w:pPr>
        <w:spacing w:after="0" w:line="240" w:lineRule="exact"/>
        <w:rPr>
          <w:sz w:val="20"/>
          <w:szCs w:val="20"/>
          <w:color w:val="auto"/>
        </w:rPr>
      </w:pPr>
    </w:p>
    <w:p>
      <w:pPr>
        <w:ind w:right="220" w:firstLine="441"/>
        <w:spacing w:after="0" w:line="250" w:lineRule="auto"/>
        <w:rPr>
          <w:sz w:val="20"/>
          <w:szCs w:val="20"/>
          <w:color w:val="auto"/>
        </w:rPr>
      </w:pPr>
      <w:r>
        <w:rPr>
          <w:rFonts w:ascii="Times New Roman" w:cs="Times New Roman" w:eastAsia="Times New Roman" w:hAnsi="Times New Roman"/>
          <w:sz w:val="20"/>
          <w:szCs w:val="20"/>
          <w:color w:val="auto"/>
        </w:rPr>
        <w:t>These and other factors may cause the market price and demand for our common stock to fluctuate substantially, which may limit or prevent investors from readily selling their shares of common stock and may otherwise negatively affect the liquidity of our common stock. In addition, in the past, when the market price of a stock has been volatile, holders of that stock have sometimes instituted securities class action litigation against the company that issued the stock. If any of our stockholders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201" w:lineRule="exact"/>
        <w:rPr>
          <w:sz w:val="20"/>
          <w:szCs w:val="20"/>
          <w:color w:val="auto"/>
        </w:rPr>
      </w:pPr>
    </w:p>
    <w:p>
      <w:pPr>
        <w:ind w:right="260" w:firstLine="441"/>
        <w:spacing w:after="0" w:line="261" w:lineRule="auto"/>
        <w:rPr>
          <w:sz w:val="20"/>
          <w:szCs w:val="20"/>
          <w:color w:val="auto"/>
        </w:rPr>
      </w:pPr>
      <w:r>
        <w:rPr>
          <w:rFonts w:ascii="Times New Roman" w:cs="Times New Roman" w:eastAsia="Times New Roman" w:hAnsi="Times New Roman"/>
          <w:sz w:val="20"/>
          <w:szCs w:val="20"/>
          <w:b w:val="1"/>
          <w:bCs w:val="1"/>
          <w:i w:val="1"/>
          <w:iCs w:val="1"/>
          <w:color w:val="auto"/>
        </w:rPr>
        <w:t>If securities or industry analysts do not publish research or reports about our business, if they adversely change their recommendations regarding our stock, or if our results of operations do not meet their expectations, our stock price and trading volume could decline.</w:t>
      </w:r>
    </w:p>
    <w:p>
      <w:pPr>
        <w:spacing w:after="0" w:line="81" w:lineRule="exact"/>
        <w:rPr>
          <w:sz w:val="20"/>
          <w:szCs w:val="20"/>
          <w:color w:val="auto"/>
        </w:rPr>
      </w:pPr>
    </w:p>
    <w:p>
      <w:pPr>
        <w:ind w:right="380" w:firstLine="441"/>
        <w:spacing w:after="0" w:line="252" w:lineRule="auto"/>
        <w:rPr>
          <w:sz w:val="20"/>
          <w:szCs w:val="20"/>
          <w:color w:val="auto"/>
        </w:rPr>
      </w:pPr>
      <w:r>
        <w:rPr>
          <w:rFonts w:ascii="Times New Roman" w:cs="Times New Roman" w:eastAsia="Times New Roman" w:hAnsi="Times New Roman"/>
          <w:sz w:val="20"/>
          <w:szCs w:val="20"/>
          <w:color w:val="auto"/>
        </w:rPr>
        <w:t>The trading market for our common stock will be influenced by the research and reports that industry or securities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one or more of the analysts who cover us downgrades our stock, or if our results of operations do not meet their expectations, our stock price could also decline.</w:t>
      </w:r>
    </w:p>
    <w:p>
      <w:pPr>
        <w:sectPr>
          <w:pgSz w:w="11880" w:h="15480" w:orient="portrait"/>
          <w:cols w:equalWidth="0" w:num="1">
            <w:col w:w="10560"/>
          </w:cols>
          <w:pgMar w:left="640" w:top="622" w:right="6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51</w:t>
      </w:r>
    </w:p>
    <w:p>
      <w:pPr>
        <w:sectPr>
          <w:pgSz w:w="11880" w:h="15480" w:orient="portrait"/>
          <w:cols w:equalWidth="0" w:num="1">
            <w:col w:w="10560"/>
          </w:cols>
          <w:pgMar w:left="640" w:top="622" w:right="680" w:bottom="0" w:gutter="0" w:footer="0" w:header="0"/>
          <w:type w:val="continuous"/>
        </w:sectPr>
      </w:pPr>
    </w:p>
    <w:bookmarkStart w:id="57" w:name="page58"/>
    <w:bookmarkEnd w:id="57"/>
    <w:p>
      <w:pPr>
        <w:ind w:right="180" w:firstLine="441"/>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do not anticipate paying any cash dividends for the foreseeable future, and accordingly, stockholders must rely on stock appreciation for any return on their investment.</w:t>
      </w:r>
    </w:p>
    <w:p>
      <w:pPr>
        <w:spacing w:after="0" w:line="65" w:lineRule="exact"/>
        <w:rPr>
          <w:sz w:val="20"/>
          <w:szCs w:val="20"/>
          <w:color w:val="auto"/>
        </w:rPr>
      </w:pPr>
    </w:p>
    <w:p>
      <w:pPr>
        <w:ind w:right="60" w:firstLine="441"/>
        <w:spacing w:after="0" w:line="252" w:lineRule="auto"/>
        <w:rPr>
          <w:sz w:val="20"/>
          <w:szCs w:val="20"/>
          <w:color w:val="auto"/>
        </w:rPr>
      </w:pPr>
      <w:r>
        <w:rPr>
          <w:rFonts w:ascii="Times New Roman" w:cs="Times New Roman" w:eastAsia="Times New Roman" w:hAnsi="Times New Roman"/>
          <w:sz w:val="20"/>
          <w:szCs w:val="20"/>
          <w:color w:val="auto"/>
        </w:rPr>
        <w:t>We have never declared or paid cash dividends on our capital stock. We currently intend to retain our future earnings, if any, for the foreseeable future, to repay indebtedness and to fund the development and growth of our business. We do not intend to pay any dividends to holders of our common stock and the agreements governing our senior secured credit facilities limit our ability to pay dividends. As a result, capital appreciation in the price of our common stock, if any, will be your only source of gain on an investment in our common stock.</w:t>
      </w:r>
    </w:p>
    <w:p>
      <w:pPr>
        <w:spacing w:after="0" w:line="78" w:lineRule="exact"/>
        <w:rPr>
          <w:sz w:val="20"/>
          <w:szCs w:val="20"/>
          <w:color w:val="auto"/>
        </w:rPr>
      </w:pPr>
    </w:p>
    <w:p>
      <w:pPr>
        <w:ind w:right="100" w:firstLine="441"/>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Anti-takeover provisions in our charter documents and Delaware law and certain provisions in the Notes and Indenture may make an acquisition of us more difficult.</w:t>
      </w:r>
    </w:p>
    <w:p>
      <w:pPr>
        <w:spacing w:after="0" w:line="65" w:lineRule="exact"/>
        <w:rPr>
          <w:sz w:val="20"/>
          <w:szCs w:val="20"/>
          <w:color w:val="auto"/>
        </w:rPr>
      </w:pPr>
    </w:p>
    <w:p>
      <w:pPr>
        <w:ind w:firstLine="441"/>
        <w:spacing w:after="0" w:line="249" w:lineRule="auto"/>
        <w:rPr>
          <w:sz w:val="20"/>
          <w:szCs w:val="20"/>
          <w:color w:val="auto"/>
        </w:rPr>
      </w:pPr>
      <w:r>
        <w:rPr>
          <w:rFonts w:ascii="Times New Roman" w:cs="Times New Roman" w:eastAsia="Times New Roman" w:hAnsi="Times New Roman"/>
          <w:sz w:val="20"/>
          <w:szCs w:val="20"/>
          <w:color w:val="auto"/>
        </w:rPr>
        <w:t>Our amended and restated certificate of incorporation and bylaws, as amended and restated, contain provisions that delay, defer or discourage transactions involving an actual or potential change in control of us or change in our management. These provisions may also discourage bids for our common stock at a premium over market price or adversely affect the market price of, and the voting and other rights of the holders of, our common stock. These provisions could also discourage proxy contests and make it more difficult for stockholders to elect directors other than the candidates nominated by our Board. In addition, we are incorporated in Delaware and subject to the provisions of Section 203 of the Delaware General Corporation Law, which may prohibit large stockholders from consummating a merger with, or acquisition of, us. These provisions may deter an acquisition of us that might otherwise be attractive to stockholders.</w:t>
      </w:r>
    </w:p>
    <w:p>
      <w:pPr>
        <w:spacing w:after="0" w:line="208"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9"/>
          <w:szCs w:val="19"/>
          <w:color w:val="auto"/>
        </w:rPr>
        <w:t>Certain provisions in the Notes and the Indenture could make it more difficult or more expensive for a third party to acquire us. For example, if a takeover would constitute a fundamental change, holders of the Notes will have the right to require us to repurchase their Notes in cash. In addition, if a takeover constitutes a make-whole fundamental change, we may be required to increase the conversion rate for holders who convert their Notes in connection with such takeover. In either case, and in other cases, our obligations under the Notes and the Indenture could increase the cost of acquiring us or otherwise discourage a third party from acquiring us or removing incumbent management, including in a transaction that holders of our common stock may view as favorable.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None.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130" w:lineRule="exact"/>
        <w:rPr>
          <w:sz w:val="20"/>
          <w:szCs w:val="20"/>
          <w:color w:val="auto"/>
        </w:rPr>
      </w:pPr>
    </w:p>
    <w:p>
      <w:pPr>
        <w:ind w:right="240" w:firstLine="441"/>
        <w:spacing w:after="0" w:line="252" w:lineRule="auto"/>
        <w:rPr>
          <w:sz w:val="20"/>
          <w:szCs w:val="20"/>
          <w:color w:val="auto"/>
        </w:rPr>
      </w:pPr>
      <w:r>
        <w:rPr>
          <w:rFonts w:ascii="Times New Roman" w:cs="Times New Roman" w:eastAsia="Times New Roman" w:hAnsi="Times New Roman"/>
          <w:sz w:val="20"/>
          <w:szCs w:val="20"/>
          <w:color w:val="auto"/>
        </w:rPr>
        <w:t>With respect to cybersecurity risks, we have invested and continually invest in new cybersecurity services, technologies, and capabilities. On an ongoing basis we provide our employees with comprehensive cybersecurity awareness training around phishing, malware and other cybersecurity risks, all in a manner reasonably intended to educate employees to safely avoid cyber attacks and mitigate the risk of employee related security breaches. In support of our cybersecurity program, our systems and services undergo regular reviews by management to determine if any insufficiencies in cybersecurity exist.</w:t>
      </w:r>
    </w:p>
    <w:p>
      <w:pPr>
        <w:spacing w:after="0" w:line="204" w:lineRule="exact"/>
        <w:rPr>
          <w:sz w:val="20"/>
          <w:szCs w:val="20"/>
          <w:color w:val="auto"/>
        </w:rPr>
      </w:pPr>
    </w:p>
    <w:p>
      <w:pPr>
        <w:ind w:firstLine="441"/>
        <w:spacing w:after="0" w:line="249" w:lineRule="auto"/>
        <w:rPr>
          <w:sz w:val="20"/>
          <w:szCs w:val="20"/>
          <w:color w:val="auto"/>
        </w:rPr>
      </w:pPr>
      <w:r>
        <w:rPr>
          <w:rFonts w:ascii="Times New Roman" w:cs="Times New Roman" w:eastAsia="Times New Roman" w:hAnsi="Times New Roman"/>
          <w:sz w:val="20"/>
          <w:szCs w:val="20"/>
          <w:color w:val="auto"/>
        </w:rPr>
        <w:t>If an incident is detected, our cybersecurity team follows the incident response policy to investigate, review and determine the potential impacts of such an incident. If the cybersecurity team determines that an incident could reasonably be expected to have an impact on the financial condition or operations of the Company, it escalates the incident to the crisis management team, which includes executive management. The crisis management team further evaluates the potential impact and materiality of an event and the appropriate response required. The crisis management team coordinates the appropriate response effort and communicates, as applicable, to the Audit Committee. To the extent that cybersecurity incident is determined to be material, the appropriate public disclosures are made.</w:t>
      </w:r>
    </w:p>
    <w:p>
      <w:pPr>
        <w:spacing w:after="0" w:line="211"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20"/>
          <w:szCs w:val="20"/>
          <w:color w:val="auto"/>
        </w:rPr>
        <w:t>We monitor material risks from cybersecurity threats relating to potential compromises of sensitive information at our third-party business partners where relevant and reevaluate these risks periodically. We also perform third-party cybersecurity audits at least annually and conduct third-party security reviews and testing of our network, processes and systems periodically.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Impact of cybersecurity risks on business strategy, results of operations or financial condition</w:t>
      </w:r>
    </w:p>
    <w:p>
      <w:pPr>
        <w:spacing w:after="0" w:line="130" w:lineRule="exact"/>
        <w:rPr>
          <w:sz w:val="20"/>
          <w:szCs w:val="20"/>
          <w:color w:val="auto"/>
        </w:rPr>
      </w:pPr>
    </w:p>
    <w:p>
      <w:pPr>
        <w:ind w:right="20" w:firstLine="441"/>
        <w:spacing w:after="0" w:line="264" w:lineRule="auto"/>
        <w:rPr>
          <w:sz w:val="20"/>
          <w:szCs w:val="20"/>
          <w:color w:val="auto"/>
        </w:rPr>
      </w:pPr>
      <w:r>
        <w:rPr>
          <w:rFonts w:ascii="Times New Roman" w:cs="Times New Roman" w:eastAsia="Times New Roman" w:hAnsi="Times New Roman"/>
          <w:sz w:val="19"/>
          <w:szCs w:val="19"/>
          <w:color w:val="auto"/>
        </w:rPr>
        <w:t>We rely on our computer networks and systems, some of which are managed by third-parties, to manage and store electronic information (including sensitive data such as confidential business information, personally identifiable data and personal health information), and to manage or support a variety of critical business processes and activities. We may face threats to our networks from unauthorized access, security breaches and other system disruptions. Despite our security measures, our infrastructure may be vulnerable to external or internal attacks. Any such security breach may compromise information stored on our networks and may result in significant data losses or theft of sensitive or proprietary information. A cybersecurity breach could hurt our reputation by adversely affecting the perception of customers and potential customers about the security of their orders and personal information, as well as the perception of our manufacturing partners of the security of their proprietary information. In addition, a cybersecurity attack</w:t>
      </w:r>
    </w:p>
    <w:p>
      <w:pPr>
        <w:sectPr>
          <w:pgSz w:w="11880" w:h="15480" w:orient="portrait"/>
          <w:cols w:equalWidth="0" w:num="1">
            <w:col w:w="10580"/>
          </w:cols>
          <w:pgMar w:left="640" w:top="614" w:right="660" w:bottom="0"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52</w:t>
      </w:r>
    </w:p>
    <w:p>
      <w:pPr>
        <w:sectPr>
          <w:pgSz w:w="11880" w:h="15480" w:orient="portrait"/>
          <w:cols w:equalWidth="0" w:num="1">
            <w:col w:w="10580"/>
          </w:cols>
          <w:pgMar w:left="640" w:top="614" w:right="660" w:bottom="0" w:gutter="0" w:footer="0" w:header="0"/>
          <w:type w:val="continuous"/>
        </w:sectPr>
      </w:pPr>
    </w:p>
    <w:bookmarkStart w:id="58" w:name="page59"/>
    <w:bookmarkEnd w:id="58"/>
    <w:p>
      <w:pPr>
        <w:jc w:val="both"/>
        <w:ind w:right="140"/>
        <w:spacing w:after="0" w:line="258" w:lineRule="auto"/>
        <w:rPr>
          <w:sz w:val="20"/>
          <w:szCs w:val="20"/>
          <w:color w:val="auto"/>
        </w:rPr>
      </w:pPr>
      <w:r>
        <w:rPr>
          <w:rFonts w:ascii="Times New Roman" w:cs="Times New Roman" w:eastAsia="Times New Roman" w:hAnsi="Times New Roman"/>
          <w:sz w:val="20"/>
          <w:szCs w:val="20"/>
          <w:color w:val="auto"/>
        </w:rPr>
        <w:t>could result in other negative consequences, including disruption of our internal operations, increased cybersecurity protection costs, lost revenue, regulatory actions or litigation. Any disruption of internal operations could also have a material adverse impact on our results of operations, financial condition and cash flows.</w:t>
      </w:r>
    </w:p>
    <w:p>
      <w:pPr>
        <w:spacing w:after="0" w:line="199" w:lineRule="exact"/>
        <w:rPr>
          <w:sz w:val="20"/>
          <w:szCs w:val="20"/>
          <w:color w:val="auto"/>
        </w:rPr>
      </w:pPr>
    </w:p>
    <w:p>
      <w:pPr>
        <w:ind w:right="140" w:firstLine="441"/>
        <w:spacing w:after="0" w:line="254" w:lineRule="auto"/>
        <w:rPr>
          <w:sz w:val="20"/>
          <w:szCs w:val="20"/>
          <w:color w:val="auto"/>
        </w:rPr>
      </w:pPr>
      <w:r>
        <w:rPr>
          <w:rFonts w:ascii="Times New Roman" w:cs="Times New Roman" w:eastAsia="Times New Roman" w:hAnsi="Times New Roman"/>
          <w:sz w:val="20"/>
          <w:szCs w:val="20"/>
          <w:color w:val="auto"/>
        </w:rPr>
        <w:t xml:space="preserve">As of the date of this report, we have not experienced any known cybersecurity incidents, or a series of related incidents, that have materially affected or are reasonably likely to affect us, including our business strategy, results of operations or financial condition. For an additional description of these cybersecurity risks and potential related impacts on us, see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xml:space="preserve"> in Part I, Item 1A of this Form 10-K.</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130" w:lineRule="exact"/>
        <w:rPr>
          <w:sz w:val="20"/>
          <w:szCs w:val="20"/>
          <w:color w:val="auto"/>
        </w:rPr>
      </w:pPr>
    </w:p>
    <w:p>
      <w:pPr>
        <w:ind w:right="40" w:firstLine="441"/>
        <w:spacing w:after="0" w:line="271" w:lineRule="auto"/>
        <w:rPr>
          <w:sz w:val="20"/>
          <w:szCs w:val="20"/>
          <w:color w:val="auto"/>
        </w:rPr>
      </w:pPr>
      <w:r>
        <w:rPr>
          <w:rFonts w:ascii="Times New Roman" w:cs="Times New Roman" w:eastAsia="Times New Roman" w:hAnsi="Times New Roman"/>
          <w:sz w:val="20"/>
          <w:szCs w:val="20"/>
          <w:color w:val="auto"/>
        </w:rPr>
        <w:t>Our Board actively oversees our corporate strategy and enterprise risk management (“ERM”) programs, including those relating to cybersecurity and data privacy risks.</w:t>
      </w:r>
    </w:p>
    <w:p>
      <w:pPr>
        <w:spacing w:after="0" w:line="186" w:lineRule="exact"/>
        <w:rPr>
          <w:sz w:val="20"/>
          <w:szCs w:val="20"/>
          <w:color w:val="auto"/>
        </w:rPr>
      </w:pPr>
    </w:p>
    <w:p>
      <w:pPr>
        <w:ind w:right="40" w:firstLine="441"/>
        <w:spacing w:after="0" w:line="265" w:lineRule="auto"/>
        <w:rPr>
          <w:sz w:val="20"/>
          <w:szCs w:val="20"/>
          <w:color w:val="auto"/>
        </w:rPr>
      </w:pPr>
      <w:r>
        <w:rPr>
          <w:rFonts w:ascii="Times New Roman" w:cs="Times New Roman" w:eastAsia="Times New Roman" w:hAnsi="Times New Roman"/>
          <w:sz w:val="19"/>
          <w:szCs w:val="19"/>
          <w:color w:val="auto"/>
        </w:rPr>
        <w:t>Our Audit Committee and Nominating and Corporate Governance Committee are primarily responsible for, among other things, overseeing our compliance and ERM programs, information technology systems, and our processes and data, including cybersecurity and data privacy. These responsibilities include reviewing and discussing with management our policies and processes relating to risk assessment and risk management. Cybersecurity and data privacy are regular topics on the Audit Committee’s agenda and management reviews at least quarterly the results of cybersecurity monitoring and discusses performance metrics, any incidents identified and potential recommended modifications to our technology, organization training, awareness and governance with our Audit Committee. A summary of these results are also reported by the Audit Committee to the Board at least annually.</w:t>
      </w:r>
    </w:p>
    <w:p>
      <w:pPr>
        <w:spacing w:after="0" w:line="193"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20"/>
          <w:szCs w:val="20"/>
          <w:color w:val="auto"/>
        </w:rPr>
        <w:t>Management, including our Chief Information Officer, who has over 25 years of experience serving primarily in the life science industry and is a recognized industry leader, is responsible for monitoring and assessing cybersecurity risks. Management reviews and determines the effectiveness of both internal and third-party leveraged expertise to ensure we have the appropriate knowledge base for risk coverage.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The following table summarizes information regarding our significant leased and owned properties, as of December 31, 2024:</w:t>
      </w:r>
    </w:p>
    <w:p>
      <w:pPr>
        <w:spacing w:after="0" w:line="54"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1360" w:type="dxa"/>
            <w:vAlign w:val="bottom"/>
            <w:vMerge w:val="restart"/>
          </w:tcPr>
          <w:p>
            <w:pPr>
              <w:ind w:left="320"/>
              <w:spacing w:after="0"/>
              <w:rPr>
                <w:sz w:val="20"/>
                <w:szCs w:val="20"/>
                <w:color w:val="auto"/>
              </w:rPr>
            </w:pPr>
            <w:r>
              <w:rPr>
                <w:rFonts w:ascii="Times New Roman" w:cs="Times New Roman" w:eastAsia="Times New Roman" w:hAnsi="Times New Roman"/>
                <w:sz w:val="20"/>
                <w:szCs w:val="20"/>
                <w:b w:val="1"/>
                <w:bCs w:val="1"/>
                <w:color w:val="auto"/>
              </w:rPr>
              <w:t>Location</w:t>
            </w:r>
          </w:p>
        </w:tc>
        <w:tc>
          <w:tcPr>
            <w:tcW w:w="80" w:type="dxa"/>
            <w:vAlign w:val="bottom"/>
          </w:tcPr>
          <w:p>
            <w:pPr>
              <w:spacing w:after="0"/>
              <w:rPr>
                <w:sz w:val="19"/>
                <w:szCs w:val="19"/>
                <w:color w:val="auto"/>
              </w:rPr>
            </w:pPr>
          </w:p>
        </w:tc>
        <w:tc>
          <w:tcPr>
            <w:tcW w:w="4240" w:type="dxa"/>
            <w:vAlign w:val="bottom"/>
            <w:vMerge w:val="restart"/>
          </w:tcPr>
          <w:p>
            <w:pPr>
              <w:ind w:left="1780"/>
              <w:spacing w:after="0"/>
              <w:rPr>
                <w:sz w:val="20"/>
                <w:szCs w:val="20"/>
                <w:color w:val="auto"/>
              </w:rPr>
            </w:pPr>
            <w:r>
              <w:rPr>
                <w:rFonts w:ascii="Times New Roman" w:cs="Times New Roman" w:eastAsia="Times New Roman" w:hAnsi="Times New Roman"/>
                <w:sz w:val="20"/>
                <w:szCs w:val="20"/>
                <w:b w:val="1"/>
                <w:bCs w:val="1"/>
                <w:color w:val="auto"/>
              </w:rPr>
              <w:t>Purpose</w:t>
            </w:r>
          </w:p>
        </w:tc>
        <w:tc>
          <w:tcPr>
            <w:tcW w:w="80" w:type="dxa"/>
            <w:vAlign w:val="bottom"/>
          </w:tcPr>
          <w:p>
            <w:pPr>
              <w:spacing w:after="0"/>
              <w:rPr>
                <w:sz w:val="19"/>
                <w:szCs w:val="19"/>
                <w:color w:val="auto"/>
              </w:rPr>
            </w:pPr>
          </w:p>
        </w:tc>
        <w:tc>
          <w:tcPr>
            <w:tcW w:w="1060" w:type="dxa"/>
            <w:vAlign w:val="bottom"/>
          </w:tcPr>
          <w:p>
            <w:pPr>
              <w:jc w:val="right"/>
              <w:ind w:right="122"/>
              <w:spacing w:after="0"/>
              <w:rPr>
                <w:sz w:val="20"/>
                <w:szCs w:val="20"/>
                <w:color w:val="auto"/>
              </w:rPr>
            </w:pPr>
            <w:r>
              <w:rPr>
                <w:rFonts w:ascii="Times New Roman" w:cs="Times New Roman" w:eastAsia="Times New Roman" w:hAnsi="Times New Roman"/>
                <w:sz w:val="20"/>
                <w:szCs w:val="20"/>
                <w:b w:val="1"/>
                <w:bCs w:val="1"/>
                <w:color w:val="auto"/>
              </w:rPr>
              <w:t>Square</w:t>
            </w:r>
          </w:p>
        </w:tc>
        <w:tc>
          <w:tcPr>
            <w:tcW w:w="80" w:type="dxa"/>
            <w:vAlign w:val="bottom"/>
          </w:tcPr>
          <w:p>
            <w:pPr>
              <w:spacing w:after="0"/>
              <w:rPr>
                <w:sz w:val="19"/>
                <w:szCs w:val="19"/>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Ownership</w:t>
            </w: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Lease Term</w:t>
            </w:r>
          </w:p>
        </w:tc>
        <w:tc>
          <w:tcPr>
            <w:tcW w:w="0" w:type="dxa"/>
            <w:vAlign w:val="bottom"/>
          </w:tcPr>
          <w:p>
            <w:pPr>
              <w:spacing w:after="0"/>
              <w:rPr>
                <w:sz w:val="1"/>
                <w:szCs w:val="1"/>
                <w:color w:val="auto"/>
              </w:rPr>
            </w:pPr>
          </w:p>
        </w:tc>
      </w:tr>
      <w:tr>
        <w:trPr>
          <w:trHeight w:val="258"/>
        </w:trPr>
        <w:tc>
          <w:tcPr>
            <w:tcW w:w="136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9E9E9"/>
            </w:tcBorders>
          </w:tcPr>
          <w:p>
            <w:pPr>
              <w:spacing w:after="0"/>
              <w:rPr>
                <w:sz w:val="22"/>
                <w:szCs w:val="22"/>
                <w:color w:val="auto"/>
              </w:rPr>
            </w:pPr>
          </w:p>
        </w:tc>
        <w:tc>
          <w:tcPr>
            <w:tcW w:w="424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9E9E9"/>
            </w:tcBorders>
          </w:tcPr>
          <w:p>
            <w:pPr>
              <w:spacing w:after="0"/>
              <w:rPr>
                <w:sz w:val="22"/>
                <w:szCs w:val="22"/>
                <w:color w:val="auto"/>
              </w:rPr>
            </w:pPr>
          </w:p>
        </w:tc>
        <w:tc>
          <w:tcPr>
            <w:tcW w:w="10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b w:val="1"/>
                <w:bCs w:val="1"/>
                <w:color w:val="auto"/>
              </w:rPr>
              <w:t>Footage</w:t>
            </w:r>
          </w:p>
        </w:tc>
        <w:tc>
          <w:tcPr>
            <w:tcW w:w="80" w:type="dxa"/>
            <w:vAlign w:val="bottom"/>
            <w:tcBorders>
              <w:bottom w:val="single" w:sz="8" w:color="E9E9E9"/>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E9E9E9"/>
            </w:tcBorders>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End</w:t>
            </w:r>
          </w:p>
        </w:tc>
        <w:tc>
          <w:tcPr>
            <w:tcW w:w="0" w:type="dxa"/>
            <w:vAlign w:val="bottom"/>
          </w:tcPr>
          <w:p>
            <w:pPr>
              <w:spacing w:after="0"/>
              <w:rPr>
                <w:sz w:val="1"/>
                <w:szCs w:val="1"/>
                <w:color w:val="auto"/>
              </w:rPr>
            </w:pPr>
          </w:p>
        </w:tc>
      </w:tr>
      <w:tr>
        <w:trPr>
          <w:trHeight w:val="240"/>
        </w:trPr>
        <w:tc>
          <w:tcPr>
            <w:tcW w:w="136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b w:val="1"/>
                <w:bCs w:val="1"/>
                <w:color w:val="auto"/>
              </w:rPr>
              <w:t>U.S.</w:t>
            </w:r>
          </w:p>
        </w:tc>
        <w:tc>
          <w:tcPr>
            <w:tcW w:w="80" w:type="dxa"/>
            <w:vAlign w:val="bottom"/>
            <w:shd w:val="clear" w:color="auto" w:fill="E9E9E9"/>
          </w:tcPr>
          <w:p>
            <w:pPr>
              <w:spacing w:after="0"/>
              <w:rPr>
                <w:sz w:val="20"/>
                <w:szCs w:val="20"/>
                <w:color w:val="auto"/>
              </w:rPr>
            </w:pPr>
          </w:p>
        </w:tc>
        <w:tc>
          <w:tcPr>
            <w:tcW w:w="4240" w:type="dxa"/>
            <w:vAlign w:val="bottom"/>
            <w:shd w:val="clear" w:color="auto" w:fill="E9E9E9"/>
          </w:tcPr>
          <w:p>
            <w:pPr>
              <w:spacing w:after="0"/>
              <w:rPr>
                <w:sz w:val="20"/>
                <w:szCs w:val="20"/>
                <w:color w:val="auto"/>
              </w:rPr>
            </w:pPr>
          </w:p>
        </w:tc>
        <w:tc>
          <w:tcPr>
            <w:tcW w:w="80" w:type="dxa"/>
            <w:vAlign w:val="bottom"/>
            <w:shd w:val="clear" w:color="auto" w:fill="E9E9E9"/>
          </w:tcPr>
          <w:p>
            <w:pPr>
              <w:spacing w:after="0"/>
              <w:rPr>
                <w:sz w:val="20"/>
                <w:szCs w:val="20"/>
                <w:color w:val="auto"/>
              </w:rPr>
            </w:pPr>
          </w:p>
        </w:tc>
        <w:tc>
          <w:tcPr>
            <w:tcW w:w="1060" w:type="dxa"/>
            <w:vAlign w:val="bottom"/>
            <w:shd w:val="clear" w:color="auto" w:fill="E9E9E9"/>
          </w:tcPr>
          <w:p>
            <w:pPr>
              <w:spacing w:after="0"/>
              <w:rPr>
                <w:sz w:val="20"/>
                <w:szCs w:val="20"/>
                <w:color w:val="auto"/>
              </w:rPr>
            </w:pPr>
          </w:p>
        </w:tc>
        <w:tc>
          <w:tcPr>
            <w:tcW w:w="80" w:type="dxa"/>
            <w:vAlign w:val="bottom"/>
            <w:shd w:val="clear" w:color="auto" w:fill="E9E9E9"/>
          </w:tcPr>
          <w:p>
            <w:pPr>
              <w:spacing w:after="0"/>
              <w:rPr>
                <w:sz w:val="20"/>
                <w:szCs w:val="20"/>
                <w:color w:val="auto"/>
              </w:rPr>
            </w:pPr>
          </w:p>
        </w:tc>
        <w:tc>
          <w:tcPr>
            <w:tcW w:w="106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1240" w:type="dxa"/>
            <w:vAlign w:val="bottom"/>
            <w:shd w:val="clear" w:color="auto" w:fill="E9E9E9"/>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360" w:type="dxa"/>
            <w:vAlign w:val="bottom"/>
          </w:tcPr>
          <w:p>
            <w:pPr>
              <w:ind w:left="60"/>
              <w:spacing w:after="0" w:line="213" w:lineRule="exact"/>
              <w:rPr>
                <w:sz w:val="20"/>
                <w:szCs w:val="20"/>
                <w:color w:val="auto"/>
              </w:rPr>
            </w:pPr>
            <w:r>
              <w:rPr>
                <w:rFonts w:ascii="Times New Roman" w:cs="Times New Roman" w:eastAsia="Times New Roman" w:hAnsi="Times New Roman"/>
                <w:sz w:val="20"/>
                <w:szCs w:val="20"/>
                <w:color w:val="auto"/>
              </w:rPr>
              <w:t>North Billerica,</w:t>
            </w:r>
          </w:p>
        </w:tc>
        <w:tc>
          <w:tcPr>
            <w:tcW w:w="80" w:type="dxa"/>
            <w:vAlign w:val="bottom"/>
          </w:tcPr>
          <w:p>
            <w:pPr>
              <w:spacing w:after="0"/>
              <w:rPr>
                <w:sz w:val="18"/>
                <w:szCs w:val="18"/>
                <w:color w:val="auto"/>
              </w:rPr>
            </w:pPr>
          </w:p>
        </w:tc>
        <w:tc>
          <w:tcPr>
            <w:tcW w:w="4240" w:type="dxa"/>
            <w:vAlign w:val="bottom"/>
          </w:tcPr>
          <w:p>
            <w:pPr>
              <w:ind w:left="60"/>
              <w:spacing w:after="0" w:line="213" w:lineRule="exact"/>
              <w:rPr>
                <w:sz w:val="20"/>
                <w:szCs w:val="20"/>
                <w:color w:val="auto"/>
              </w:rPr>
            </w:pPr>
            <w:r>
              <w:rPr>
                <w:rFonts w:ascii="Times New Roman" w:cs="Times New Roman" w:eastAsia="Times New Roman" w:hAnsi="Times New Roman"/>
                <w:sz w:val="20"/>
                <w:szCs w:val="20"/>
                <w:color w:val="auto"/>
              </w:rPr>
              <w:t>Manufacturing, Laboratory, Mixed Use and Other</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354,000</w:t>
            </w:r>
          </w:p>
        </w:tc>
        <w:tc>
          <w:tcPr>
            <w:tcW w:w="8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Owned</w:t>
            </w:r>
          </w:p>
        </w:tc>
        <w:tc>
          <w:tcPr>
            <w:tcW w:w="120" w:type="dxa"/>
            <w:vAlign w:val="bottom"/>
          </w:tcPr>
          <w:p>
            <w:pPr>
              <w:spacing w:after="0"/>
              <w:rPr>
                <w:sz w:val="18"/>
                <w:szCs w:val="18"/>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0" w:type="dxa"/>
            <w:vAlign w:val="bottom"/>
          </w:tcPr>
          <w:p>
            <w:pPr>
              <w:spacing w:after="0"/>
              <w:rPr>
                <w:sz w:val="1"/>
                <w:szCs w:val="1"/>
                <w:color w:val="auto"/>
              </w:rPr>
            </w:pPr>
          </w:p>
        </w:tc>
      </w:tr>
      <w:tr>
        <w:trPr>
          <w:trHeight w:val="156"/>
        </w:trPr>
        <w:tc>
          <w:tcPr>
            <w:tcW w:w="13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Massachusetts</w:t>
            </w:r>
          </w:p>
        </w:tc>
        <w:tc>
          <w:tcPr>
            <w:tcW w:w="80" w:type="dxa"/>
            <w:vAlign w:val="bottom"/>
          </w:tcPr>
          <w:p>
            <w:pPr>
              <w:spacing w:after="0"/>
              <w:rPr>
                <w:sz w:val="13"/>
                <w:szCs w:val="13"/>
                <w:color w:val="auto"/>
              </w:rPr>
            </w:pPr>
          </w:p>
        </w:tc>
        <w:tc>
          <w:tcPr>
            <w:tcW w:w="424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Office Space</w:t>
            </w:r>
          </w:p>
        </w:tc>
        <w:tc>
          <w:tcPr>
            <w:tcW w:w="11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3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2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1360" w:type="dxa"/>
            <w:vAlign w:val="bottom"/>
            <w:shd w:val="clear" w:color="auto" w:fill="E9E9E9"/>
          </w:tcPr>
          <w:p>
            <w:pPr>
              <w:ind w:left="60"/>
              <w:spacing w:after="0" w:line="222" w:lineRule="exact"/>
              <w:rPr>
                <w:sz w:val="20"/>
                <w:szCs w:val="20"/>
                <w:color w:val="auto"/>
              </w:rPr>
            </w:pPr>
            <w:r>
              <w:rPr>
                <w:rFonts w:ascii="Times New Roman" w:cs="Times New Roman" w:eastAsia="Times New Roman" w:hAnsi="Times New Roman"/>
                <w:sz w:val="20"/>
                <w:szCs w:val="20"/>
                <w:color w:val="auto"/>
              </w:rPr>
              <w:t>Bedford,</w:t>
            </w:r>
          </w:p>
        </w:tc>
        <w:tc>
          <w:tcPr>
            <w:tcW w:w="80" w:type="dxa"/>
            <w:vAlign w:val="bottom"/>
            <w:shd w:val="clear" w:color="auto" w:fill="E9E9E9"/>
          </w:tcPr>
          <w:p>
            <w:pPr>
              <w:spacing w:after="0"/>
              <w:rPr>
                <w:sz w:val="19"/>
                <w:szCs w:val="19"/>
                <w:color w:val="auto"/>
              </w:rPr>
            </w:pPr>
          </w:p>
        </w:tc>
        <w:tc>
          <w:tcPr>
            <w:tcW w:w="4240" w:type="dxa"/>
            <w:vAlign w:val="bottom"/>
            <w:vMerge w:val="restart"/>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Executive Offices, Laboratory, Office Space</w:t>
            </w:r>
          </w:p>
        </w:tc>
        <w:tc>
          <w:tcPr>
            <w:tcW w:w="1140" w:type="dxa"/>
            <w:vAlign w:val="bottom"/>
            <w:gridSpan w:val="2"/>
            <w:vMerge w:val="restart"/>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88,200</w:t>
            </w:r>
          </w:p>
        </w:tc>
        <w:tc>
          <w:tcPr>
            <w:tcW w:w="80" w:type="dxa"/>
            <w:vAlign w:val="bottom"/>
            <w:shd w:val="clear" w:color="auto" w:fill="E9E9E9"/>
          </w:tcPr>
          <w:p>
            <w:pPr>
              <w:spacing w:after="0"/>
              <w:rPr>
                <w:sz w:val="19"/>
                <w:szCs w:val="19"/>
                <w:color w:val="auto"/>
              </w:rPr>
            </w:pPr>
          </w:p>
        </w:tc>
        <w:tc>
          <w:tcPr>
            <w:tcW w:w="1060" w:type="dxa"/>
            <w:vAlign w:val="bottom"/>
            <w:vMerge w:val="restart"/>
            <w:shd w:val="clear" w:color="auto" w:fill="E9E9E9"/>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c>
          <w:tcPr>
            <w:tcW w:w="120" w:type="dxa"/>
            <w:vAlign w:val="bottom"/>
            <w:shd w:val="clear" w:color="auto" w:fill="E9E9E9"/>
          </w:tcPr>
          <w:p>
            <w:pPr>
              <w:spacing w:after="0"/>
              <w:rPr>
                <w:sz w:val="19"/>
                <w:szCs w:val="19"/>
                <w:color w:val="auto"/>
              </w:rPr>
            </w:pPr>
          </w:p>
        </w:tc>
        <w:tc>
          <w:tcPr>
            <w:tcW w:w="1240" w:type="dxa"/>
            <w:vAlign w:val="bottom"/>
            <w:shd w:val="clear" w:color="auto" w:fill="E9E9E9"/>
          </w:tcPr>
          <w:p>
            <w:pPr>
              <w:jc w:val="center"/>
              <w:spacing w:after="0" w:line="222" w:lineRule="exact"/>
              <w:rPr>
                <w:sz w:val="20"/>
                <w:szCs w:val="20"/>
                <w:color w:val="auto"/>
              </w:rPr>
            </w:pPr>
            <w:r>
              <w:rPr>
                <w:rFonts w:ascii="Times New Roman" w:cs="Times New Roman" w:eastAsia="Times New Roman" w:hAnsi="Times New Roman"/>
                <w:sz w:val="20"/>
                <w:szCs w:val="20"/>
                <w:color w:val="auto"/>
                <w:w w:val="96"/>
              </w:rPr>
              <w:t>February</w:t>
            </w:r>
          </w:p>
        </w:tc>
        <w:tc>
          <w:tcPr>
            <w:tcW w:w="0" w:type="dxa"/>
            <w:vAlign w:val="bottom"/>
          </w:tcPr>
          <w:p>
            <w:pPr>
              <w:spacing w:after="0"/>
              <w:rPr>
                <w:sz w:val="1"/>
                <w:szCs w:val="1"/>
                <w:color w:val="auto"/>
              </w:rPr>
            </w:pPr>
          </w:p>
        </w:tc>
      </w:tr>
      <w:tr>
        <w:trPr>
          <w:trHeight w:val="156"/>
        </w:trPr>
        <w:tc>
          <w:tcPr>
            <w:tcW w:w="1360" w:type="dxa"/>
            <w:vAlign w:val="bottom"/>
            <w:vMerge w:val="restart"/>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Massachusetts</w:t>
            </w:r>
          </w:p>
        </w:tc>
        <w:tc>
          <w:tcPr>
            <w:tcW w:w="80" w:type="dxa"/>
            <w:vAlign w:val="bottom"/>
            <w:shd w:val="clear" w:color="auto" w:fill="E9E9E9"/>
          </w:tcPr>
          <w:p>
            <w:pPr>
              <w:spacing w:after="0"/>
              <w:rPr>
                <w:sz w:val="13"/>
                <w:szCs w:val="13"/>
                <w:color w:val="auto"/>
              </w:rPr>
            </w:pPr>
          </w:p>
        </w:tc>
        <w:tc>
          <w:tcPr>
            <w:tcW w:w="4240" w:type="dxa"/>
            <w:vAlign w:val="bottom"/>
            <w:vMerge w:val="continue"/>
            <w:shd w:val="clear" w:color="auto" w:fill="E9E9E9"/>
          </w:tcPr>
          <w:p>
            <w:pPr>
              <w:spacing w:after="0"/>
              <w:rPr>
                <w:sz w:val="13"/>
                <w:szCs w:val="13"/>
                <w:color w:val="auto"/>
              </w:rPr>
            </w:pPr>
          </w:p>
        </w:tc>
        <w:tc>
          <w:tcPr>
            <w:tcW w:w="1140" w:type="dxa"/>
            <w:vAlign w:val="bottom"/>
            <w:gridSpan w:val="2"/>
            <w:vMerge w:val="continue"/>
            <w:shd w:val="clear" w:color="auto" w:fill="E9E9E9"/>
          </w:tcPr>
          <w:p>
            <w:pPr>
              <w:spacing w:after="0"/>
              <w:rPr>
                <w:sz w:val="13"/>
                <w:szCs w:val="13"/>
                <w:color w:val="auto"/>
              </w:rPr>
            </w:pPr>
          </w:p>
        </w:tc>
        <w:tc>
          <w:tcPr>
            <w:tcW w:w="80" w:type="dxa"/>
            <w:vAlign w:val="bottom"/>
            <w:shd w:val="clear" w:color="auto" w:fill="E9E9E9"/>
          </w:tcPr>
          <w:p>
            <w:pPr>
              <w:spacing w:after="0"/>
              <w:rPr>
                <w:sz w:val="13"/>
                <w:szCs w:val="13"/>
                <w:color w:val="auto"/>
              </w:rPr>
            </w:pPr>
          </w:p>
        </w:tc>
        <w:tc>
          <w:tcPr>
            <w:tcW w:w="1060" w:type="dxa"/>
            <w:vAlign w:val="bottom"/>
            <w:vMerge w:val="continue"/>
            <w:shd w:val="clear" w:color="auto" w:fill="E9E9E9"/>
          </w:tcPr>
          <w:p>
            <w:pPr>
              <w:spacing w:after="0"/>
              <w:rPr>
                <w:sz w:val="13"/>
                <w:szCs w:val="13"/>
                <w:color w:val="auto"/>
              </w:rPr>
            </w:pPr>
          </w:p>
        </w:tc>
        <w:tc>
          <w:tcPr>
            <w:tcW w:w="1360" w:type="dxa"/>
            <w:vAlign w:val="bottom"/>
            <w:gridSpan w:val="2"/>
            <w:vMerge w:val="restart"/>
            <w:shd w:val="clear" w:color="auto" w:fill="E9E9E9"/>
          </w:tcPr>
          <w:p>
            <w:pPr>
              <w:jc w:val="center"/>
              <w:ind w:left="22"/>
              <w:spacing w:after="0"/>
              <w:rPr>
                <w:sz w:val="20"/>
                <w:szCs w:val="20"/>
                <w:color w:val="auto"/>
              </w:rPr>
            </w:pPr>
            <w:r>
              <w:rPr>
                <w:rFonts w:ascii="Times New Roman" w:cs="Times New Roman" w:eastAsia="Times New Roman" w:hAnsi="Times New Roman"/>
                <w:sz w:val="20"/>
                <w:szCs w:val="20"/>
                <w:color w:val="auto"/>
                <w:w w:val="99"/>
              </w:rPr>
              <w:t>2040</w:t>
            </w:r>
          </w:p>
        </w:tc>
        <w:tc>
          <w:tcPr>
            <w:tcW w:w="0" w:type="dxa"/>
            <w:vAlign w:val="bottom"/>
          </w:tcPr>
          <w:p>
            <w:pPr>
              <w:spacing w:after="0"/>
              <w:rPr>
                <w:sz w:val="1"/>
                <w:szCs w:val="1"/>
                <w:color w:val="auto"/>
              </w:rPr>
            </w:pPr>
          </w:p>
        </w:tc>
      </w:tr>
      <w:tr>
        <w:trPr>
          <w:trHeight w:val="116"/>
        </w:trPr>
        <w:tc>
          <w:tcPr>
            <w:tcW w:w="1360" w:type="dxa"/>
            <w:vAlign w:val="bottom"/>
            <w:vMerge w:val="continue"/>
            <w:shd w:val="clear" w:color="auto" w:fill="E9E9E9"/>
          </w:tcPr>
          <w:p>
            <w:pPr>
              <w:spacing w:after="0"/>
              <w:rPr>
                <w:sz w:val="10"/>
                <w:szCs w:val="10"/>
                <w:color w:val="auto"/>
              </w:rPr>
            </w:pPr>
          </w:p>
        </w:tc>
        <w:tc>
          <w:tcPr>
            <w:tcW w:w="80" w:type="dxa"/>
            <w:vAlign w:val="bottom"/>
            <w:shd w:val="clear" w:color="auto" w:fill="E9E9E9"/>
          </w:tcPr>
          <w:p>
            <w:pPr>
              <w:spacing w:after="0"/>
              <w:rPr>
                <w:sz w:val="10"/>
                <w:szCs w:val="10"/>
                <w:color w:val="auto"/>
              </w:rPr>
            </w:pPr>
          </w:p>
        </w:tc>
        <w:tc>
          <w:tcPr>
            <w:tcW w:w="4240" w:type="dxa"/>
            <w:vAlign w:val="bottom"/>
            <w:shd w:val="clear" w:color="auto" w:fill="E9E9E9"/>
          </w:tcPr>
          <w:p>
            <w:pPr>
              <w:spacing w:after="0"/>
              <w:rPr>
                <w:sz w:val="10"/>
                <w:szCs w:val="10"/>
                <w:color w:val="auto"/>
              </w:rPr>
            </w:pPr>
          </w:p>
        </w:tc>
        <w:tc>
          <w:tcPr>
            <w:tcW w:w="80" w:type="dxa"/>
            <w:vAlign w:val="bottom"/>
            <w:shd w:val="clear" w:color="auto" w:fill="E9E9E9"/>
          </w:tcPr>
          <w:p>
            <w:pPr>
              <w:spacing w:after="0"/>
              <w:rPr>
                <w:sz w:val="10"/>
                <w:szCs w:val="10"/>
                <w:color w:val="auto"/>
              </w:rPr>
            </w:pPr>
          </w:p>
        </w:tc>
        <w:tc>
          <w:tcPr>
            <w:tcW w:w="1060" w:type="dxa"/>
            <w:vAlign w:val="bottom"/>
            <w:shd w:val="clear" w:color="auto" w:fill="E9E9E9"/>
          </w:tcPr>
          <w:p>
            <w:pPr>
              <w:spacing w:after="0"/>
              <w:rPr>
                <w:sz w:val="10"/>
                <w:szCs w:val="10"/>
                <w:color w:val="auto"/>
              </w:rPr>
            </w:pPr>
          </w:p>
        </w:tc>
        <w:tc>
          <w:tcPr>
            <w:tcW w:w="80" w:type="dxa"/>
            <w:vAlign w:val="bottom"/>
            <w:shd w:val="clear" w:color="auto" w:fill="E9E9E9"/>
          </w:tcPr>
          <w:p>
            <w:pPr>
              <w:spacing w:after="0"/>
              <w:rPr>
                <w:sz w:val="10"/>
                <w:szCs w:val="10"/>
                <w:color w:val="auto"/>
              </w:rPr>
            </w:pPr>
          </w:p>
        </w:tc>
        <w:tc>
          <w:tcPr>
            <w:tcW w:w="1060" w:type="dxa"/>
            <w:vAlign w:val="bottom"/>
            <w:shd w:val="clear" w:color="auto" w:fill="E9E9E9"/>
          </w:tcPr>
          <w:p>
            <w:pPr>
              <w:spacing w:after="0"/>
              <w:rPr>
                <w:sz w:val="10"/>
                <w:szCs w:val="10"/>
                <w:color w:val="auto"/>
              </w:rPr>
            </w:pPr>
          </w:p>
        </w:tc>
        <w:tc>
          <w:tcPr>
            <w:tcW w:w="1360" w:type="dxa"/>
            <w:vAlign w:val="bottom"/>
            <w:gridSpan w:val="2"/>
            <w:vMerge w:val="continue"/>
            <w:shd w:val="clear" w:color="auto" w:fill="E9E9E9"/>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1360" w:type="dxa"/>
            <w:vAlign w:val="bottom"/>
          </w:tcPr>
          <w:p>
            <w:pPr>
              <w:ind w:left="60"/>
              <w:spacing w:after="0" w:line="213" w:lineRule="exact"/>
              <w:rPr>
                <w:sz w:val="20"/>
                <w:szCs w:val="20"/>
                <w:color w:val="auto"/>
              </w:rPr>
            </w:pPr>
            <w:r>
              <w:rPr>
                <w:rFonts w:ascii="Times New Roman" w:cs="Times New Roman" w:eastAsia="Times New Roman" w:hAnsi="Times New Roman"/>
                <w:sz w:val="20"/>
                <w:szCs w:val="20"/>
                <w:color w:val="auto"/>
              </w:rPr>
              <w:t>New York,</w:t>
            </w:r>
          </w:p>
        </w:tc>
        <w:tc>
          <w:tcPr>
            <w:tcW w:w="80" w:type="dxa"/>
            <w:vAlign w:val="bottom"/>
          </w:tcPr>
          <w:p>
            <w:pPr>
              <w:spacing w:after="0"/>
              <w:rPr>
                <w:sz w:val="18"/>
                <w:szCs w:val="18"/>
                <w:color w:val="auto"/>
              </w:rPr>
            </w:pPr>
          </w:p>
        </w:tc>
        <w:tc>
          <w:tcPr>
            <w:tcW w:w="424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Office Space</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26,000</w:t>
            </w:r>
          </w:p>
        </w:tc>
        <w:tc>
          <w:tcPr>
            <w:tcW w:w="8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5"/>
              </w:rPr>
              <w:t>Leased*</w:t>
            </w:r>
          </w:p>
        </w:tc>
        <w:tc>
          <w:tcPr>
            <w:tcW w:w="120" w:type="dxa"/>
            <w:vAlign w:val="bottom"/>
          </w:tcPr>
          <w:p>
            <w:pPr>
              <w:spacing w:after="0"/>
              <w:rPr>
                <w:sz w:val="18"/>
                <w:szCs w:val="18"/>
                <w:color w:val="auto"/>
              </w:rPr>
            </w:pPr>
          </w:p>
        </w:tc>
        <w:tc>
          <w:tcPr>
            <w:tcW w:w="1240" w:type="dxa"/>
            <w:vAlign w:val="bottom"/>
          </w:tcPr>
          <w:p>
            <w:pPr>
              <w:jc w:val="center"/>
              <w:spacing w:after="0" w:line="213" w:lineRule="exact"/>
              <w:rPr>
                <w:sz w:val="20"/>
                <w:szCs w:val="20"/>
                <w:color w:val="auto"/>
              </w:rPr>
            </w:pPr>
            <w:r>
              <w:rPr>
                <w:rFonts w:ascii="Times New Roman" w:cs="Times New Roman" w:eastAsia="Times New Roman" w:hAnsi="Times New Roman"/>
                <w:sz w:val="20"/>
                <w:szCs w:val="20"/>
                <w:color w:val="auto"/>
                <w:w w:val="98"/>
              </w:rPr>
              <w:t>September</w:t>
            </w:r>
          </w:p>
        </w:tc>
        <w:tc>
          <w:tcPr>
            <w:tcW w:w="0" w:type="dxa"/>
            <w:vAlign w:val="bottom"/>
          </w:tcPr>
          <w:p>
            <w:pPr>
              <w:spacing w:after="0"/>
              <w:rPr>
                <w:sz w:val="1"/>
                <w:szCs w:val="1"/>
                <w:color w:val="auto"/>
              </w:rPr>
            </w:pPr>
          </w:p>
        </w:tc>
      </w:tr>
      <w:tr>
        <w:trPr>
          <w:trHeight w:val="156"/>
        </w:trPr>
        <w:tc>
          <w:tcPr>
            <w:tcW w:w="13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New York</w:t>
            </w:r>
          </w:p>
        </w:tc>
        <w:tc>
          <w:tcPr>
            <w:tcW w:w="80" w:type="dxa"/>
            <w:vAlign w:val="bottom"/>
          </w:tcPr>
          <w:p>
            <w:pPr>
              <w:spacing w:after="0"/>
              <w:rPr>
                <w:sz w:val="13"/>
                <w:szCs w:val="13"/>
                <w:color w:val="auto"/>
              </w:rPr>
            </w:pPr>
          </w:p>
        </w:tc>
        <w:tc>
          <w:tcPr>
            <w:tcW w:w="4240" w:type="dxa"/>
            <w:vAlign w:val="bottom"/>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360" w:type="dxa"/>
            <w:vAlign w:val="bottom"/>
            <w:gridSpan w:val="2"/>
            <w:vMerge w:val="restart"/>
          </w:tcPr>
          <w:p>
            <w:pPr>
              <w:jc w:val="center"/>
              <w:ind w:left="22"/>
              <w:spacing w:after="0"/>
              <w:rPr>
                <w:sz w:val="20"/>
                <w:szCs w:val="20"/>
                <w:color w:val="auto"/>
              </w:rPr>
            </w:pPr>
            <w:r>
              <w:rPr>
                <w:rFonts w:ascii="Times New Roman" w:cs="Times New Roman" w:eastAsia="Times New Roman" w:hAnsi="Times New Roman"/>
                <w:sz w:val="20"/>
                <w:szCs w:val="20"/>
                <w:color w:val="auto"/>
                <w:w w:val="99"/>
              </w:rPr>
              <w:t>2030</w:t>
            </w:r>
          </w:p>
        </w:tc>
        <w:tc>
          <w:tcPr>
            <w:tcW w:w="0" w:type="dxa"/>
            <w:vAlign w:val="bottom"/>
          </w:tcPr>
          <w:p>
            <w:pPr>
              <w:spacing w:after="0"/>
              <w:rPr>
                <w:sz w:val="1"/>
                <w:szCs w:val="1"/>
                <w:color w:val="auto"/>
              </w:rPr>
            </w:pPr>
          </w:p>
        </w:tc>
      </w:tr>
      <w:tr>
        <w:trPr>
          <w:trHeight w:val="108"/>
        </w:trPr>
        <w:tc>
          <w:tcPr>
            <w:tcW w:w="13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136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b w:val="1"/>
                <w:bCs w:val="1"/>
                <w:color w:val="auto"/>
              </w:rPr>
              <w:t>Canada</w:t>
            </w:r>
          </w:p>
        </w:tc>
        <w:tc>
          <w:tcPr>
            <w:tcW w:w="80" w:type="dxa"/>
            <w:vAlign w:val="bottom"/>
            <w:shd w:val="clear" w:color="auto" w:fill="E9E9E9"/>
          </w:tcPr>
          <w:p>
            <w:pPr>
              <w:spacing w:after="0"/>
              <w:rPr>
                <w:sz w:val="22"/>
                <w:szCs w:val="22"/>
                <w:color w:val="auto"/>
              </w:rPr>
            </w:pPr>
          </w:p>
        </w:tc>
        <w:tc>
          <w:tcPr>
            <w:tcW w:w="4240" w:type="dxa"/>
            <w:vAlign w:val="bottom"/>
            <w:shd w:val="clear" w:color="auto" w:fill="E9E9E9"/>
          </w:tcPr>
          <w:p>
            <w:pPr>
              <w:spacing w:after="0"/>
              <w:rPr>
                <w:sz w:val="22"/>
                <w:szCs w:val="22"/>
                <w:color w:val="auto"/>
              </w:rPr>
            </w:pPr>
          </w:p>
        </w:tc>
        <w:tc>
          <w:tcPr>
            <w:tcW w:w="80" w:type="dxa"/>
            <w:vAlign w:val="bottom"/>
            <w:shd w:val="clear" w:color="auto" w:fill="E9E9E9"/>
          </w:tcPr>
          <w:p>
            <w:pPr>
              <w:spacing w:after="0"/>
              <w:rPr>
                <w:sz w:val="22"/>
                <w:szCs w:val="22"/>
                <w:color w:val="auto"/>
              </w:rPr>
            </w:pPr>
          </w:p>
        </w:tc>
        <w:tc>
          <w:tcPr>
            <w:tcW w:w="1060" w:type="dxa"/>
            <w:vAlign w:val="bottom"/>
            <w:shd w:val="clear" w:color="auto" w:fill="E9E9E9"/>
          </w:tcPr>
          <w:p>
            <w:pPr>
              <w:spacing w:after="0"/>
              <w:rPr>
                <w:sz w:val="22"/>
                <w:szCs w:val="22"/>
                <w:color w:val="auto"/>
              </w:rPr>
            </w:pPr>
          </w:p>
        </w:tc>
        <w:tc>
          <w:tcPr>
            <w:tcW w:w="80" w:type="dxa"/>
            <w:vAlign w:val="bottom"/>
            <w:shd w:val="clear" w:color="auto" w:fill="E9E9E9"/>
          </w:tcPr>
          <w:p>
            <w:pPr>
              <w:spacing w:after="0"/>
              <w:rPr>
                <w:sz w:val="22"/>
                <w:szCs w:val="22"/>
                <w:color w:val="auto"/>
              </w:rPr>
            </w:pPr>
          </w:p>
        </w:tc>
        <w:tc>
          <w:tcPr>
            <w:tcW w:w="1060" w:type="dxa"/>
            <w:vAlign w:val="bottom"/>
            <w:shd w:val="clear" w:color="auto" w:fill="E9E9E9"/>
          </w:tcPr>
          <w:p>
            <w:pPr>
              <w:spacing w:after="0"/>
              <w:rPr>
                <w:sz w:val="22"/>
                <w:szCs w:val="22"/>
                <w:color w:val="auto"/>
              </w:rPr>
            </w:pPr>
          </w:p>
        </w:tc>
        <w:tc>
          <w:tcPr>
            <w:tcW w:w="120" w:type="dxa"/>
            <w:vAlign w:val="bottom"/>
            <w:shd w:val="clear" w:color="auto" w:fill="E9E9E9"/>
          </w:tcPr>
          <w:p>
            <w:pPr>
              <w:spacing w:after="0"/>
              <w:rPr>
                <w:sz w:val="22"/>
                <w:szCs w:val="22"/>
                <w:color w:val="auto"/>
              </w:rPr>
            </w:pPr>
          </w:p>
        </w:tc>
        <w:tc>
          <w:tcPr>
            <w:tcW w:w="1240" w:type="dxa"/>
            <w:vAlign w:val="bottom"/>
            <w:shd w:val="clear" w:color="auto" w:fill="E9E9E9"/>
          </w:tcPr>
          <w:p>
            <w:pPr>
              <w:spacing w:after="0"/>
              <w:rPr>
                <w:sz w:val="22"/>
                <w:szCs w:val="22"/>
                <w:color w:val="auto"/>
              </w:rPr>
            </w:pPr>
          </w:p>
        </w:tc>
        <w:tc>
          <w:tcPr>
            <w:tcW w:w="0" w:type="dxa"/>
            <w:vAlign w:val="bottom"/>
          </w:tcPr>
          <w:p>
            <w:pPr>
              <w:spacing w:after="0"/>
              <w:rPr>
                <w:sz w:val="1"/>
                <w:szCs w:val="1"/>
                <w:color w:val="auto"/>
              </w:rPr>
            </w:pPr>
          </w:p>
        </w:tc>
      </w:tr>
      <w:tr>
        <w:trPr>
          <w:trHeight w:val="369"/>
        </w:trPr>
        <w:tc>
          <w:tcPr>
            <w:tcW w:w="13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Quebec</w:t>
            </w:r>
          </w:p>
        </w:tc>
        <w:tc>
          <w:tcPr>
            <w:tcW w:w="80" w:type="dxa"/>
            <w:vAlign w:val="bottom"/>
          </w:tcPr>
          <w:p>
            <w:pPr>
              <w:spacing w:after="0"/>
              <w:rPr>
                <w:sz w:val="24"/>
                <w:szCs w:val="24"/>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Mixed Use and Office Space</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1,106</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May 2025</w:t>
            </w:r>
          </w:p>
        </w:tc>
        <w:tc>
          <w:tcPr>
            <w:tcW w:w="0" w:type="dxa"/>
            <w:vAlign w:val="bottom"/>
          </w:tcPr>
          <w:p>
            <w:pPr>
              <w:spacing w:after="0"/>
              <w:rPr>
                <w:sz w:val="1"/>
                <w:szCs w:val="1"/>
                <w:color w:val="auto"/>
              </w:rPr>
            </w:pPr>
          </w:p>
        </w:tc>
      </w:tr>
      <w:tr>
        <w:trPr>
          <w:trHeight w:val="116"/>
        </w:trPr>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9"/>
        </w:trPr>
        <w:tc>
          <w:tcPr>
            <w:tcW w:w="136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Quebec</w:t>
            </w:r>
          </w:p>
        </w:tc>
        <w:tc>
          <w:tcPr>
            <w:tcW w:w="80" w:type="dxa"/>
            <w:vAlign w:val="bottom"/>
            <w:shd w:val="clear" w:color="auto" w:fill="E9E9E9"/>
          </w:tcPr>
          <w:p>
            <w:pPr>
              <w:spacing w:after="0"/>
              <w:rPr>
                <w:sz w:val="24"/>
                <w:szCs w:val="24"/>
                <w:color w:val="auto"/>
              </w:rPr>
            </w:pPr>
          </w:p>
        </w:tc>
        <w:tc>
          <w:tcPr>
            <w:tcW w:w="424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Distribution Center and Office Space</w:t>
            </w:r>
          </w:p>
        </w:tc>
        <w:tc>
          <w:tcPr>
            <w:tcW w:w="114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1,433</w:t>
            </w:r>
          </w:p>
        </w:tc>
        <w:tc>
          <w:tcPr>
            <w:tcW w:w="80" w:type="dxa"/>
            <w:vAlign w:val="bottom"/>
            <w:shd w:val="clear" w:color="auto" w:fill="E9E9E9"/>
          </w:tcPr>
          <w:p>
            <w:pPr>
              <w:spacing w:after="0"/>
              <w:rPr>
                <w:sz w:val="24"/>
                <w:szCs w:val="24"/>
                <w:color w:val="auto"/>
              </w:rPr>
            </w:pPr>
          </w:p>
        </w:tc>
        <w:tc>
          <w:tcPr>
            <w:tcW w:w="106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c>
          <w:tcPr>
            <w:tcW w:w="120" w:type="dxa"/>
            <w:vAlign w:val="bottom"/>
            <w:shd w:val="clear" w:color="auto" w:fill="E9E9E9"/>
          </w:tcPr>
          <w:p>
            <w:pPr>
              <w:spacing w:after="0"/>
              <w:rPr>
                <w:sz w:val="24"/>
                <w:szCs w:val="24"/>
                <w:color w:val="auto"/>
              </w:rPr>
            </w:pPr>
          </w:p>
        </w:tc>
        <w:tc>
          <w:tcPr>
            <w:tcW w:w="124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20"/>
                <w:szCs w:val="20"/>
                <w:color w:val="auto"/>
                <w:w w:val="97"/>
              </w:rPr>
              <w:t>May 2025</w:t>
            </w:r>
          </w:p>
        </w:tc>
        <w:tc>
          <w:tcPr>
            <w:tcW w:w="0" w:type="dxa"/>
            <w:vAlign w:val="bottom"/>
          </w:tcPr>
          <w:p>
            <w:pPr>
              <w:spacing w:after="0"/>
              <w:rPr>
                <w:sz w:val="1"/>
                <w:szCs w:val="1"/>
                <w:color w:val="auto"/>
              </w:rPr>
            </w:pPr>
          </w:p>
        </w:tc>
      </w:tr>
      <w:tr>
        <w:trPr>
          <w:trHeight w:val="116"/>
        </w:trPr>
        <w:tc>
          <w:tcPr>
            <w:tcW w:w="1360" w:type="dxa"/>
            <w:vAlign w:val="bottom"/>
            <w:shd w:val="clear" w:color="auto" w:fill="E9E9E9"/>
          </w:tcPr>
          <w:p>
            <w:pPr>
              <w:spacing w:after="0"/>
              <w:rPr>
                <w:sz w:val="10"/>
                <w:szCs w:val="10"/>
                <w:color w:val="auto"/>
              </w:rPr>
            </w:pPr>
          </w:p>
        </w:tc>
        <w:tc>
          <w:tcPr>
            <w:tcW w:w="80" w:type="dxa"/>
            <w:vAlign w:val="bottom"/>
            <w:shd w:val="clear" w:color="auto" w:fill="E9E9E9"/>
          </w:tcPr>
          <w:p>
            <w:pPr>
              <w:spacing w:after="0"/>
              <w:rPr>
                <w:sz w:val="10"/>
                <w:szCs w:val="10"/>
                <w:color w:val="auto"/>
              </w:rPr>
            </w:pPr>
          </w:p>
        </w:tc>
        <w:tc>
          <w:tcPr>
            <w:tcW w:w="4240" w:type="dxa"/>
            <w:vAlign w:val="bottom"/>
            <w:shd w:val="clear" w:color="auto" w:fill="E9E9E9"/>
          </w:tcPr>
          <w:p>
            <w:pPr>
              <w:spacing w:after="0"/>
              <w:rPr>
                <w:sz w:val="10"/>
                <w:szCs w:val="10"/>
                <w:color w:val="auto"/>
              </w:rPr>
            </w:pPr>
          </w:p>
        </w:tc>
        <w:tc>
          <w:tcPr>
            <w:tcW w:w="80" w:type="dxa"/>
            <w:vAlign w:val="bottom"/>
            <w:shd w:val="clear" w:color="auto" w:fill="E9E9E9"/>
          </w:tcPr>
          <w:p>
            <w:pPr>
              <w:spacing w:after="0"/>
              <w:rPr>
                <w:sz w:val="10"/>
                <w:szCs w:val="10"/>
                <w:color w:val="auto"/>
              </w:rPr>
            </w:pPr>
          </w:p>
        </w:tc>
        <w:tc>
          <w:tcPr>
            <w:tcW w:w="1060" w:type="dxa"/>
            <w:vAlign w:val="bottom"/>
            <w:shd w:val="clear" w:color="auto" w:fill="E9E9E9"/>
          </w:tcPr>
          <w:p>
            <w:pPr>
              <w:spacing w:after="0"/>
              <w:rPr>
                <w:sz w:val="10"/>
                <w:szCs w:val="10"/>
                <w:color w:val="auto"/>
              </w:rPr>
            </w:pPr>
          </w:p>
        </w:tc>
        <w:tc>
          <w:tcPr>
            <w:tcW w:w="80" w:type="dxa"/>
            <w:vAlign w:val="bottom"/>
            <w:shd w:val="clear" w:color="auto" w:fill="E9E9E9"/>
          </w:tcPr>
          <w:p>
            <w:pPr>
              <w:spacing w:after="0"/>
              <w:rPr>
                <w:sz w:val="10"/>
                <w:szCs w:val="10"/>
                <w:color w:val="auto"/>
              </w:rPr>
            </w:pPr>
          </w:p>
        </w:tc>
        <w:tc>
          <w:tcPr>
            <w:tcW w:w="1060" w:type="dxa"/>
            <w:vAlign w:val="bottom"/>
            <w:shd w:val="clear" w:color="auto" w:fill="E9E9E9"/>
          </w:tcPr>
          <w:p>
            <w:pPr>
              <w:spacing w:after="0"/>
              <w:rPr>
                <w:sz w:val="10"/>
                <w:szCs w:val="10"/>
                <w:color w:val="auto"/>
              </w:rPr>
            </w:pPr>
          </w:p>
        </w:tc>
        <w:tc>
          <w:tcPr>
            <w:tcW w:w="120" w:type="dxa"/>
            <w:vAlign w:val="bottom"/>
            <w:shd w:val="clear" w:color="auto" w:fill="E9E9E9"/>
          </w:tcPr>
          <w:p>
            <w:pPr>
              <w:spacing w:after="0"/>
              <w:rPr>
                <w:sz w:val="10"/>
                <w:szCs w:val="10"/>
                <w:color w:val="auto"/>
              </w:rPr>
            </w:pPr>
          </w:p>
        </w:tc>
        <w:tc>
          <w:tcPr>
            <w:tcW w:w="1240" w:type="dxa"/>
            <w:vAlign w:val="bottom"/>
            <w:shd w:val="clear" w:color="auto" w:fill="E9E9E9"/>
          </w:tcPr>
          <w:p>
            <w:pPr>
              <w:spacing w:after="0"/>
              <w:rPr>
                <w:sz w:val="10"/>
                <w:szCs w:val="10"/>
                <w:color w:val="auto"/>
              </w:rPr>
            </w:pPr>
          </w:p>
        </w:tc>
        <w:tc>
          <w:tcPr>
            <w:tcW w:w="0" w:type="dxa"/>
            <w:vAlign w:val="bottom"/>
          </w:tcPr>
          <w:p>
            <w:pPr>
              <w:spacing w:after="0"/>
              <w:rPr>
                <w:sz w:val="1"/>
                <w:szCs w:val="1"/>
                <w:color w:val="auto"/>
              </w:rPr>
            </w:pPr>
          </w:p>
        </w:tc>
      </w:tr>
      <w:tr>
        <w:trPr>
          <w:trHeight w:val="272"/>
        </w:trPr>
        <w:tc>
          <w:tcPr>
            <w:tcW w:w="13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Sweden</w:t>
            </w:r>
          </w:p>
        </w:tc>
        <w:tc>
          <w:tcPr>
            <w:tcW w:w="80" w:type="dxa"/>
            <w:vAlign w:val="bottom"/>
          </w:tcPr>
          <w:p>
            <w:pPr>
              <w:spacing w:after="0"/>
              <w:rPr>
                <w:sz w:val="23"/>
                <w:szCs w:val="23"/>
                <w:color w:val="auto"/>
              </w:rPr>
            </w:pPr>
          </w:p>
        </w:tc>
        <w:tc>
          <w:tcPr>
            <w:tcW w:w="4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360" w:type="dxa"/>
            <w:vAlign w:val="bottom"/>
            <w:vMerge w:val="restart"/>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Lund</w:t>
            </w:r>
          </w:p>
        </w:tc>
        <w:tc>
          <w:tcPr>
            <w:tcW w:w="80" w:type="dxa"/>
            <w:vAlign w:val="bottom"/>
            <w:shd w:val="clear" w:color="auto" w:fill="E9E9E9"/>
          </w:tcPr>
          <w:p>
            <w:pPr>
              <w:spacing w:after="0"/>
              <w:rPr>
                <w:sz w:val="18"/>
                <w:szCs w:val="18"/>
                <w:color w:val="auto"/>
              </w:rPr>
            </w:pPr>
          </w:p>
        </w:tc>
        <w:tc>
          <w:tcPr>
            <w:tcW w:w="4240" w:type="dxa"/>
            <w:vAlign w:val="bottom"/>
            <w:vMerge w:val="restart"/>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Office Space</w:t>
            </w:r>
          </w:p>
        </w:tc>
        <w:tc>
          <w:tcPr>
            <w:tcW w:w="1140" w:type="dxa"/>
            <w:vAlign w:val="bottom"/>
            <w:gridSpan w:val="2"/>
            <w:vMerge w:val="restart"/>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4,000</w:t>
            </w:r>
          </w:p>
        </w:tc>
        <w:tc>
          <w:tcPr>
            <w:tcW w:w="80" w:type="dxa"/>
            <w:vAlign w:val="bottom"/>
            <w:shd w:val="clear" w:color="auto" w:fill="E9E9E9"/>
          </w:tcPr>
          <w:p>
            <w:pPr>
              <w:spacing w:after="0"/>
              <w:rPr>
                <w:sz w:val="18"/>
                <w:szCs w:val="18"/>
                <w:color w:val="auto"/>
              </w:rPr>
            </w:pPr>
          </w:p>
        </w:tc>
        <w:tc>
          <w:tcPr>
            <w:tcW w:w="1060" w:type="dxa"/>
            <w:vAlign w:val="bottom"/>
            <w:vMerge w:val="restart"/>
            <w:shd w:val="clear" w:color="auto" w:fill="E9E9E9"/>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c>
          <w:tcPr>
            <w:tcW w:w="120" w:type="dxa"/>
            <w:vAlign w:val="bottom"/>
            <w:shd w:val="clear" w:color="auto" w:fill="E9E9E9"/>
          </w:tcPr>
          <w:p>
            <w:pPr>
              <w:spacing w:after="0"/>
              <w:rPr>
                <w:sz w:val="18"/>
                <w:szCs w:val="18"/>
                <w:color w:val="auto"/>
              </w:rPr>
            </w:pPr>
          </w:p>
        </w:tc>
        <w:tc>
          <w:tcPr>
            <w:tcW w:w="1240" w:type="dxa"/>
            <w:vAlign w:val="bottom"/>
            <w:shd w:val="clear" w:color="auto" w:fill="E9E9E9"/>
          </w:tcPr>
          <w:p>
            <w:pPr>
              <w:jc w:val="center"/>
              <w:spacing w:after="0" w:line="213" w:lineRule="exact"/>
              <w:rPr>
                <w:sz w:val="20"/>
                <w:szCs w:val="20"/>
                <w:color w:val="auto"/>
              </w:rPr>
            </w:pPr>
            <w:r>
              <w:rPr>
                <w:rFonts w:ascii="Times New Roman" w:cs="Times New Roman" w:eastAsia="Times New Roman" w:hAnsi="Times New Roman"/>
                <w:sz w:val="20"/>
                <w:szCs w:val="20"/>
                <w:color w:val="auto"/>
                <w:w w:val="97"/>
              </w:rPr>
              <w:t>December</w:t>
            </w:r>
          </w:p>
        </w:tc>
        <w:tc>
          <w:tcPr>
            <w:tcW w:w="0" w:type="dxa"/>
            <w:vAlign w:val="bottom"/>
          </w:tcPr>
          <w:p>
            <w:pPr>
              <w:spacing w:after="0"/>
              <w:rPr>
                <w:sz w:val="1"/>
                <w:szCs w:val="1"/>
                <w:color w:val="auto"/>
              </w:rPr>
            </w:pPr>
          </w:p>
        </w:tc>
      </w:tr>
      <w:tr>
        <w:trPr>
          <w:trHeight w:val="156"/>
        </w:trPr>
        <w:tc>
          <w:tcPr>
            <w:tcW w:w="1360" w:type="dxa"/>
            <w:vAlign w:val="bottom"/>
            <w:vMerge w:val="continue"/>
            <w:shd w:val="clear" w:color="auto" w:fill="E9E9E9"/>
          </w:tcPr>
          <w:p>
            <w:pPr>
              <w:spacing w:after="0"/>
              <w:rPr>
                <w:sz w:val="13"/>
                <w:szCs w:val="13"/>
                <w:color w:val="auto"/>
              </w:rPr>
            </w:pPr>
          </w:p>
        </w:tc>
        <w:tc>
          <w:tcPr>
            <w:tcW w:w="80" w:type="dxa"/>
            <w:vAlign w:val="bottom"/>
            <w:shd w:val="clear" w:color="auto" w:fill="E9E9E9"/>
          </w:tcPr>
          <w:p>
            <w:pPr>
              <w:spacing w:after="0"/>
              <w:rPr>
                <w:sz w:val="13"/>
                <w:szCs w:val="13"/>
                <w:color w:val="auto"/>
              </w:rPr>
            </w:pPr>
          </w:p>
        </w:tc>
        <w:tc>
          <w:tcPr>
            <w:tcW w:w="4240" w:type="dxa"/>
            <w:vAlign w:val="bottom"/>
            <w:vMerge w:val="continue"/>
            <w:shd w:val="clear" w:color="auto" w:fill="E9E9E9"/>
          </w:tcPr>
          <w:p>
            <w:pPr>
              <w:spacing w:after="0"/>
              <w:rPr>
                <w:sz w:val="13"/>
                <w:szCs w:val="13"/>
                <w:color w:val="auto"/>
              </w:rPr>
            </w:pPr>
          </w:p>
        </w:tc>
        <w:tc>
          <w:tcPr>
            <w:tcW w:w="1140" w:type="dxa"/>
            <w:vAlign w:val="bottom"/>
            <w:gridSpan w:val="2"/>
            <w:vMerge w:val="continue"/>
            <w:shd w:val="clear" w:color="auto" w:fill="E9E9E9"/>
          </w:tcPr>
          <w:p>
            <w:pPr>
              <w:spacing w:after="0"/>
              <w:rPr>
                <w:sz w:val="13"/>
                <w:szCs w:val="13"/>
                <w:color w:val="auto"/>
              </w:rPr>
            </w:pPr>
          </w:p>
        </w:tc>
        <w:tc>
          <w:tcPr>
            <w:tcW w:w="80" w:type="dxa"/>
            <w:vAlign w:val="bottom"/>
            <w:shd w:val="clear" w:color="auto" w:fill="E9E9E9"/>
          </w:tcPr>
          <w:p>
            <w:pPr>
              <w:spacing w:after="0"/>
              <w:rPr>
                <w:sz w:val="13"/>
                <w:szCs w:val="13"/>
                <w:color w:val="auto"/>
              </w:rPr>
            </w:pPr>
          </w:p>
        </w:tc>
        <w:tc>
          <w:tcPr>
            <w:tcW w:w="1060" w:type="dxa"/>
            <w:vAlign w:val="bottom"/>
            <w:vMerge w:val="continue"/>
            <w:shd w:val="clear" w:color="auto" w:fill="E9E9E9"/>
          </w:tcPr>
          <w:p>
            <w:pPr>
              <w:spacing w:after="0"/>
              <w:rPr>
                <w:sz w:val="13"/>
                <w:szCs w:val="13"/>
                <w:color w:val="auto"/>
              </w:rPr>
            </w:pPr>
          </w:p>
        </w:tc>
        <w:tc>
          <w:tcPr>
            <w:tcW w:w="1360" w:type="dxa"/>
            <w:vAlign w:val="bottom"/>
            <w:gridSpan w:val="2"/>
            <w:vMerge w:val="restart"/>
            <w:shd w:val="clear" w:color="auto" w:fill="E9E9E9"/>
          </w:tcPr>
          <w:p>
            <w:pPr>
              <w:jc w:val="center"/>
              <w:ind w:left="22"/>
              <w:spacing w:after="0"/>
              <w:rPr>
                <w:sz w:val="20"/>
                <w:szCs w:val="20"/>
                <w:color w:val="auto"/>
              </w:rPr>
            </w:pPr>
            <w:r>
              <w:rPr>
                <w:rFonts w:ascii="Times New Roman" w:cs="Times New Roman" w:eastAsia="Times New Roman" w:hAnsi="Times New Roman"/>
                <w:sz w:val="20"/>
                <w:szCs w:val="20"/>
                <w:color w:val="auto"/>
                <w:w w:val="99"/>
              </w:rPr>
              <w:t>2027</w:t>
            </w:r>
          </w:p>
        </w:tc>
        <w:tc>
          <w:tcPr>
            <w:tcW w:w="0" w:type="dxa"/>
            <w:vAlign w:val="bottom"/>
          </w:tcPr>
          <w:p>
            <w:pPr>
              <w:spacing w:after="0"/>
              <w:rPr>
                <w:sz w:val="1"/>
                <w:szCs w:val="1"/>
                <w:color w:val="auto"/>
              </w:rPr>
            </w:pPr>
          </w:p>
        </w:tc>
      </w:tr>
      <w:tr>
        <w:trPr>
          <w:trHeight w:val="116"/>
        </w:trPr>
        <w:tc>
          <w:tcPr>
            <w:tcW w:w="1360" w:type="dxa"/>
            <w:vAlign w:val="bottom"/>
            <w:shd w:val="clear" w:color="auto" w:fill="E9E9E9"/>
          </w:tcPr>
          <w:p>
            <w:pPr>
              <w:spacing w:after="0"/>
              <w:rPr>
                <w:sz w:val="10"/>
                <w:szCs w:val="10"/>
                <w:color w:val="auto"/>
              </w:rPr>
            </w:pPr>
          </w:p>
        </w:tc>
        <w:tc>
          <w:tcPr>
            <w:tcW w:w="80" w:type="dxa"/>
            <w:vAlign w:val="bottom"/>
            <w:shd w:val="clear" w:color="auto" w:fill="E9E9E9"/>
          </w:tcPr>
          <w:p>
            <w:pPr>
              <w:spacing w:after="0"/>
              <w:rPr>
                <w:sz w:val="10"/>
                <w:szCs w:val="10"/>
                <w:color w:val="auto"/>
              </w:rPr>
            </w:pPr>
          </w:p>
        </w:tc>
        <w:tc>
          <w:tcPr>
            <w:tcW w:w="4240" w:type="dxa"/>
            <w:vAlign w:val="bottom"/>
            <w:shd w:val="clear" w:color="auto" w:fill="E9E9E9"/>
          </w:tcPr>
          <w:p>
            <w:pPr>
              <w:spacing w:after="0"/>
              <w:rPr>
                <w:sz w:val="10"/>
                <w:szCs w:val="10"/>
                <w:color w:val="auto"/>
              </w:rPr>
            </w:pPr>
          </w:p>
        </w:tc>
        <w:tc>
          <w:tcPr>
            <w:tcW w:w="80" w:type="dxa"/>
            <w:vAlign w:val="bottom"/>
            <w:shd w:val="clear" w:color="auto" w:fill="E9E9E9"/>
          </w:tcPr>
          <w:p>
            <w:pPr>
              <w:spacing w:after="0"/>
              <w:rPr>
                <w:sz w:val="10"/>
                <w:szCs w:val="10"/>
                <w:color w:val="auto"/>
              </w:rPr>
            </w:pPr>
          </w:p>
        </w:tc>
        <w:tc>
          <w:tcPr>
            <w:tcW w:w="1060" w:type="dxa"/>
            <w:vAlign w:val="bottom"/>
            <w:shd w:val="clear" w:color="auto" w:fill="E9E9E9"/>
          </w:tcPr>
          <w:p>
            <w:pPr>
              <w:spacing w:after="0"/>
              <w:rPr>
                <w:sz w:val="10"/>
                <w:szCs w:val="10"/>
                <w:color w:val="auto"/>
              </w:rPr>
            </w:pPr>
          </w:p>
        </w:tc>
        <w:tc>
          <w:tcPr>
            <w:tcW w:w="80" w:type="dxa"/>
            <w:vAlign w:val="bottom"/>
            <w:shd w:val="clear" w:color="auto" w:fill="E9E9E9"/>
          </w:tcPr>
          <w:p>
            <w:pPr>
              <w:spacing w:after="0"/>
              <w:rPr>
                <w:sz w:val="10"/>
                <w:szCs w:val="10"/>
                <w:color w:val="auto"/>
              </w:rPr>
            </w:pPr>
          </w:p>
        </w:tc>
        <w:tc>
          <w:tcPr>
            <w:tcW w:w="1060" w:type="dxa"/>
            <w:vAlign w:val="bottom"/>
            <w:shd w:val="clear" w:color="auto" w:fill="E9E9E9"/>
          </w:tcPr>
          <w:p>
            <w:pPr>
              <w:spacing w:after="0"/>
              <w:rPr>
                <w:sz w:val="10"/>
                <w:szCs w:val="10"/>
                <w:color w:val="auto"/>
              </w:rPr>
            </w:pPr>
          </w:p>
        </w:tc>
        <w:tc>
          <w:tcPr>
            <w:tcW w:w="1360" w:type="dxa"/>
            <w:vAlign w:val="bottom"/>
            <w:gridSpan w:val="2"/>
            <w:vMerge w:val="continue"/>
            <w:shd w:val="clear" w:color="auto" w:fill="E9E9E9"/>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6311900</wp:posOffset>
            </wp:positionH>
            <wp:positionV relativeFrom="paragraph">
              <wp:posOffset>-2364105</wp:posOffset>
            </wp:positionV>
            <wp:extent cx="25400" cy="23774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400" cy="2377440"/>
                    </a:xfrm>
                    <a:prstGeom prst="rect">
                      <a:avLst/>
                    </a:prstGeom>
                    <a:noFill/>
                  </pic:spPr>
                </pic:pic>
              </a:graphicData>
            </a:graphic>
          </wp:anchor>
        </w:drawing>
      </w:r>
    </w:p>
    <w:p>
      <w:pPr>
        <w:spacing w:after="0" w:line="75" w:lineRule="exact"/>
        <w:rPr>
          <w:sz w:val="20"/>
          <w:szCs w:val="20"/>
          <w:color w:val="auto"/>
        </w:rPr>
      </w:pPr>
    </w:p>
    <w:p>
      <w:pPr>
        <w:ind w:left="800" w:right="320" w:hanging="175"/>
        <w:spacing w:after="0" w:line="271" w:lineRule="auto"/>
        <w:tabs>
          <w:tab w:leader="none" w:pos="771"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October 11, 2021, we entered into an agreement to sublease our office space at the World Trade Center in New York City to an unrelated third party.</w:t>
      </w:r>
    </w:p>
    <w:p>
      <w:pPr>
        <w:spacing w:after="0" w:line="186" w:lineRule="exact"/>
        <w:rPr>
          <w:sz w:val="20"/>
          <w:szCs w:val="20"/>
          <w:color w:val="auto"/>
        </w:rPr>
      </w:pPr>
    </w:p>
    <w:p>
      <w:pPr>
        <w:ind w:right="700" w:firstLine="441"/>
        <w:spacing w:after="0" w:line="271" w:lineRule="auto"/>
        <w:rPr>
          <w:sz w:val="20"/>
          <w:szCs w:val="20"/>
          <w:color w:val="auto"/>
        </w:rPr>
      </w:pPr>
      <w:r>
        <w:rPr>
          <w:rFonts w:ascii="Times New Roman" w:cs="Times New Roman" w:eastAsia="Times New Roman" w:hAnsi="Times New Roman"/>
          <w:sz w:val="20"/>
          <w:szCs w:val="20"/>
          <w:color w:val="auto"/>
        </w:rPr>
        <w:t>We believe all of these facilities are well-maintained and suitable for the office, manufacturing or warehouse operations conducted in them and provide adequate capacity for current and foreseeable future needs.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 xml:space="preserve">Information with respect to certain legal proceedings is included in Note 19, </w:t>
      </w:r>
      <w:r>
        <w:rPr>
          <w:rFonts w:ascii="Times New Roman" w:cs="Times New Roman" w:eastAsia="Times New Roman" w:hAnsi="Times New Roman"/>
          <w:sz w:val="20"/>
          <w:szCs w:val="20"/>
          <w:i w:val="1"/>
          <w:iCs w:val="1"/>
          <w:color w:val="auto"/>
        </w:rPr>
        <w:t>“Commitments and Contingencies,”</w:t>
      </w:r>
      <w:r>
        <w:rPr>
          <w:rFonts w:ascii="Times New Roman" w:cs="Times New Roman" w:eastAsia="Times New Roman" w:hAnsi="Times New Roman"/>
          <w:sz w:val="20"/>
          <w:szCs w:val="20"/>
          <w:color w:val="auto"/>
        </w:rPr>
        <w:t xml:space="preserve"> to the</w:t>
      </w:r>
    </w:p>
    <w:p>
      <w:pPr>
        <w:spacing w:after="0" w:line="5"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20"/>
          <w:szCs w:val="20"/>
          <w:color w:val="auto"/>
        </w:rPr>
        <w:t xml:space="preserve">consolidated financial statements contained in Part II, Item 8. </w:t>
      </w:r>
      <w:r>
        <w:rPr>
          <w:rFonts w:ascii="Times New Roman" w:cs="Times New Roman" w:eastAsia="Times New Roman" w:hAnsi="Times New Roman"/>
          <w:sz w:val="20"/>
          <w:szCs w:val="20"/>
          <w:i w:val="1"/>
          <w:iCs w:val="1"/>
          <w:color w:val="auto"/>
        </w:rPr>
        <w:t>“Financial Statements and Supplementary Data,”</w:t>
      </w:r>
      <w:r>
        <w:rPr>
          <w:rFonts w:ascii="Times New Roman" w:cs="Times New Roman" w:eastAsia="Times New Roman" w:hAnsi="Times New Roman"/>
          <w:sz w:val="20"/>
          <w:szCs w:val="20"/>
          <w:color w:val="auto"/>
        </w:rPr>
        <w:t xml:space="preserve"> of this Form 10-K and is incorporated herein by reference.</w:t>
      </w:r>
    </w:p>
    <w:p>
      <w:pPr>
        <w:sectPr>
          <w:pgSz w:w="11880" w:h="15480" w:orient="portrait"/>
          <w:cols w:equalWidth="0" w:num="1">
            <w:col w:w="10540"/>
          </w:cols>
          <w:pgMar w:left="640" w:top="622"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53</w:t>
      </w:r>
    </w:p>
    <w:p>
      <w:pPr>
        <w:sectPr>
          <w:pgSz w:w="11880" w:h="15480" w:orient="portrait"/>
          <w:cols w:equalWidth="0" w:num="1">
            <w:col w:w="10540"/>
          </w:cols>
          <w:pgMar w:left="640" w:top="622" w:right="700" w:bottom="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9"/>
          <w:szCs w:val="19"/>
          <w:b w:val="1"/>
          <w:bCs w:val="1"/>
          <w:color w:val="auto"/>
        </w:rPr>
        <w:t>Item 4. Mine Safety Disclosures</w:t>
      </w:r>
    </w:p>
    <w:p>
      <w:pPr>
        <w:sectPr>
          <w:pgSz w:w="11880" w:h="15480" w:orient="portrait"/>
          <w:cols w:equalWidth="0" w:num="1">
            <w:col w:w="9800"/>
          </w:cols>
          <w:pgMar w:left="640" w:top="615" w:right="1440" w:bottom="0" w:gutter="0" w:footer="0" w:header="0"/>
        </w:sectPr>
      </w:pPr>
    </w:p>
    <w:p>
      <w:pPr>
        <w:spacing w:after="0" w:line="1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Not applicable</w:t>
      </w:r>
    </w:p>
    <w:p>
      <w:pPr>
        <w:sectPr>
          <w:pgSz w:w="11880" w:h="15480" w:orient="portrait"/>
          <w:cols w:equalWidth="0" w:num="1">
            <w:col w:w="9800"/>
          </w:cols>
          <w:pgMar w:left="640" w:top="615"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54</w:t>
      </w:r>
    </w:p>
    <w:p>
      <w:pPr>
        <w:sectPr>
          <w:pgSz w:w="11880" w:h="15480" w:orient="portrait"/>
          <w:cols w:equalWidth="0" w:num="1">
            <w:col w:w="9800"/>
          </w:cols>
          <w:pgMar w:left="640" w:top="615" w:right="1440" w:bottom="0" w:gutter="0" w:footer="0" w:header="0"/>
          <w:type w:val="continuous"/>
        </w:sectPr>
      </w:pPr>
    </w:p>
    <w:bookmarkStart w:id="60" w:name="page61"/>
    <w:bookmarkEnd w:id="60"/>
    <w:p>
      <w:pPr>
        <w:jc w:val="center"/>
        <w:ind w:right="-119"/>
        <w:spacing w:after="0"/>
        <w:rPr>
          <w:sz w:val="20"/>
          <w:szCs w:val="20"/>
          <w:color w:val="auto"/>
        </w:rPr>
      </w:pPr>
      <w:r>
        <w:rPr>
          <w:rFonts w:ascii="Times New Roman" w:cs="Times New Roman" w:eastAsia="Times New Roman" w:hAnsi="Times New Roman"/>
          <w:sz w:val="20"/>
          <w:szCs w:val="20"/>
          <w:b w:val="1"/>
          <w:bCs w:val="1"/>
          <w:color w:val="1E1E1E"/>
        </w:rPr>
        <w:t>PART II</w:t>
      </w:r>
    </w:p>
    <w:p>
      <w:pPr>
        <w:spacing w:after="0" w:line="123" w:lineRule="exact"/>
        <w:rPr>
          <w:sz w:val="20"/>
          <w:szCs w:val="20"/>
          <w:color w:val="auto"/>
        </w:rPr>
      </w:pPr>
    </w:p>
    <w:p>
      <w:pPr>
        <w:ind w:right="360"/>
        <w:spacing w:after="0" w:line="371" w:lineRule="auto"/>
        <w:rPr>
          <w:sz w:val="20"/>
          <w:szCs w:val="20"/>
          <w:color w:val="auto"/>
        </w:rPr>
      </w:pPr>
      <w:r>
        <w:rPr>
          <w:rFonts w:ascii="Times New Roman" w:cs="Times New Roman" w:eastAsia="Times New Roman" w:hAnsi="Times New Roman"/>
          <w:sz w:val="20"/>
          <w:szCs w:val="20"/>
          <w:b w:val="1"/>
          <w:bCs w:val="1"/>
          <w:color w:val="1E1E1E"/>
        </w:rPr>
        <w:t>Item 5. Market for Registrant’s Common Equity, Related Stockholder Matters and Issuer Purchases of Equity Securities Market Information</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1E1E1E"/>
        </w:rPr>
        <w:t>Our common stock trades on the NASDAQ Global Market under the symbol “LNTH”.</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Holders of Record</w:t>
      </w:r>
    </w:p>
    <w:p>
      <w:pPr>
        <w:spacing w:after="0" w:line="130" w:lineRule="exact"/>
        <w:rPr>
          <w:sz w:val="20"/>
          <w:szCs w:val="20"/>
          <w:color w:val="auto"/>
        </w:rPr>
      </w:pPr>
    </w:p>
    <w:p>
      <w:pPr>
        <w:ind w:right="20" w:firstLine="441"/>
        <w:spacing w:after="0" w:line="271" w:lineRule="auto"/>
        <w:rPr>
          <w:sz w:val="20"/>
          <w:szCs w:val="20"/>
          <w:color w:val="auto"/>
        </w:rPr>
      </w:pPr>
      <w:r>
        <w:rPr>
          <w:rFonts w:ascii="Times New Roman" w:cs="Times New Roman" w:eastAsia="Times New Roman" w:hAnsi="Times New Roman"/>
          <w:sz w:val="20"/>
          <w:szCs w:val="20"/>
          <w:color w:val="1E1E1E"/>
        </w:rPr>
        <w:t>On February 20, 2025, there were approximately 29 stockholders of record of our common stock. This number does not include stockholders for whom shares are held in “nominee” or “street” name.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Performance Graph</w:t>
      </w:r>
    </w:p>
    <w:p>
      <w:pPr>
        <w:spacing w:after="0" w:line="127"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20"/>
          <w:szCs w:val="20"/>
          <w:i w:val="1"/>
          <w:iCs w:val="1"/>
          <w:color w:val="1E1E1E"/>
        </w:rPr>
        <w:t>The performance graph set forth below shall not be deemed “soliciting material” or to be “filed” with the SEC. This graph will not be deemed “incorporated by reference” into any filing under the Securities Act of 1933, as amended or the Securities Exchange Act of 1934, as amended, whether such filing occurs before or after the date hereof, except to the extent that we explicitly incorporate it by reference into in such filing.</w:t>
      </w:r>
    </w:p>
    <w:p>
      <w:pPr>
        <w:spacing w:after="0" w:line="202" w:lineRule="exact"/>
        <w:rPr>
          <w:sz w:val="20"/>
          <w:szCs w:val="20"/>
          <w:color w:val="auto"/>
        </w:rPr>
      </w:pPr>
    </w:p>
    <w:p>
      <w:pPr>
        <w:ind w:right="40" w:firstLine="441"/>
        <w:spacing w:after="0" w:line="252" w:lineRule="auto"/>
        <w:rPr>
          <w:sz w:val="20"/>
          <w:szCs w:val="20"/>
          <w:color w:val="auto"/>
        </w:rPr>
      </w:pPr>
      <w:r>
        <w:rPr>
          <w:rFonts w:ascii="Times New Roman" w:cs="Times New Roman" w:eastAsia="Times New Roman" w:hAnsi="Times New Roman"/>
          <w:sz w:val="20"/>
          <w:szCs w:val="20"/>
          <w:color w:val="1E1E1E"/>
        </w:rPr>
        <w:t>The following graph provides a comparison of the cumulative total shareholder return on our common shares with that of the cumulative total shareholder return on the (i) Russell 2000 Index, (ii) the NASDAQ US Small Cap Index and (iii) the NASDAQ US Mid Cap Index, commencing on December 31, 2019 and ending December 31, 2024. The graph assumes a hypothetical $100 investment in our common stock and in each of the comparative indices on December 31, 2019. Our historic share price performance is not necessarily indicative of future share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168275</wp:posOffset>
            </wp:positionV>
            <wp:extent cx="5600700" cy="37585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00700" cy="3758565"/>
                    </a:xfrm>
                    <a:prstGeom prst="rect">
                      <a:avLst/>
                    </a:prstGeom>
                    <a:noFill/>
                  </pic:spPr>
                </pic:pic>
              </a:graphicData>
            </a:graphic>
          </wp:anchor>
        </w:drawing>
      </w:r>
    </w:p>
    <w:p>
      <w:pPr>
        <w:spacing w:after="0" w:line="3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1E1E1E"/>
        </w:rPr>
        <w:t>Comparison of Cumulative Total Return*</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1E1E1E"/>
        </w:rPr>
        <w:t>Among Lantheus Holdings, Inc., Russell 2000 Index and NASDAQ Small Cap Index</w:t>
      </w:r>
    </w:p>
    <w:p>
      <w:pPr>
        <w:spacing w:after="0" w:line="196" w:lineRule="exact"/>
        <w:rPr>
          <w:sz w:val="20"/>
          <w:szCs w:val="20"/>
          <w:color w:val="auto"/>
        </w:rPr>
      </w:pPr>
    </w:p>
    <w:p>
      <w:pPr>
        <w:jc w:val="right"/>
        <w:ind w:right="9140"/>
        <w:spacing w:after="0"/>
        <w:rPr>
          <w:sz w:val="20"/>
          <w:szCs w:val="20"/>
          <w:color w:val="auto"/>
        </w:rPr>
      </w:pPr>
      <w:r>
        <w:rPr>
          <w:rFonts w:ascii="Times New Roman" w:cs="Times New Roman" w:eastAsia="Times New Roman" w:hAnsi="Times New Roman"/>
          <w:sz w:val="16"/>
          <w:szCs w:val="16"/>
          <w:b w:val="1"/>
          <w:bCs w:val="1"/>
          <w:color w:val="1E1E1E"/>
        </w:rPr>
        <w:t>$450</w:t>
      </w:r>
    </w:p>
    <w:p>
      <w:pPr>
        <w:spacing w:after="0" w:line="258" w:lineRule="exact"/>
        <w:rPr>
          <w:sz w:val="20"/>
          <w:szCs w:val="20"/>
          <w:color w:val="auto"/>
        </w:rPr>
      </w:pPr>
    </w:p>
    <w:p>
      <w:pPr>
        <w:jc w:val="right"/>
        <w:ind w:right="9140"/>
        <w:spacing w:after="0"/>
        <w:rPr>
          <w:sz w:val="20"/>
          <w:szCs w:val="20"/>
          <w:color w:val="auto"/>
        </w:rPr>
      </w:pPr>
      <w:r>
        <w:rPr>
          <w:rFonts w:ascii="Times New Roman" w:cs="Times New Roman" w:eastAsia="Times New Roman" w:hAnsi="Times New Roman"/>
          <w:sz w:val="16"/>
          <w:szCs w:val="16"/>
          <w:b w:val="1"/>
          <w:bCs w:val="1"/>
          <w:color w:val="1E1E1E"/>
        </w:rPr>
        <w:t>$400</w:t>
      </w:r>
    </w:p>
    <w:p>
      <w:pPr>
        <w:spacing w:after="0" w:line="258" w:lineRule="exact"/>
        <w:rPr>
          <w:sz w:val="20"/>
          <w:szCs w:val="20"/>
          <w:color w:val="auto"/>
        </w:rPr>
      </w:pPr>
    </w:p>
    <w:p>
      <w:pPr>
        <w:jc w:val="right"/>
        <w:ind w:right="9140"/>
        <w:spacing w:after="0"/>
        <w:rPr>
          <w:sz w:val="20"/>
          <w:szCs w:val="20"/>
          <w:color w:val="auto"/>
        </w:rPr>
      </w:pPr>
      <w:r>
        <w:rPr>
          <w:rFonts w:ascii="Times New Roman" w:cs="Times New Roman" w:eastAsia="Times New Roman" w:hAnsi="Times New Roman"/>
          <w:sz w:val="16"/>
          <w:szCs w:val="16"/>
          <w:b w:val="1"/>
          <w:bCs w:val="1"/>
          <w:color w:val="1E1E1E"/>
        </w:rPr>
        <w:t>$350</w:t>
      </w:r>
    </w:p>
    <w:p>
      <w:pPr>
        <w:spacing w:after="0" w:line="258" w:lineRule="exact"/>
        <w:rPr>
          <w:sz w:val="20"/>
          <w:szCs w:val="20"/>
          <w:color w:val="auto"/>
        </w:rPr>
      </w:pPr>
    </w:p>
    <w:p>
      <w:pPr>
        <w:jc w:val="right"/>
        <w:ind w:right="9140"/>
        <w:spacing w:after="0"/>
        <w:rPr>
          <w:sz w:val="20"/>
          <w:szCs w:val="20"/>
          <w:color w:val="auto"/>
        </w:rPr>
      </w:pPr>
      <w:r>
        <w:rPr>
          <w:rFonts w:ascii="Times New Roman" w:cs="Times New Roman" w:eastAsia="Times New Roman" w:hAnsi="Times New Roman"/>
          <w:sz w:val="16"/>
          <w:szCs w:val="16"/>
          <w:b w:val="1"/>
          <w:bCs w:val="1"/>
          <w:color w:val="1E1E1E"/>
        </w:rPr>
        <w:t>$300</w:t>
      </w:r>
    </w:p>
    <w:p>
      <w:pPr>
        <w:spacing w:after="0" w:line="258" w:lineRule="exact"/>
        <w:rPr>
          <w:sz w:val="20"/>
          <w:szCs w:val="20"/>
          <w:color w:val="auto"/>
        </w:rPr>
      </w:pPr>
    </w:p>
    <w:p>
      <w:pPr>
        <w:jc w:val="right"/>
        <w:ind w:right="9140"/>
        <w:spacing w:after="0"/>
        <w:rPr>
          <w:sz w:val="20"/>
          <w:szCs w:val="20"/>
          <w:color w:val="auto"/>
        </w:rPr>
      </w:pPr>
      <w:r>
        <w:rPr>
          <w:rFonts w:ascii="Times New Roman" w:cs="Times New Roman" w:eastAsia="Times New Roman" w:hAnsi="Times New Roman"/>
          <w:sz w:val="16"/>
          <w:szCs w:val="16"/>
          <w:b w:val="1"/>
          <w:bCs w:val="1"/>
          <w:color w:val="1E1E1E"/>
        </w:rPr>
        <w:t>$250</w:t>
      </w:r>
    </w:p>
    <w:p>
      <w:pPr>
        <w:spacing w:after="0" w:line="258" w:lineRule="exact"/>
        <w:rPr>
          <w:sz w:val="20"/>
          <w:szCs w:val="20"/>
          <w:color w:val="auto"/>
        </w:rPr>
      </w:pPr>
    </w:p>
    <w:p>
      <w:pPr>
        <w:jc w:val="right"/>
        <w:ind w:right="9140"/>
        <w:spacing w:after="0"/>
        <w:rPr>
          <w:sz w:val="20"/>
          <w:szCs w:val="20"/>
          <w:color w:val="auto"/>
        </w:rPr>
      </w:pPr>
      <w:r>
        <w:rPr>
          <w:rFonts w:ascii="Times New Roman" w:cs="Times New Roman" w:eastAsia="Times New Roman" w:hAnsi="Times New Roman"/>
          <w:sz w:val="16"/>
          <w:szCs w:val="16"/>
          <w:b w:val="1"/>
          <w:bCs w:val="1"/>
          <w:color w:val="1E1E1E"/>
        </w:rPr>
        <w:t>$200</w:t>
      </w:r>
    </w:p>
    <w:p>
      <w:pPr>
        <w:spacing w:after="0" w:line="258" w:lineRule="exact"/>
        <w:rPr>
          <w:sz w:val="20"/>
          <w:szCs w:val="20"/>
          <w:color w:val="auto"/>
        </w:rPr>
      </w:pPr>
    </w:p>
    <w:p>
      <w:pPr>
        <w:jc w:val="right"/>
        <w:ind w:right="9140"/>
        <w:spacing w:after="0"/>
        <w:rPr>
          <w:sz w:val="20"/>
          <w:szCs w:val="20"/>
          <w:color w:val="auto"/>
        </w:rPr>
      </w:pPr>
      <w:r>
        <w:rPr>
          <w:rFonts w:ascii="Times New Roman" w:cs="Times New Roman" w:eastAsia="Times New Roman" w:hAnsi="Times New Roman"/>
          <w:sz w:val="16"/>
          <w:szCs w:val="16"/>
          <w:b w:val="1"/>
          <w:bCs w:val="1"/>
          <w:color w:val="1E1E1E"/>
        </w:rPr>
        <w:t>$150</w:t>
      </w:r>
    </w:p>
    <w:p>
      <w:pPr>
        <w:spacing w:after="0" w:line="258" w:lineRule="exact"/>
        <w:rPr>
          <w:sz w:val="20"/>
          <w:szCs w:val="20"/>
          <w:color w:val="auto"/>
        </w:rPr>
      </w:pPr>
    </w:p>
    <w:p>
      <w:pPr>
        <w:jc w:val="right"/>
        <w:ind w:right="9140"/>
        <w:spacing w:after="0"/>
        <w:rPr>
          <w:sz w:val="20"/>
          <w:szCs w:val="20"/>
          <w:color w:val="auto"/>
        </w:rPr>
      </w:pPr>
      <w:r>
        <w:rPr>
          <w:rFonts w:ascii="Times New Roman" w:cs="Times New Roman" w:eastAsia="Times New Roman" w:hAnsi="Times New Roman"/>
          <w:sz w:val="16"/>
          <w:szCs w:val="16"/>
          <w:b w:val="1"/>
          <w:bCs w:val="1"/>
          <w:color w:val="1E1E1E"/>
        </w:rPr>
        <w:t>$100</w:t>
      </w:r>
    </w:p>
    <w:p>
      <w:pPr>
        <w:spacing w:after="0" w:line="258" w:lineRule="exact"/>
        <w:rPr>
          <w:sz w:val="20"/>
          <w:szCs w:val="20"/>
          <w:color w:val="auto"/>
        </w:rPr>
      </w:pPr>
    </w:p>
    <w:p>
      <w:pPr>
        <w:jc w:val="right"/>
        <w:ind w:right="9140"/>
        <w:spacing w:after="0"/>
        <w:rPr>
          <w:sz w:val="20"/>
          <w:szCs w:val="20"/>
          <w:color w:val="auto"/>
        </w:rPr>
      </w:pPr>
      <w:r>
        <w:rPr>
          <w:rFonts w:ascii="Times New Roman" w:cs="Times New Roman" w:eastAsia="Times New Roman" w:hAnsi="Times New Roman"/>
          <w:sz w:val="16"/>
          <w:szCs w:val="16"/>
          <w:b w:val="1"/>
          <w:bCs w:val="1"/>
          <w:color w:val="1E1E1E"/>
        </w:rPr>
        <w:t>$50</w:t>
      </w:r>
    </w:p>
    <w:p>
      <w:pPr>
        <w:spacing w:after="0" w:line="73" w:lineRule="exact"/>
        <w:rPr>
          <w:sz w:val="20"/>
          <w:szCs w:val="20"/>
          <w:color w:val="auto"/>
        </w:rPr>
      </w:pPr>
    </w:p>
    <w:tbl>
      <w:tblPr>
        <w:tblLayout w:type="fixed"/>
        <w:tblInd w:w="1000" w:type="dxa"/>
        <w:tblCellMar>
          <w:top w:w="0" w:type="dxa"/>
          <w:left w:w="0" w:type="dxa"/>
          <w:bottom w:w="0" w:type="dxa"/>
          <w:right w:w="0" w:type="dxa"/>
        </w:tblCellMar>
      </w:tblPr>
      <w:tr>
        <w:trPr>
          <w:trHeight w:val="172"/>
        </w:trPr>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jc w:val="right"/>
              <w:ind w:right="446"/>
              <w:spacing w:after="0"/>
              <w:rPr>
                <w:sz w:val="20"/>
                <w:szCs w:val="20"/>
                <w:color w:val="auto"/>
              </w:rPr>
            </w:pPr>
            <w:r>
              <w:rPr>
                <w:rFonts w:ascii="Times New Roman" w:cs="Times New Roman" w:eastAsia="Times New Roman" w:hAnsi="Times New Roman"/>
                <w:sz w:val="15"/>
                <w:szCs w:val="15"/>
                <w:b w:val="1"/>
                <w:bCs w:val="1"/>
                <w:color w:val="1E1E1E"/>
              </w:rPr>
              <w:t>/20</w:t>
            </w:r>
          </w:p>
        </w:tc>
        <w:tc>
          <w:tcPr>
            <w:tcW w:w="720" w:type="dxa"/>
            <w:vAlign w:val="bottom"/>
          </w:tcPr>
          <w:p>
            <w:pPr>
              <w:spacing w:after="0"/>
              <w:rPr>
                <w:sz w:val="15"/>
                <w:szCs w:val="15"/>
                <w:color w:val="auto"/>
              </w:rPr>
            </w:pPr>
          </w:p>
        </w:tc>
        <w:tc>
          <w:tcPr>
            <w:tcW w:w="1040" w:type="dxa"/>
            <w:vAlign w:val="bottom"/>
            <w:vMerge w:val="restart"/>
          </w:tcPr>
          <w:p>
            <w:pPr>
              <w:jc w:val="right"/>
              <w:ind w:right="606"/>
              <w:spacing w:after="0"/>
              <w:rPr>
                <w:sz w:val="20"/>
                <w:szCs w:val="20"/>
                <w:color w:val="auto"/>
              </w:rPr>
            </w:pPr>
            <w:r>
              <w:rPr>
                <w:rFonts w:ascii="Times New Roman" w:cs="Times New Roman" w:eastAsia="Times New Roman" w:hAnsi="Times New Roman"/>
                <w:sz w:val="15"/>
                <w:szCs w:val="15"/>
                <w:b w:val="1"/>
                <w:bCs w:val="1"/>
                <w:color w:val="1E1E1E"/>
              </w:rPr>
              <w:t>1/21</w:t>
            </w:r>
          </w:p>
        </w:tc>
        <w:tc>
          <w:tcPr>
            <w:tcW w:w="600" w:type="dxa"/>
            <w:vAlign w:val="bottom"/>
          </w:tcPr>
          <w:p>
            <w:pPr>
              <w:spacing w:after="0"/>
              <w:rPr>
                <w:sz w:val="15"/>
                <w:szCs w:val="15"/>
                <w:color w:val="auto"/>
              </w:rPr>
            </w:pPr>
          </w:p>
        </w:tc>
        <w:tc>
          <w:tcPr>
            <w:tcW w:w="820" w:type="dxa"/>
            <w:vAlign w:val="bottom"/>
            <w:vMerge w:val="restart"/>
          </w:tcPr>
          <w:p>
            <w:pPr>
              <w:jc w:val="right"/>
              <w:ind w:right="423"/>
              <w:spacing w:after="0"/>
              <w:rPr>
                <w:sz w:val="20"/>
                <w:szCs w:val="20"/>
                <w:color w:val="auto"/>
              </w:rPr>
            </w:pPr>
            <w:r>
              <w:rPr>
                <w:rFonts w:ascii="Times New Roman" w:cs="Times New Roman" w:eastAsia="Times New Roman" w:hAnsi="Times New Roman"/>
                <w:sz w:val="15"/>
                <w:szCs w:val="15"/>
                <w:b w:val="1"/>
                <w:bCs w:val="1"/>
                <w:color w:val="1E1E1E"/>
              </w:rPr>
              <w:t>1/22</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486"/>
              <w:spacing w:after="0"/>
              <w:rPr>
                <w:sz w:val="20"/>
                <w:szCs w:val="20"/>
                <w:color w:val="auto"/>
              </w:rPr>
            </w:pPr>
            <w:r>
              <w:rPr>
                <w:rFonts w:ascii="Times New Roman" w:cs="Times New Roman" w:eastAsia="Times New Roman" w:hAnsi="Times New Roman"/>
                <w:sz w:val="15"/>
                <w:szCs w:val="15"/>
                <w:b w:val="1"/>
                <w:bCs w:val="1"/>
                <w:color w:val="1E1E1E"/>
              </w:rPr>
              <w:t>/23</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1E1E1E"/>
              </w:rPr>
              <w:t>/24</w:t>
            </w:r>
          </w:p>
        </w:tc>
        <w:tc>
          <w:tcPr>
            <w:tcW w:w="0" w:type="dxa"/>
            <w:vAlign w:val="bottom"/>
          </w:tcPr>
          <w:p>
            <w:pPr>
              <w:spacing w:after="0"/>
              <w:rPr>
                <w:sz w:val="1"/>
                <w:szCs w:val="1"/>
                <w:color w:val="auto"/>
              </w:rPr>
            </w:pPr>
          </w:p>
        </w:tc>
      </w:tr>
      <w:tr>
        <w:trPr>
          <w:trHeight w:val="50"/>
        </w:trPr>
        <w:tc>
          <w:tcPr>
            <w:tcW w:w="1120" w:type="dxa"/>
            <w:vAlign w:val="bottom"/>
            <w:gridSpan w:val="2"/>
          </w:tcPr>
          <w:p>
            <w:pPr>
              <w:jc w:val="right"/>
              <w:ind w:right="560"/>
              <w:spacing w:after="0" w:line="207" w:lineRule="auto"/>
              <w:rPr>
                <w:sz w:val="20"/>
                <w:szCs w:val="20"/>
                <w:color w:val="auto"/>
              </w:rPr>
            </w:pPr>
            <w:r>
              <w:rPr>
                <w:rFonts w:ascii="Times New Roman" w:cs="Times New Roman" w:eastAsia="Times New Roman" w:hAnsi="Times New Roman"/>
                <w:sz w:val="5"/>
                <w:szCs w:val="5"/>
                <w:b w:val="1"/>
                <w:bCs w:val="1"/>
                <w:color w:val="1E1E1E"/>
              </w:rPr>
              <w:t>12/31/19</w:t>
            </w:r>
          </w:p>
        </w:tc>
        <w:tc>
          <w:tcPr>
            <w:tcW w:w="760" w:type="dxa"/>
            <w:vAlign w:val="bottom"/>
          </w:tcPr>
          <w:p>
            <w:pPr>
              <w:jc w:val="right"/>
              <w:spacing w:after="0" w:line="207" w:lineRule="auto"/>
              <w:rPr>
                <w:sz w:val="20"/>
                <w:szCs w:val="20"/>
                <w:color w:val="auto"/>
              </w:rPr>
            </w:pPr>
            <w:r>
              <w:rPr>
                <w:rFonts w:ascii="Times New Roman" w:cs="Times New Roman" w:eastAsia="Times New Roman" w:hAnsi="Times New Roman"/>
                <w:sz w:val="5"/>
                <w:szCs w:val="5"/>
                <w:b w:val="1"/>
                <w:bCs w:val="1"/>
                <w:color w:val="1E1E1E"/>
              </w:rPr>
              <w:t>12/</w:t>
            </w:r>
          </w:p>
        </w:tc>
        <w:tc>
          <w:tcPr>
            <w:tcW w:w="800" w:type="dxa"/>
            <w:vAlign w:val="bottom"/>
          </w:tcPr>
          <w:p>
            <w:pPr>
              <w:spacing w:after="0"/>
              <w:rPr>
                <w:sz w:val="4"/>
                <w:szCs w:val="4"/>
                <w:color w:val="auto"/>
              </w:rPr>
            </w:pPr>
          </w:p>
        </w:tc>
        <w:tc>
          <w:tcPr>
            <w:tcW w:w="720" w:type="dxa"/>
            <w:vAlign w:val="bottom"/>
          </w:tcPr>
          <w:p>
            <w:pPr>
              <w:jc w:val="right"/>
              <w:spacing w:after="0" w:line="207" w:lineRule="auto"/>
              <w:rPr>
                <w:sz w:val="20"/>
                <w:szCs w:val="20"/>
                <w:color w:val="auto"/>
              </w:rPr>
            </w:pPr>
            <w:r>
              <w:rPr>
                <w:rFonts w:ascii="Times New Roman" w:cs="Times New Roman" w:eastAsia="Times New Roman" w:hAnsi="Times New Roman"/>
                <w:sz w:val="5"/>
                <w:szCs w:val="5"/>
                <w:b w:val="1"/>
                <w:bCs w:val="1"/>
                <w:color w:val="1E1E1E"/>
              </w:rPr>
              <w:t>12</w:t>
            </w:r>
          </w:p>
        </w:tc>
        <w:tc>
          <w:tcPr>
            <w:tcW w:w="1040" w:type="dxa"/>
            <w:vAlign w:val="bottom"/>
            <w:vMerge w:val="continue"/>
          </w:tcPr>
          <w:p>
            <w:pPr>
              <w:spacing w:after="0"/>
              <w:rPr>
                <w:sz w:val="4"/>
                <w:szCs w:val="4"/>
                <w:color w:val="auto"/>
              </w:rPr>
            </w:pPr>
          </w:p>
        </w:tc>
        <w:tc>
          <w:tcPr>
            <w:tcW w:w="600" w:type="dxa"/>
            <w:vAlign w:val="bottom"/>
          </w:tcPr>
          <w:p>
            <w:pPr>
              <w:jc w:val="right"/>
              <w:ind w:right="10"/>
              <w:spacing w:after="0" w:line="207" w:lineRule="auto"/>
              <w:rPr>
                <w:sz w:val="20"/>
                <w:szCs w:val="20"/>
                <w:color w:val="auto"/>
              </w:rPr>
            </w:pPr>
            <w:r>
              <w:rPr>
                <w:rFonts w:ascii="Times New Roman" w:cs="Times New Roman" w:eastAsia="Times New Roman" w:hAnsi="Times New Roman"/>
                <w:sz w:val="5"/>
                <w:szCs w:val="5"/>
                <w:b w:val="1"/>
                <w:bCs w:val="1"/>
                <w:color w:val="1E1E1E"/>
              </w:rPr>
              <w:t>12</w:t>
            </w:r>
          </w:p>
        </w:tc>
        <w:tc>
          <w:tcPr>
            <w:tcW w:w="820" w:type="dxa"/>
            <w:vAlign w:val="bottom"/>
            <w:vMerge w:val="continue"/>
          </w:tcPr>
          <w:p>
            <w:pPr>
              <w:spacing w:after="0"/>
              <w:rPr>
                <w:sz w:val="4"/>
                <w:szCs w:val="4"/>
                <w:color w:val="auto"/>
              </w:rPr>
            </w:pPr>
          </w:p>
        </w:tc>
        <w:tc>
          <w:tcPr>
            <w:tcW w:w="760" w:type="dxa"/>
            <w:vAlign w:val="bottom"/>
          </w:tcPr>
          <w:p>
            <w:pPr>
              <w:jc w:val="right"/>
              <w:spacing w:after="0" w:line="207" w:lineRule="auto"/>
              <w:rPr>
                <w:sz w:val="20"/>
                <w:szCs w:val="20"/>
                <w:color w:val="auto"/>
              </w:rPr>
            </w:pPr>
            <w:r>
              <w:rPr>
                <w:rFonts w:ascii="Times New Roman" w:cs="Times New Roman" w:eastAsia="Times New Roman" w:hAnsi="Times New Roman"/>
                <w:sz w:val="5"/>
                <w:szCs w:val="5"/>
                <w:b w:val="1"/>
                <w:bCs w:val="1"/>
                <w:color w:val="1E1E1E"/>
              </w:rPr>
              <w:t>12</w:t>
            </w:r>
          </w:p>
        </w:tc>
        <w:tc>
          <w:tcPr>
            <w:tcW w:w="900" w:type="dxa"/>
            <w:vAlign w:val="bottom"/>
            <w:gridSpan w:val="2"/>
          </w:tcPr>
          <w:p>
            <w:pPr>
              <w:jc w:val="right"/>
              <w:ind w:right="666"/>
              <w:spacing w:after="0" w:line="207" w:lineRule="auto"/>
              <w:rPr>
                <w:sz w:val="20"/>
                <w:szCs w:val="20"/>
                <w:color w:val="auto"/>
              </w:rPr>
            </w:pPr>
            <w:r>
              <w:rPr>
                <w:rFonts w:ascii="Times New Roman" w:cs="Times New Roman" w:eastAsia="Times New Roman" w:hAnsi="Times New Roman"/>
                <w:sz w:val="5"/>
                <w:szCs w:val="5"/>
                <w:b w:val="1"/>
                <w:bCs w:val="1"/>
                <w:color w:val="1E1E1E"/>
              </w:rPr>
              <w:t>1</w:t>
            </w:r>
          </w:p>
        </w:tc>
        <w:tc>
          <w:tcPr>
            <w:tcW w:w="1040" w:type="dxa"/>
            <w:vAlign w:val="bottom"/>
          </w:tcPr>
          <w:p>
            <w:pPr>
              <w:jc w:val="right"/>
              <w:ind w:right="130"/>
              <w:spacing w:after="0" w:line="207" w:lineRule="auto"/>
              <w:rPr>
                <w:sz w:val="20"/>
                <w:szCs w:val="20"/>
                <w:color w:val="auto"/>
              </w:rPr>
            </w:pPr>
            <w:r>
              <w:rPr>
                <w:rFonts w:ascii="Times New Roman" w:cs="Times New Roman" w:eastAsia="Times New Roman" w:hAnsi="Times New Roman"/>
                <w:sz w:val="5"/>
                <w:szCs w:val="5"/>
                <w:b w:val="1"/>
                <w:bCs w:val="1"/>
                <w:color w:val="1E1E1E"/>
              </w:rPr>
              <w:t>12/31</w:t>
            </w:r>
          </w:p>
        </w:tc>
        <w:tc>
          <w:tcPr>
            <w:tcW w:w="0" w:type="dxa"/>
            <w:vAlign w:val="bottom"/>
          </w:tcPr>
          <w:p>
            <w:pPr>
              <w:spacing w:after="0"/>
              <w:rPr>
                <w:sz w:val="1"/>
                <w:szCs w:val="1"/>
                <w:color w:val="auto"/>
              </w:rPr>
            </w:pPr>
          </w:p>
        </w:tc>
      </w:tr>
      <w:tr>
        <w:trPr>
          <w:trHeight w:val="187"/>
        </w:trPr>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60" w:type="dxa"/>
            <w:vAlign w:val="bottom"/>
            <w:gridSpan w:val="2"/>
          </w:tcPr>
          <w:p>
            <w:pPr>
              <w:jc w:val="right"/>
              <w:ind w:right="626"/>
              <w:spacing w:after="0"/>
              <w:rPr>
                <w:sz w:val="20"/>
                <w:szCs w:val="20"/>
                <w:color w:val="auto"/>
              </w:rPr>
            </w:pPr>
            <w:r>
              <w:rPr>
                <w:rFonts w:ascii="Times New Roman" w:cs="Times New Roman" w:eastAsia="Times New Roman" w:hAnsi="Times New Roman"/>
                <w:sz w:val="15"/>
                <w:szCs w:val="15"/>
                <w:b w:val="1"/>
                <w:bCs w:val="1"/>
                <w:color w:val="1E1E1E"/>
              </w:rPr>
              <w:t>31</w:t>
            </w:r>
          </w:p>
        </w:tc>
        <w:tc>
          <w:tcPr>
            <w:tcW w:w="1760" w:type="dxa"/>
            <w:vAlign w:val="bottom"/>
            <w:gridSpan w:val="2"/>
          </w:tcPr>
          <w:p>
            <w:pPr>
              <w:jc w:val="right"/>
              <w:ind w:right="866"/>
              <w:spacing w:after="0"/>
              <w:rPr>
                <w:sz w:val="20"/>
                <w:szCs w:val="20"/>
                <w:color w:val="auto"/>
              </w:rPr>
            </w:pPr>
            <w:r>
              <w:rPr>
                <w:rFonts w:ascii="Times New Roman" w:cs="Times New Roman" w:eastAsia="Times New Roman" w:hAnsi="Times New Roman"/>
                <w:sz w:val="15"/>
                <w:szCs w:val="15"/>
                <w:b w:val="1"/>
                <w:bCs w:val="1"/>
                <w:color w:val="1E1E1E"/>
              </w:rPr>
              <w:t>/3</w:t>
            </w:r>
          </w:p>
        </w:tc>
        <w:tc>
          <w:tcPr>
            <w:tcW w:w="1420" w:type="dxa"/>
            <w:vAlign w:val="bottom"/>
            <w:gridSpan w:val="2"/>
          </w:tcPr>
          <w:p>
            <w:pPr>
              <w:jc w:val="right"/>
              <w:ind w:right="683"/>
              <w:spacing w:after="0"/>
              <w:rPr>
                <w:sz w:val="20"/>
                <w:szCs w:val="20"/>
                <w:color w:val="auto"/>
              </w:rPr>
            </w:pPr>
            <w:r>
              <w:rPr>
                <w:rFonts w:ascii="Times New Roman" w:cs="Times New Roman" w:eastAsia="Times New Roman" w:hAnsi="Times New Roman"/>
                <w:sz w:val="15"/>
                <w:szCs w:val="15"/>
                <w:b w:val="1"/>
                <w:bCs w:val="1"/>
                <w:color w:val="1E1E1E"/>
              </w:rPr>
              <w:t>/3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1E1E1E"/>
              </w:rPr>
              <w:t>/3</w:t>
            </w: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520" w:type="dxa"/>
            <w:vAlign w:val="bottom"/>
          </w:tcPr>
          <w:p>
            <w:pPr>
              <w:spacing w:after="0"/>
              <w:rPr>
                <w:sz w:val="24"/>
                <w:szCs w:val="24"/>
                <w:color w:val="auto"/>
              </w:rPr>
            </w:pPr>
          </w:p>
        </w:tc>
        <w:tc>
          <w:tcPr>
            <w:tcW w:w="600" w:type="dxa"/>
            <w:vAlign w:val="bottom"/>
            <w:tcBorders>
              <w:bottom w:val="single" w:sz="8" w:color="272727"/>
            </w:tcBorders>
          </w:tcPr>
          <w:p>
            <w:pPr>
              <w:spacing w:after="0"/>
              <w:rPr>
                <w:sz w:val="24"/>
                <w:szCs w:val="24"/>
                <w:color w:val="auto"/>
              </w:rPr>
            </w:pPr>
          </w:p>
        </w:tc>
        <w:tc>
          <w:tcPr>
            <w:tcW w:w="332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1E1E1E"/>
              </w:rPr>
              <w:t>Lantheus Holdings, Inc. (“LNTH”)</w:t>
            </w:r>
          </w:p>
        </w:tc>
        <w:tc>
          <w:tcPr>
            <w:tcW w:w="600" w:type="dxa"/>
            <w:vAlign w:val="bottom"/>
            <w:tcBorders>
              <w:bottom w:val="single" w:sz="8" w:color="5C5C5C"/>
            </w:tcBorders>
          </w:tcPr>
          <w:p>
            <w:pPr>
              <w:spacing w:after="0"/>
              <w:rPr>
                <w:sz w:val="24"/>
                <w:szCs w:val="24"/>
                <w:color w:val="auto"/>
              </w:rPr>
            </w:pPr>
          </w:p>
        </w:tc>
        <w:tc>
          <w:tcPr>
            <w:tcW w:w="248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b w:val="1"/>
                <w:bCs w:val="1"/>
                <w:color w:val="1E1E1E"/>
              </w:rPr>
              <w:t>Russell 2000 Index (“^RUT”)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5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32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2480" w:type="dxa"/>
            <w:vAlign w:val="bottom"/>
            <w:gridSpan w:val="4"/>
            <w:vMerge w:val="continue"/>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600" w:type="dxa"/>
            <w:vAlign w:val="bottom"/>
            <w:tcBorders>
              <w:bottom w:val="single" w:sz="8" w:color="1E1E1E"/>
            </w:tcBorders>
          </w:tcPr>
          <w:p>
            <w:pPr>
              <w:spacing w:after="0"/>
              <w:rPr>
                <w:sz w:val="18"/>
                <w:szCs w:val="18"/>
                <w:color w:val="auto"/>
              </w:rPr>
            </w:pPr>
          </w:p>
        </w:tc>
        <w:tc>
          <w:tcPr>
            <w:tcW w:w="332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1E1E1E"/>
              </w:rPr>
              <w:t>NASDAQ US Small Cap Index (“^NQUSS”)</w:t>
            </w:r>
          </w:p>
        </w:tc>
        <w:tc>
          <w:tcPr>
            <w:tcW w:w="600" w:type="dxa"/>
            <w:vAlign w:val="bottom"/>
            <w:tcBorders>
              <w:bottom w:val="single" w:sz="8" w:color="ADADAD"/>
            </w:tcBorders>
          </w:tcPr>
          <w:p>
            <w:pPr>
              <w:spacing w:after="0"/>
              <w:rPr>
                <w:sz w:val="18"/>
                <w:szCs w:val="18"/>
                <w:color w:val="auto"/>
              </w:rPr>
            </w:pPr>
          </w:p>
        </w:tc>
        <w:tc>
          <w:tcPr>
            <w:tcW w:w="352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b w:val="1"/>
                <w:bCs w:val="1"/>
                <w:color w:val="1E1E1E"/>
              </w:rPr>
              <w:t>NASDAQ US Mid Cap Index (“^NQUSM”)</w:t>
            </w:r>
          </w:p>
        </w:tc>
        <w:tc>
          <w:tcPr>
            <w:tcW w:w="0" w:type="dxa"/>
            <w:vAlign w:val="bottom"/>
          </w:tcPr>
          <w:p>
            <w:pPr>
              <w:spacing w:after="0"/>
              <w:rPr>
                <w:sz w:val="1"/>
                <w:szCs w:val="1"/>
                <w:color w:val="auto"/>
              </w:rPr>
            </w:pPr>
          </w:p>
        </w:tc>
      </w:tr>
      <w:tr>
        <w:trPr>
          <w:trHeight w:val="66"/>
        </w:trPr>
        <w:tc>
          <w:tcPr>
            <w:tcW w:w="5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32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352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________________________________</w:t>
      </w:r>
    </w:p>
    <w:p>
      <w:pPr>
        <w:spacing w:after="0" w:line="1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i w:val="1"/>
          <w:iCs w:val="1"/>
          <w:color w:val="1E1E1E"/>
        </w:rPr>
        <w:t>* Assumes hypothetical investment of $100 in our common stock and each of the indices on December 31, 2019, including reinvestment of dividends.</w:t>
      </w:r>
    </w:p>
    <w:p>
      <w:pPr>
        <w:sectPr>
          <w:pgSz w:w="11880" w:h="15480" w:orient="portrait"/>
          <w:cols w:equalWidth="0" w:num="1">
            <w:col w:w="10480"/>
          </w:cols>
          <w:pgMar w:left="640" w:top="615"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1E1E1E"/>
        </w:rPr>
        <w:t>55</w:t>
      </w:r>
    </w:p>
    <w:p>
      <w:pPr>
        <w:sectPr>
          <w:pgSz w:w="11880" w:h="15480" w:orient="portrait"/>
          <w:cols w:equalWidth="0" w:num="1">
            <w:col w:w="10480"/>
          </w:cols>
          <w:pgMar w:left="640" w:top="615" w:right="760" w:bottom="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20"/>
          <w:szCs w:val="20"/>
          <w:b w:val="1"/>
          <w:bCs w:val="1"/>
          <w:color w:val="auto"/>
        </w:rPr>
        <w:t>Performance Graph Data</w:t>
      </w:r>
    </w:p>
    <w:p>
      <w:pPr>
        <w:spacing w:after="0" w:line="130" w:lineRule="exact"/>
        <w:rPr>
          <w:sz w:val="20"/>
          <w:szCs w:val="20"/>
          <w:color w:val="auto"/>
        </w:rPr>
      </w:pPr>
    </w:p>
    <w:p>
      <w:pPr>
        <w:ind w:right="80" w:firstLine="441"/>
        <w:spacing w:after="0" w:line="271" w:lineRule="auto"/>
        <w:rPr>
          <w:sz w:val="20"/>
          <w:szCs w:val="20"/>
          <w:color w:val="auto"/>
        </w:rPr>
      </w:pPr>
      <w:r>
        <w:rPr>
          <w:rFonts w:ascii="Times New Roman" w:cs="Times New Roman" w:eastAsia="Times New Roman" w:hAnsi="Times New Roman"/>
          <w:sz w:val="20"/>
          <w:szCs w:val="20"/>
          <w:color w:val="auto"/>
        </w:rPr>
        <w:t>The following table sets forth the cumulative total shareholder return on the hypothetical $100 investment in our common stock and each of the comparative indices on December 31, 2019:</w:t>
      </w:r>
    </w:p>
    <w:p>
      <w:pPr>
        <w:spacing w:after="0" w:line="39"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center"/>
              <w:ind w:right="102"/>
              <w:spacing w:after="0"/>
              <w:rPr>
                <w:sz w:val="20"/>
                <w:szCs w:val="20"/>
                <w:color w:val="auto"/>
              </w:rPr>
            </w:pPr>
            <w:r>
              <w:rPr>
                <w:rFonts w:ascii="Times New Roman" w:cs="Times New Roman" w:eastAsia="Times New Roman" w:hAnsi="Times New Roman"/>
                <w:sz w:val="20"/>
                <w:szCs w:val="20"/>
                <w:b w:val="1"/>
                <w:bCs w:val="1"/>
                <w:color w:val="auto"/>
                <w:w w:val="97"/>
              </w:rPr>
              <w:t>Lantheus</w:t>
            </w:r>
          </w:p>
        </w:tc>
        <w:tc>
          <w:tcPr>
            <w:tcW w:w="260" w:type="dxa"/>
            <w:vAlign w:val="bottom"/>
          </w:tcPr>
          <w:p>
            <w:pPr>
              <w:spacing w:after="0"/>
              <w:rPr>
                <w:sz w:val="19"/>
                <w:szCs w:val="19"/>
                <w:color w:val="auto"/>
              </w:rPr>
            </w:pPr>
          </w:p>
        </w:tc>
        <w:tc>
          <w:tcPr>
            <w:tcW w:w="1380" w:type="dxa"/>
            <w:vAlign w:val="bottom"/>
            <w:vMerge w:val="restart"/>
          </w:tcPr>
          <w:p>
            <w:pPr>
              <w:jc w:val="right"/>
              <w:ind w:right="182"/>
              <w:spacing w:after="0"/>
              <w:rPr>
                <w:sz w:val="20"/>
                <w:szCs w:val="20"/>
                <w:color w:val="auto"/>
              </w:rPr>
            </w:pPr>
            <w:r>
              <w:rPr>
                <w:rFonts w:ascii="Times New Roman" w:cs="Times New Roman" w:eastAsia="Times New Roman" w:hAnsi="Times New Roman"/>
                <w:sz w:val="20"/>
                <w:szCs w:val="20"/>
                <w:b w:val="1"/>
                <w:bCs w:val="1"/>
                <w:color w:val="auto"/>
              </w:rPr>
              <w:t>Russell 2000</w:t>
            </w:r>
          </w:p>
        </w:tc>
        <w:tc>
          <w:tcPr>
            <w:tcW w:w="240" w:type="dxa"/>
            <w:vAlign w:val="bottom"/>
          </w:tcPr>
          <w:p>
            <w:pPr>
              <w:spacing w:after="0"/>
              <w:rPr>
                <w:sz w:val="19"/>
                <w:szCs w:val="19"/>
                <w:color w:val="auto"/>
              </w:rPr>
            </w:pPr>
          </w:p>
        </w:tc>
        <w:tc>
          <w:tcPr>
            <w:tcW w:w="1420" w:type="dxa"/>
            <w:vAlign w:val="bottom"/>
          </w:tcPr>
          <w:p>
            <w:pPr>
              <w:jc w:val="right"/>
              <w:ind w:right="162"/>
              <w:spacing w:after="0"/>
              <w:rPr>
                <w:sz w:val="20"/>
                <w:szCs w:val="20"/>
                <w:color w:val="auto"/>
              </w:rPr>
            </w:pPr>
            <w:r>
              <w:rPr>
                <w:rFonts w:ascii="Times New Roman" w:cs="Times New Roman" w:eastAsia="Times New Roman" w:hAnsi="Times New Roman"/>
                <w:sz w:val="20"/>
                <w:szCs w:val="20"/>
                <w:b w:val="1"/>
                <w:bCs w:val="1"/>
                <w:color w:val="auto"/>
                <w:w w:val="99"/>
              </w:rPr>
              <w:t>NASDAQ US</w:t>
            </w:r>
          </w:p>
        </w:tc>
        <w:tc>
          <w:tcPr>
            <w:tcW w:w="200" w:type="dxa"/>
            <w:vAlign w:val="bottom"/>
          </w:tcPr>
          <w:p>
            <w:pPr>
              <w:spacing w:after="0"/>
              <w:rPr>
                <w:sz w:val="19"/>
                <w:szCs w:val="19"/>
                <w:color w:val="auto"/>
              </w:rPr>
            </w:pPr>
          </w:p>
        </w:tc>
        <w:tc>
          <w:tcPr>
            <w:tcW w:w="1420" w:type="dxa"/>
            <w:vAlign w:val="bottom"/>
          </w:tcPr>
          <w:p>
            <w:pPr>
              <w:jc w:val="center"/>
              <w:ind w:right="62"/>
              <w:spacing w:after="0"/>
              <w:rPr>
                <w:sz w:val="20"/>
                <w:szCs w:val="20"/>
                <w:color w:val="auto"/>
              </w:rPr>
            </w:pPr>
            <w:r>
              <w:rPr>
                <w:rFonts w:ascii="Times New Roman" w:cs="Times New Roman" w:eastAsia="Times New Roman" w:hAnsi="Times New Roman"/>
                <w:sz w:val="20"/>
                <w:szCs w:val="20"/>
                <w:b w:val="1"/>
                <w:bCs w:val="1"/>
                <w:color w:val="auto"/>
                <w:w w:val="99"/>
              </w:rPr>
              <w:t>NASDAQ US</w:t>
            </w:r>
          </w:p>
        </w:tc>
        <w:tc>
          <w:tcPr>
            <w:tcW w:w="0" w:type="dxa"/>
            <w:vAlign w:val="bottom"/>
          </w:tcPr>
          <w:p>
            <w:pPr>
              <w:spacing w:after="0"/>
              <w:rPr>
                <w:sz w:val="1"/>
                <w:szCs w:val="1"/>
                <w:color w:val="auto"/>
              </w:rPr>
            </w:pPr>
          </w:p>
        </w:tc>
      </w:tr>
      <w:tr>
        <w:trPr>
          <w:trHeight w:val="196"/>
        </w:trPr>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4"/>
              </w:rPr>
              <w:t>Date</w:t>
            </w:r>
          </w:p>
        </w:tc>
        <w:tc>
          <w:tcPr>
            <w:tcW w:w="300" w:type="dxa"/>
            <w:vAlign w:val="bottom"/>
          </w:tcPr>
          <w:p>
            <w:pPr>
              <w:spacing w:after="0"/>
              <w:rPr>
                <w:sz w:val="17"/>
                <w:szCs w:val="17"/>
                <w:color w:val="auto"/>
              </w:rPr>
            </w:pPr>
          </w:p>
        </w:tc>
        <w:tc>
          <w:tcPr>
            <w:tcW w:w="1420" w:type="dxa"/>
            <w:vAlign w:val="bottom"/>
          </w:tcPr>
          <w:p>
            <w:pPr>
              <w:jc w:val="center"/>
              <w:ind w:right="102"/>
              <w:spacing w:after="0" w:line="196" w:lineRule="exact"/>
              <w:rPr>
                <w:sz w:val="20"/>
                <w:szCs w:val="20"/>
                <w:color w:val="auto"/>
              </w:rPr>
            </w:pPr>
            <w:r>
              <w:rPr>
                <w:rFonts w:ascii="Times New Roman" w:cs="Times New Roman" w:eastAsia="Times New Roman" w:hAnsi="Times New Roman"/>
                <w:sz w:val="20"/>
                <w:szCs w:val="20"/>
                <w:b w:val="1"/>
                <w:bCs w:val="1"/>
                <w:color w:val="auto"/>
                <w:w w:val="98"/>
              </w:rPr>
              <w:t>Holdings, Inc.</w:t>
            </w:r>
          </w:p>
        </w:tc>
        <w:tc>
          <w:tcPr>
            <w:tcW w:w="2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660" w:type="dxa"/>
            <w:vAlign w:val="bottom"/>
            <w:gridSpan w:val="2"/>
          </w:tcPr>
          <w:p>
            <w:pPr>
              <w:jc w:val="right"/>
              <w:ind w:right="22"/>
              <w:spacing w:after="0" w:line="196" w:lineRule="exact"/>
              <w:rPr>
                <w:sz w:val="20"/>
                <w:szCs w:val="20"/>
                <w:color w:val="auto"/>
              </w:rPr>
            </w:pPr>
            <w:r>
              <w:rPr>
                <w:rFonts w:ascii="Times New Roman" w:cs="Times New Roman" w:eastAsia="Times New Roman" w:hAnsi="Times New Roman"/>
                <w:sz w:val="20"/>
                <w:szCs w:val="20"/>
                <w:b w:val="1"/>
                <w:bCs w:val="1"/>
                <w:color w:val="auto"/>
              </w:rPr>
              <w:t>Small Cap Index</w:t>
            </w:r>
          </w:p>
        </w:tc>
        <w:tc>
          <w:tcPr>
            <w:tcW w:w="200" w:type="dxa"/>
            <w:vAlign w:val="bottom"/>
          </w:tcPr>
          <w:p>
            <w:pPr>
              <w:spacing w:after="0"/>
              <w:rPr>
                <w:sz w:val="17"/>
                <w:szCs w:val="17"/>
                <w:color w:val="auto"/>
              </w:rPr>
            </w:pPr>
          </w:p>
        </w:tc>
        <w:tc>
          <w:tcPr>
            <w:tcW w:w="1420" w:type="dxa"/>
            <w:vAlign w:val="bottom"/>
          </w:tcPr>
          <w:p>
            <w:pPr>
              <w:jc w:val="center"/>
              <w:ind w:right="62"/>
              <w:spacing w:after="0" w:line="196" w:lineRule="exact"/>
              <w:rPr>
                <w:sz w:val="20"/>
                <w:szCs w:val="20"/>
                <w:color w:val="auto"/>
              </w:rPr>
            </w:pPr>
            <w:r>
              <w:rPr>
                <w:rFonts w:ascii="Times New Roman" w:cs="Times New Roman" w:eastAsia="Times New Roman" w:hAnsi="Times New Roman"/>
                <w:sz w:val="20"/>
                <w:szCs w:val="20"/>
                <w:b w:val="1"/>
                <w:bCs w:val="1"/>
                <w:color w:val="auto"/>
                <w:w w:val="96"/>
              </w:rPr>
              <w:t>Mid Cap Index</w:t>
            </w:r>
          </w:p>
        </w:tc>
        <w:tc>
          <w:tcPr>
            <w:tcW w:w="0" w:type="dxa"/>
            <w:vAlign w:val="bottom"/>
          </w:tcPr>
          <w:p>
            <w:pPr>
              <w:spacing w:after="0"/>
              <w:rPr>
                <w:sz w:val="1"/>
                <w:szCs w:val="1"/>
                <w:color w:val="auto"/>
              </w:rPr>
            </w:pPr>
          </w:p>
        </w:tc>
      </w:tr>
      <w:tr>
        <w:trPr>
          <w:trHeight w:val="263"/>
        </w:trPr>
        <w:tc>
          <w:tcPr>
            <w:tcW w:w="108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Pr>
          <w:p>
            <w:pPr>
              <w:jc w:val="center"/>
              <w:ind w:right="82"/>
              <w:spacing w:after="0"/>
              <w:rPr>
                <w:sz w:val="20"/>
                <w:szCs w:val="20"/>
                <w:color w:val="auto"/>
              </w:rPr>
            </w:pPr>
            <w:r>
              <w:rPr>
                <w:rFonts w:ascii="Times New Roman" w:cs="Times New Roman" w:eastAsia="Times New Roman" w:hAnsi="Times New Roman"/>
                <w:sz w:val="20"/>
                <w:szCs w:val="20"/>
                <w:b w:val="1"/>
                <w:bCs w:val="1"/>
                <w:color w:val="auto"/>
                <w:w w:val="97"/>
              </w:rPr>
              <w:t>(“LNTH”)</w:t>
            </w:r>
          </w:p>
        </w:tc>
        <w:tc>
          <w:tcPr>
            <w:tcW w:w="164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b w:val="1"/>
                <w:bCs w:val="1"/>
                <w:color w:val="auto"/>
              </w:rPr>
              <w:t>Index (“^RUT”)</w:t>
            </w:r>
          </w:p>
        </w:tc>
        <w:tc>
          <w:tcPr>
            <w:tcW w:w="240" w:type="dxa"/>
            <w:vAlign w:val="bottom"/>
          </w:tcPr>
          <w:p>
            <w:pPr>
              <w:spacing w:after="0"/>
              <w:rPr>
                <w:sz w:val="22"/>
                <w:szCs w:val="22"/>
                <w:color w:val="auto"/>
              </w:rPr>
            </w:pPr>
          </w:p>
        </w:tc>
        <w:tc>
          <w:tcPr>
            <w:tcW w:w="1420" w:type="dxa"/>
            <w:vAlign w:val="bottom"/>
          </w:tcPr>
          <w:p>
            <w:pPr>
              <w:jc w:val="right"/>
              <w:ind w:right="162"/>
              <w:spacing w:after="0"/>
              <w:rPr>
                <w:sz w:val="20"/>
                <w:szCs w:val="20"/>
                <w:color w:val="auto"/>
              </w:rPr>
            </w:pPr>
            <w:r>
              <w:rPr>
                <w:rFonts w:ascii="Times New Roman" w:cs="Times New Roman" w:eastAsia="Times New Roman" w:hAnsi="Times New Roman"/>
                <w:sz w:val="20"/>
                <w:szCs w:val="20"/>
                <w:b w:val="1"/>
                <w:bCs w:val="1"/>
                <w:color w:val="auto"/>
              </w:rPr>
              <w:t>(“^NQUSS”)</w:t>
            </w:r>
          </w:p>
        </w:tc>
        <w:tc>
          <w:tcPr>
            <w:tcW w:w="200" w:type="dxa"/>
            <w:vAlign w:val="bottom"/>
          </w:tcPr>
          <w:p>
            <w:pPr>
              <w:spacing w:after="0"/>
              <w:rPr>
                <w:sz w:val="22"/>
                <w:szCs w:val="22"/>
                <w:color w:val="auto"/>
              </w:rPr>
            </w:pPr>
          </w:p>
        </w:tc>
        <w:tc>
          <w:tcPr>
            <w:tcW w:w="1420" w:type="dxa"/>
            <w:vAlign w:val="bottom"/>
          </w:tcPr>
          <w:p>
            <w:pPr>
              <w:jc w:val="center"/>
              <w:ind w:right="62"/>
              <w:spacing w:after="0"/>
              <w:rPr>
                <w:sz w:val="20"/>
                <w:szCs w:val="20"/>
                <w:color w:val="auto"/>
              </w:rPr>
            </w:pPr>
            <w:r>
              <w:rPr>
                <w:rFonts w:ascii="Times New Roman" w:cs="Times New Roman" w:eastAsia="Times New Roman" w:hAnsi="Times New Roman"/>
                <w:sz w:val="20"/>
                <w:szCs w:val="20"/>
                <w:b w:val="1"/>
                <w:bCs w:val="1"/>
                <w:color w:val="auto"/>
                <w:w w:val="98"/>
              </w:rPr>
              <w:t>(“^NQUSM”)</w:t>
            </w:r>
          </w:p>
        </w:tc>
        <w:tc>
          <w:tcPr>
            <w:tcW w:w="0" w:type="dxa"/>
            <w:vAlign w:val="bottom"/>
          </w:tcPr>
          <w:p>
            <w:pPr>
              <w:spacing w:after="0"/>
              <w:rPr>
                <w:sz w:val="1"/>
                <w:szCs w:val="1"/>
                <w:color w:val="auto"/>
              </w:rPr>
            </w:pPr>
          </w:p>
        </w:tc>
      </w:tr>
      <w:tr>
        <w:trPr>
          <w:trHeight w:val="254"/>
        </w:trPr>
        <w:tc>
          <w:tcPr>
            <w:tcW w:w="108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20"/>
                <w:szCs w:val="20"/>
                <w:color w:val="auto"/>
                <w:w w:val="98"/>
              </w:rPr>
              <w:t>12/31/19</w:t>
            </w:r>
          </w:p>
        </w:tc>
        <w:tc>
          <w:tcPr>
            <w:tcW w:w="3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shd w:val="clear" w:color="auto" w:fill="E9E9E9"/>
          </w:tcPr>
          <w:p>
            <w:pPr>
              <w:jc w:val="right"/>
              <w:ind w:right="2"/>
              <w:spacing w:after="0"/>
              <w:rPr>
                <w:sz w:val="20"/>
                <w:szCs w:val="20"/>
                <w:color w:val="auto"/>
              </w:rPr>
            </w:pPr>
            <w:r>
              <w:rPr>
                <w:rFonts w:ascii="Times New Roman" w:cs="Times New Roman" w:eastAsia="Times New Roman" w:hAnsi="Times New Roman"/>
                <w:sz w:val="20"/>
                <w:szCs w:val="20"/>
                <w:color w:val="auto"/>
              </w:rPr>
              <w:t>100.00</w:t>
            </w:r>
          </w:p>
        </w:tc>
        <w:tc>
          <w:tcPr>
            <w:tcW w:w="2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E9E9E9"/>
          </w:tcPr>
          <w:p>
            <w:pPr>
              <w:jc w:val="right"/>
              <w:ind w:right="2"/>
              <w:spacing w:after="0"/>
              <w:rPr>
                <w:sz w:val="20"/>
                <w:szCs w:val="20"/>
                <w:color w:val="auto"/>
              </w:rPr>
            </w:pPr>
            <w:r>
              <w:rPr>
                <w:rFonts w:ascii="Times New Roman" w:cs="Times New Roman" w:eastAsia="Times New Roman" w:hAnsi="Times New Roman"/>
                <w:sz w:val="20"/>
                <w:szCs w:val="20"/>
                <w:color w:val="auto"/>
              </w:rPr>
              <w:t>100.00</w:t>
            </w:r>
          </w:p>
        </w:tc>
        <w:tc>
          <w:tcPr>
            <w:tcW w:w="2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shd w:val="clear" w:color="auto" w:fill="E9E9E9"/>
          </w:tcPr>
          <w:p>
            <w:pPr>
              <w:jc w:val="right"/>
              <w:ind w:right="2"/>
              <w:spacing w:after="0"/>
              <w:rPr>
                <w:sz w:val="20"/>
                <w:szCs w:val="20"/>
                <w:color w:val="auto"/>
              </w:rPr>
            </w:pPr>
            <w:r>
              <w:rPr>
                <w:rFonts w:ascii="Times New Roman" w:cs="Times New Roman" w:eastAsia="Times New Roman" w:hAnsi="Times New Roman"/>
                <w:sz w:val="20"/>
                <w:szCs w:val="20"/>
                <w:color w:val="auto"/>
              </w:rPr>
              <w:t>100.00</w:t>
            </w:r>
          </w:p>
        </w:tc>
        <w:tc>
          <w:tcPr>
            <w:tcW w:w="2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0" w:type="dxa"/>
            <w:vAlign w:val="bottom"/>
          </w:tcPr>
          <w:p>
            <w:pPr>
              <w:spacing w:after="0"/>
              <w:rPr>
                <w:sz w:val="1"/>
                <w:szCs w:val="1"/>
                <w:color w:val="auto"/>
              </w:rPr>
            </w:pPr>
          </w:p>
        </w:tc>
      </w:tr>
      <w:tr>
        <w:trPr>
          <w:trHeight w:val="250"/>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12/31/20</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65.77</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118.36</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121.47</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114.72</w:t>
            </w:r>
          </w:p>
        </w:tc>
        <w:tc>
          <w:tcPr>
            <w:tcW w:w="0" w:type="dxa"/>
            <w:vAlign w:val="bottom"/>
          </w:tcPr>
          <w:p>
            <w:pPr>
              <w:spacing w:after="0"/>
              <w:rPr>
                <w:sz w:val="1"/>
                <w:szCs w:val="1"/>
                <w:color w:val="auto"/>
              </w:rPr>
            </w:pPr>
          </w:p>
        </w:tc>
      </w:tr>
      <w:tr>
        <w:trPr>
          <w:trHeight w:val="250"/>
        </w:trPr>
        <w:tc>
          <w:tcPr>
            <w:tcW w:w="108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20"/>
                <w:szCs w:val="20"/>
                <w:color w:val="auto"/>
                <w:w w:val="98"/>
              </w:rPr>
              <w:t>12/31/21</w:t>
            </w:r>
          </w:p>
        </w:tc>
        <w:tc>
          <w:tcPr>
            <w:tcW w:w="3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shd w:val="clear" w:color="auto" w:fill="E9E9E9"/>
          </w:tcPr>
          <w:p>
            <w:pPr>
              <w:jc w:val="right"/>
              <w:ind w:right="2"/>
              <w:spacing w:after="0"/>
              <w:rPr>
                <w:sz w:val="20"/>
                <w:szCs w:val="20"/>
                <w:color w:val="auto"/>
              </w:rPr>
            </w:pPr>
            <w:r>
              <w:rPr>
                <w:rFonts w:ascii="Times New Roman" w:cs="Times New Roman" w:eastAsia="Times New Roman" w:hAnsi="Times New Roman"/>
                <w:sz w:val="20"/>
                <w:szCs w:val="20"/>
                <w:color w:val="auto"/>
              </w:rPr>
              <w:t>140.86</w:t>
            </w:r>
          </w:p>
        </w:tc>
        <w:tc>
          <w:tcPr>
            <w:tcW w:w="2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E9E9E9"/>
          </w:tcPr>
          <w:p>
            <w:pPr>
              <w:jc w:val="right"/>
              <w:ind w:right="2"/>
              <w:spacing w:after="0"/>
              <w:rPr>
                <w:sz w:val="20"/>
                <w:szCs w:val="20"/>
                <w:color w:val="auto"/>
              </w:rPr>
            </w:pPr>
            <w:r>
              <w:rPr>
                <w:rFonts w:ascii="Times New Roman" w:cs="Times New Roman" w:eastAsia="Times New Roman" w:hAnsi="Times New Roman"/>
                <w:sz w:val="20"/>
                <w:szCs w:val="20"/>
                <w:color w:val="auto"/>
              </w:rPr>
              <w:t>134.57</w:t>
            </w:r>
          </w:p>
        </w:tc>
        <w:tc>
          <w:tcPr>
            <w:tcW w:w="2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shd w:val="clear" w:color="auto" w:fill="E9E9E9"/>
          </w:tcPr>
          <w:p>
            <w:pPr>
              <w:jc w:val="right"/>
              <w:ind w:right="2"/>
              <w:spacing w:after="0"/>
              <w:rPr>
                <w:sz w:val="20"/>
                <w:szCs w:val="20"/>
                <w:color w:val="auto"/>
              </w:rPr>
            </w:pPr>
            <w:r>
              <w:rPr>
                <w:rFonts w:ascii="Times New Roman" w:cs="Times New Roman" w:eastAsia="Times New Roman" w:hAnsi="Times New Roman"/>
                <w:sz w:val="20"/>
                <w:szCs w:val="20"/>
                <w:color w:val="auto"/>
              </w:rPr>
              <w:t>141.02</w:t>
            </w:r>
          </w:p>
        </w:tc>
        <w:tc>
          <w:tcPr>
            <w:tcW w:w="2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135.48</w:t>
            </w:r>
          </w:p>
        </w:tc>
        <w:tc>
          <w:tcPr>
            <w:tcW w:w="0" w:type="dxa"/>
            <w:vAlign w:val="bottom"/>
          </w:tcPr>
          <w:p>
            <w:pPr>
              <w:spacing w:after="0"/>
              <w:rPr>
                <w:sz w:val="1"/>
                <w:szCs w:val="1"/>
                <w:color w:val="auto"/>
              </w:rPr>
            </w:pPr>
          </w:p>
        </w:tc>
      </w:tr>
      <w:tr>
        <w:trPr>
          <w:trHeight w:val="250"/>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12/31/22</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248.46</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105.56</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109.85</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110.45</w:t>
            </w:r>
          </w:p>
        </w:tc>
        <w:tc>
          <w:tcPr>
            <w:tcW w:w="0" w:type="dxa"/>
            <w:vAlign w:val="bottom"/>
          </w:tcPr>
          <w:p>
            <w:pPr>
              <w:spacing w:after="0"/>
              <w:rPr>
                <w:sz w:val="1"/>
                <w:szCs w:val="1"/>
                <w:color w:val="auto"/>
              </w:rPr>
            </w:pPr>
          </w:p>
        </w:tc>
      </w:tr>
      <w:tr>
        <w:trPr>
          <w:trHeight w:val="250"/>
        </w:trPr>
        <w:tc>
          <w:tcPr>
            <w:tcW w:w="108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20"/>
                <w:szCs w:val="20"/>
                <w:color w:val="auto"/>
                <w:w w:val="98"/>
              </w:rPr>
              <w:t>12/31/23</w:t>
            </w:r>
          </w:p>
        </w:tc>
        <w:tc>
          <w:tcPr>
            <w:tcW w:w="3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shd w:val="clear" w:color="auto" w:fill="E9E9E9"/>
          </w:tcPr>
          <w:p>
            <w:pPr>
              <w:jc w:val="right"/>
              <w:ind w:right="2"/>
              <w:spacing w:after="0"/>
              <w:rPr>
                <w:sz w:val="20"/>
                <w:szCs w:val="20"/>
                <w:color w:val="auto"/>
              </w:rPr>
            </w:pPr>
            <w:r>
              <w:rPr>
                <w:rFonts w:ascii="Times New Roman" w:cs="Times New Roman" w:eastAsia="Times New Roman" w:hAnsi="Times New Roman"/>
                <w:sz w:val="20"/>
                <w:szCs w:val="20"/>
                <w:color w:val="auto"/>
              </w:rPr>
              <w:t>302.29</w:t>
            </w:r>
          </w:p>
        </w:tc>
        <w:tc>
          <w:tcPr>
            <w:tcW w:w="2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E9E9E9"/>
          </w:tcPr>
          <w:p>
            <w:pPr>
              <w:jc w:val="right"/>
              <w:ind w:right="2"/>
              <w:spacing w:after="0"/>
              <w:rPr>
                <w:sz w:val="20"/>
                <w:szCs w:val="20"/>
                <w:color w:val="auto"/>
              </w:rPr>
            </w:pPr>
            <w:r>
              <w:rPr>
                <w:rFonts w:ascii="Times New Roman" w:cs="Times New Roman" w:eastAsia="Times New Roman" w:hAnsi="Times New Roman"/>
                <w:sz w:val="20"/>
                <w:szCs w:val="20"/>
                <w:color w:val="auto"/>
              </w:rPr>
              <w:t>121.49</w:t>
            </w:r>
          </w:p>
        </w:tc>
        <w:tc>
          <w:tcPr>
            <w:tcW w:w="2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shd w:val="clear" w:color="auto" w:fill="E9E9E9"/>
          </w:tcPr>
          <w:p>
            <w:pPr>
              <w:jc w:val="right"/>
              <w:ind w:right="2"/>
              <w:spacing w:after="0"/>
              <w:rPr>
                <w:sz w:val="20"/>
                <w:szCs w:val="20"/>
                <w:color w:val="auto"/>
              </w:rPr>
            </w:pPr>
            <w:r>
              <w:rPr>
                <w:rFonts w:ascii="Times New Roman" w:cs="Times New Roman" w:eastAsia="Times New Roman" w:hAnsi="Times New Roman"/>
                <w:sz w:val="20"/>
                <w:szCs w:val="20"/>
                <w:color w:val="auto"/>
              </w:rPr>
              <w:t>127.34</w:t>
            </w:r>
          </w:p>
        </w:tc>
        <w:tc>
          <w:tcPr>
            <w:tcW w:w="2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128.72</w:t>
            </w:r>
          </w:p>
        </w:tc>
        <w:tc>
          <w:tcPr>
            <w:tcW w:w="0" w:type="dxa"/>
            <w:vAlign w:val="bottom"/>
          </w:tcPr>
          <w:p>
            <w:pPr>
              <w:spacing w:after="0"/>
              <w:rPr>
                <w:sz w:val="1"/>
                <w:szCs w:val="1"/>
                <w:color w:val="auto"/>
              </w:rPr>
            </w:pPr>
          </w:p>
        </w:tc>
      </w:tr>
      <w:tr>
        <w:trPr>
          <w:trHeight w:val="267"/>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12/31/24</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436.18</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133.66</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141.10</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5803265</wp:posOffset>
            </wp:positionH>
            <wp:positionV relativeFrom="paragraph">
              <wp:posOffset>-975360</wp:posOffset>
            </wp:positionV>
            <wp:extent cx="25400" cy="977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400" cy="97726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130"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20"/>
          <w:szCs w:val="20"/>
          <w:color w:val="auto"/>
        </w:rPr>
        <w:t xml:space="preserve">We did not declare or pay any dividends in 2024, and we do not currently intend to pay dividends in the foreseeable future. We currently expect to retain future earnings, if any, for the foreseeable future, to finance the growth and development of our business and to repay indebtedness. Our ability to pay dividends is restricted by our financing arrangements. See Part II, Item 7. </w:t>
      </w:r>
      <w:r>
        <w:rPr>
          <w:rFonts w:ascii="Times New Roman" w:cs="Times New Roman" w:eastAsia="Times New Roman" w:hAnsi="Times New Roman"/>
          <w:sz w:val="20"/>
          <w:szCs w:val="20"/>
          <w:i w:val="1"/>
          <w:iCs w:val="1"/>
          <w:color w:val="auto"/>
        </w:rPr>
        <w:t>“Management’s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Discussion and Analysis of Financial Condition and Results of Operations—Liquidity and Capital Resources—External Sources of Liquidity” </w:t>
      </w:r>
      <w:r>
        <w:rPr>
          <w:rFonts w:ascii="Times New Roman" w:cs="Times New Roman" w:eastAsia="Times New Roman" w:hAnsi="Times New Roman"/>
          <w:sz w:val="20"/>
          <w:szCs w:val="20"/>
          <w:color w:val="auto"/>
        </w:rPr>
        <w:t>of this Form 10-K for further information.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None.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130" w:lineRule="exact"/>
        <w:rPr>
          <w:sz w:val="20"/>
          <w:szCs w:val="20"/>
          <w:color w:val="auto"/>
        </w:rPr>
      </w:pPr>
    </w:p>
    <w:p>
      <w:pPr>
        <w:ind w:firstLine="441"/>
        <w:spacing w:after="0" w:line="249" w:lineRule="auto"/>
        <w:rPr>
          <w:sz w:val="20"/>
          <w:szCs w:val="20"/>
          <w:color w:val="auto"/>
        </w:rPr>
      </w:pPr>
      <w:r>
        <w:rPr>
          <w:rFonts w:ascii="Times New Roman" w:cs="Times New Roman" w:eastAsia="Times New Roman" w:hAnsi="Times New Roman"/>
          <w:sz w:val="20"/>
          <w:szCs w:val="20"/>
          <w:color w:val="auto"/>
        </w:rPr>
        <w:t>In November 2024, our Board authorized a program to repurchase up to $250 million of our common stock during the next twelve months (the “2024 Program”). Such repurchases may be made from time to time via open market purchases at prevailing market prices, in privately negotiated transactions, block trades, or pursuant to trades intending to comply with Rule 10b5-1 under the Securities Exchange Act of 1934, as amended or through other legally permissible means, depending on market conditions and in accordance with applicable rules and regulations. The actual timing, number and dollar amount of repurchase transactions will be determined by our management, in its discretion and will depend on a number of factors, including but not limited to, the market price of our common stock.</w:t>
      </w:r>
    </w:p>
    <w:p>
      <w:pPr>
        <w:spacing w:after="0" w:line="94" w:lineRule="exact"/>
        <w:rPr>
          <w:sz w:val="20"/>
          <w:szCs w:val="20"/>
          <w:color w:val="auto"/>
        </w:rPr>
      </w:pPr>
    </w:p>
    <w:p>
      <w:pPr>
        <w:ind w:right="120" w:firstLine="441"/>
        <w:spacing w:after="0" w:line="252" w:lineRule="auto"/>
        <w:rPr>
          <w:sz w:val="20"/>
          <w:szCs w:val="20"/>
          <w:color w:val="auto"/>
        </w:rPr>
      </w:pPr>
      <w:r>
        <w:rPr>
          <w:rFonts w:ascii="Times New Roman" w:cs="Times New Roman" w:eastAsia="Times New Roman" w:hAnsi="Times New Roman"/>
          <w:sz w:val="20"/>
          <w:szCs w:val="20"/>
          <w:color w:val="auto"/>
        </w:rPr>
        <w:t>The 2015 Equity Incentive Plan, adopted by us on June 24, 2015, as amended on April 26, 2016 and as further amended on April 27, 2017, April 24, 2019, April 28, 2021, April 28, 2022, April 25, 2024 and October 22, 2024 (the “2015 Plan”), provides for the withholding of shares to satisfy minimum statutory tax withholding obligations. It does not specify a maximum number of shares that can be withheld for this purpose. The shares of common stock withheld to satisfy minimum tax withholding obligations may be deemed to be “issuer purchases” of shares that are required to be disclosed pursuant to this Item 5.</w:t>
      </w:r>
    </w:p>
    <w:p>
      <w:pPr>
        <w:spacing w:after="0" w:line="86" w:lineRule="exact"/>
        <w:rPr>
          <w:sz w:val="20"/>
          <w:szCs w:val="20"/>
          <w:color w:val="auto"/>
        </w:rPr>
      </w:pPr>
    </w:p>
    <w:p>
      <w:pPr>
        <w:ind w:right="260" w:firstLine="441"/>
        <w:spacing w:after="0" w:line="271" w:lineRule="auto"/>
        <w:rPr>
          <w:sz w:val="20"/>
          <w:szCs w:val="20"/>
          <w:color w:val="auto"/>
        </w:rPr>
      </w:pPr>
      <w:r>
        <w:rPr>
          <w:rFonts w:ascii="Times New Roman" w:cs="Times New Roman" w:eastAsia="Times New Roman" w:hAnsi="Times New Roman"/>
          <w:sz w:val="20"/>
          <w:szCs w:val="20"/>
          <w:color w:val="auto"/>
        </w:rPr>
        <w:t>The following table presents information with respect to purchases of common stock we made during the three months ended December 31, 2024.</w:t>
      </w:r>
    </w:p>
    <w:p>
      <w:pPr>
        <w:spacing w:after="0" w:line="108"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Total Number of</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Total Number of</w:t>
            </w:r>
          </w:p>
        </w:tc>
        <w:tc>
          <w:tcPr>
            <w:tcW w:w="8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Approximate Dollar</w:t>
            </w:r>
          </w:p>
        </w:tc>
        <w:tc>
          <w:tcPr>
            <w:tcW w:w="0" w:type="dxa"/>
            <w:vAlign w:val="bottom"/>
          </w:tcPr>
          <w:p>
            <w:pPr>
              <w:spacing w:after="0"/>
              <w:rPr>
                <w:sz w:val="1"/>
                <w:szCs w:val="1"/>
                <w:color w:val="auto"/>
              </w:rPr>
            </w:pPr>
          </w:p>
        </w:tc>
      </w:tr>
      <w:tr>
        <w:trPr>
          <w:trHeight w:val="196"/>
        </w:trPr>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Average Price Paid</w:t>
            </w:r>
          </w:p>
        </w:tc>
        <w:tc>
          <w:tcPr>
            <w:tcW w:w="60" w:type="dxa"/>
            <w:vAlign w:val="bottom"/>
          </w:tcPr>
          <w:p>
            <w:pPr>
              <w:spacing w:after="0"/>
              <w:rPr>
                <w:sz w:val="17"/>
                <w:szCs w:val="17"/>
                <w:color w:val="auto"/>
              </w:rPr>
            </w:pPr>
          </w:p>
        </w:tc>
        <w:tc>
          <w:tcPr>
            <w:tcW w:w="2100" w:type="dxa"/>
            <w:vAlign w:val="bottom"/>
          </w:tcPr>
          <w:p>
            <w:pPr>
              <w:jc w:val="center"/>
              <w:spacing w:after="0" w:line="196" w:lineRule="exact"/>
              <w:rPr>
                <w:sz w:val="20"/>
                <w:szCs w:val="20"/>
                <w:color w:val="auto"/>
              </w:rPr>
            </w:pPr>
            <w:r>
              <w:rPr>
                <w:rFonts w:ascii="Times New Roman" w:cs="Times New Roman" w:eastAsia="Times New Roman" w:hAnsi="Times New Roman"/>
                <w:sz w:val="20"/>
                <w:szCs w:val="20"/>
                <w:b w:val="1"/>
                <w:bCs w:val="1"/>
                <w:color w:val="auto"/>
                <w:w w:val="97"/>
              </w:rPr>
              <w:t>Shares Purchased as</w:t>
            </w:r>
          </w:p>
        </w:tc>
        <w:tc>
          <w:tcPr>
            <w:tcW w:w="80" w:type="dxa"/>
            <w:vAlign w:val="bottom"/>
          </w:tcPr>
          <w:p>
            <w:pPr>
              <w:spacing w:after="0"/>
              <w:rPr>
                <w:sz w:val="17"/>
                <w:szCs w:val="17"/>
                <w:color w:val="auto"/>
              </w:rPr>
            </w:pPr>
          </w:p>
        </w:tc>
        <w:tc>
          <w:tcPr>
            <w:tcW w:w="2160" w:type="dxa"/>
            <w:vAlign w:val="bottom"/>
          </w:tcPr>
          <w:p>
            <w:pPr>
              <w:jc w:val="center"/>
              <w:spacing w:after="0" w:line="196" w:lineRule="exact"/>
              <w:rPr>
                <w:sz w:val="20"/>
                <w:szCs w:val="20"/>
                <w:color w:val="auto"/>
              </w:rPr>
            </w:pPr>
            <w:r>
              <w:rPr>
                <w:rFonts w:ascii="Times New Roman" w:cs="Times New Roman" w:eastAsia="Times New Roman" w:hAnsi="Times New Roman"/>
                <w:sz w:val="20"/>
                <w:szCs w:val="20"/>
                <w:b w:val="1"/>
                <w:bCs w:val="1"/>
                <w:color w:val="auto"/>
                <w:w w:val="97"/>
              </w:rPr>
              <w:t>Value of Shares that</w:t>
            </w:r>
          </w:p>
        </w:tc>
        <w:tc>
          <w:tcPr>
            <w:tcW w:w="0" w:type="dxa"/>
            <w:vAlign w:val="bottom"/>
          </w:tcPr>
          <w:p>
            <w:pPr>
              <w:spacing w:after="0"/>
              <w:rPr>
                <w:sz w:val="1"/>
                <w:szCs w:val="1"/>
                <w:color w:val="auto"/>
              </w:rPr>
            </w:pPr>
          </w:p>
        </w:tc>
      </w:tr>
      <w:tr>
        <w:trPr>
          <w:trHeight w:val="196"/>
        </w:trPr>
        <w:tc>
          <w:tcPr>
            <w:tcW w:w="1800" w:type="dxa"/>
            <w:vAlign w:val="bottom"/>
            <w:vMerge w:val="restart"/>
          </w:tcPr>
          <w:p>
            <w:pPr>
              <w:ind w:left="620"/>
              <w:spacing w:after="0"/>
              <w:rPr>
                <w:sz w:val="20"/>
                <w:szCs w:val="20"/>
                <w:color w:val="auto"/>
              </w:rPr>
            </w:pPr>
            <w:r>
              <w:rPr>
                <w:rFonts w:ascii="Times New Roman" w:cs="Times New Roman" w:eastAsia="Times New Roman" w:hAnsi="Times New Roman"/>
                <w:sz w:val="20"/>
                <w:szCs w:val="20"/>
                <w:b w:val="1"/>
                <w:bCs w:val="1"/>
                <w:color w:val="auto"/>
              </w:rPr>
              <w:t>Period</w:t>
            </w:r>
          </w:p>
        </w:tc>
        <w:tc>
          <w:tcPr>
            <w:tcW w:w="80" w:type="dxa"/>
            <w:vAlign w:val="bottom"/>
          </w:tcPr>
          <w:p>
            <w:pPr>
              <w:spacing w:after="0"/>
              <w:rPr>
                <w:sz w:val="17"/>
                <w:szCs w:val="17"/>
                <w:color w:val="auto"/>
              </w:rPr>
            </w:pPr>
          </w:p>
        </w:tc>
        <w:tc>
          <w:tcPr>
            <w:tcW w:w="1720" w:type="dxa"/>
            <w:vAlign w:val="bottom"/>
          </w:tcPr>
          <w:p>
            <w:pPr>
              <w:jc w:val="center"/>
              <w:spacing w:after="0" w:line="196" w:lineRule="exact"/>
              <w:rPr>
                <w:sz w:val="20"/>
                <w:szCs w:val="20"/>
                <w:color w:val="auto"/>
              </w:rPr>
            </w:pPr>
            <w:r>
              <w:rPr>
                <w:rFonts w:ascii="Times New Roman" w:cs="Times New Roman" w:eastAsia="Times New Roman" w:hAnsi="Times New Roman"/>
                <w:sz w:val="20"/>
                <w:szCs w:val="20"/>
                <w:b w:val="1"/>
                <w:bCs w:val="1"/>
                <w:color w:val="auto"/>
                <w:w w:val="96"/>
              </w:rPr>
              <w:t>Shares</w:t>
            </w:r>
          </w:p>
        </w:tc>
        <w:tc>
          <w:tcPr>
            <w:tcW w:w="80" w:type="dxa"/>
            <w:vAlign w:val="bottom"/>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100" w:type="dxa"/>
            <w:vAlign w:val="bottom"/>
          </w:tcPr>
          <w:p>
            <w:pPr>
              <w:jc w:val="center"/>
              <w:spacing w:after="0" w:line="196" w:lineRule="exact"/>
              <w:rPr>
                <w:sz w:val="20"/>
                <w:szCs w:val="20"/>
                <w:color w:val="auto"/>
              </w:rPr>
            </w:pPr>
            <w:r>
              <w:rPr>
                <w:rFonts w:ascii="Times New Roman" w:cs="Times New Roman" w:eastAsia="Times New Roman" w:hAnsi="Times New Roman"/>
                <w:sz w:val="20"/>
                <w:szCs w:val="20"/>
                <w:b w:val="1"/>
                <w:bCs w:val="1"/>
                <w:color w:val="auto"/>
                <w:w w:val="98"/>
              </w:rPr>
              <w:t>Part of Publicly</w:t>
            </w:r>
          </w:p>
        </w:tc>
        <w:tc>
          <w:tcPr>
            <w:tcW w:w="80" w:type="dxa"/>
            <w:vAlign w:val="bottom"/>
          </w:tcPr>
          <w:p>
            <w:pPr>
              <w:spacing w:after="0"/>
              <w:rPr>
                <w:sz w:val="17"/>
                <w:szCs w:val="17"/>
                <w:color w:val="auto"/>
              </w:rPr>
            </w:pPr>
          </w:p>
        </w:tc>
        <w:tc>
          <w:tcPr>
            <w:tcW w:w="2160" w:type="dxa"/>
            <w:vAlign w:val="bottom"/>
          </w:tcPr>
          <w:p>
            <w:pPr>
              <w:jc w:val="center"/>
              <w:spacing w:after="0" w:line="196" w:lineRule="exact"/>
              <w:rPr>
                <w:sz w:val="20"/>
                <w:szCs w:val="20"/>
                <w:color w:val="auto"/>
              </w:rPr>
            </w:pPr>
            <w:r>
              <w:rPr>
                <w:rFonts w:ascii="Times New Roman" w:cs="Times New Roman" w:eastAsia="Times New Roman" w:hAnsi="Times New Roman"/>
                <w:sz w:val="20"/>
                <w:szCs w:val="20"/>
                <w:b w:val="1"/>
                <w:bCs w:val="1"/>
                <w:color w:val="auto"/>
                <w:w w:val="97"/>
              </w:rPr>
              <w:t>May Yet Be Purchased</w:t>
            </w:r>
          </w:p>
        </w:tc>
        <w:tc>
          <w:tcPr>
            <w:tcW w:w="0" w:type="dxa"/>
            <w:vAlign w:val="bottom"/>
          </w:tcPr>
          <w:p>
            <w:pPr>
              <w:spacing w:after="0"/>
              <w:rPr>
                <w:sz w:val="1"/>
                <w:szCs w:val="1"/>
                <w:color w:val="auto"/>
              </w:rPr>
            </w:pPr>
          </w:p>
        </w:tc>
      </w:tr>
      <w:tr>
        <w:trPr>
          <w:trHeight w:val="258"/>
        </w:trPr>
        <w:tc>
          <w:tcPr>
            <w:tcW w:w="180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9E9E9"/>
            </w:tcBorders>
          </w:tcPr>
          <w:p>
            <w:pPr>
              <w:spacing w:after="0"/>
              <w:rPr>
                <w:sz w:val="22"/>
                <w:szCs w:val="22"/>
                <w:color w:val="auto"/>
              </w:rPr>
            </w:pPr>
          </w:p>
        </w:tc>
        <w:tc>
          <w:tcPr>
            <w:tcW w:w="1720" w:type="dxa"/>
            <w:vAlign w:val="bottom"/>
            <w:tcBorders>
              <w:bottom w:val="single" w:sz="8" w:color="auto"/>
            </w:tcBorders>
          </w:tcPr>
          <w:p>
            <w:pPr>
              <w:jc w:val="center"/>
              <w:spacing w:after="0" w:line="258" w:lineRule="exact"/>
              <w:rPr>
                <w:sz w:val="20"/>
                <w:szCs w:val="20"/>
                <w:color w:val="auto"/>
              </w:rPr>
            </w:pPr>
            <w:r>
              <w:rPr>
                <w:rFonts w:ascii="Times New Roman" w:cs="Times New Roman" w:eastAsia="Times New Roman" w:hAnsi="Times New Roman"/>
                <w:sz w:val="20"/>
                <w:szCs w:val="20"/>
                <w:b w:val="1"/>
                <w:bCs w:val="1"/>
                <w:color w:val="auto"/>
                <w:w w:val="94"/>
              </w:rPr>
              <w:t>Purchased</w:t>
            </w:r>
            <w:r>
              <w:rPr>
                <w:rFonts w:ascii="Times New Roman" w:cs="Times New Roman" w:eastAsia="Times New Roman" w:hAnsi="Times New Roman"/>
                <w:sz w:val="25"/>
                <w:szCs w:val="25"/>
                <w:b w:val="1"/>
                <w:bCs w:val="1"/>
                <w:color w:val="auto"/>
                <w:w w:val="94"/>
                <w:vertAlign w:val="superscript"/>
              </w:rPr>
              <w:t>(1)</w:t>
            </w:r>
          </w:p>
        </w:tc>
        <w:tc>
          <w:tcPr>
            <w:tcW w:w="80" w:type="dxa"/>
            <w:vAlign w:val="bottom"/>
            <w:tcBorders>
              <w:bottom w:val="single" w:sz="8" w:color="E9E9E9"/>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82"/>
              <w:spacing w:after="0" w:line="258" w:lineRule="exact"/>
              <w:rPr>
                <w:sz w:val="20"/>
                <w:szCs w:val="20"/>
                <w:color w:val="auto"/>
              </w:rPr>
            </w:pPr>
            <w:r>
              <w:rPr>
                <w:rFonts w:ascii="Times New Roman" w:cs="Times New Roman" w:eastAsia="Times New Roman" w:hAnsi="Times New Roman"/>
                <w:sz w:val="20"/>
                <w:szCs w:val="20"/>
                <w:b w:val="1"/>
                <w:bCs w:val="1"/>
                <w:color w:val="auto"/>
              </w:rPr>
              <w:t>per Share</w:t>
            </w:r>
            <w:r>
              <w:rPr>
                <w:rFonts w:ascii="Times New Roman" w:cs="Times New Roman" w:eastAsia="Times New Roman" w:hAnsi="Times New Roman"/>
                <w:sz w:val="25"/>
                <w:szCs w:val="25"/>
                <w:b w:val="1"/>
                <w:bCs w:val="1"/>
                <w:color w:val="auto"/>
                <w:vertAlign w:val="superscript"/>
              </w:rPr>
              <w:t>(1)</w:t>
            </w:r>
          </w:p>
        </w:tc>
        <w:tc>
          <w:tcPr>
            <w:tcW w:w="60" w:type="dxa"/>
            <w:vAlign w:val="bottom"/>
            <w:tcBorders>
              <w:bottom w:val="single" w:sz="8" w:color="E9E9E9"/>
            </w:tcBorders>
          </w:tcPr>
          <w:p>
            <w:pPr>
              <w:spacing w:after="0"/>
              <w:rPr>
                <w:sz w:val="22"/>
                <w:szCs w:val="22"/>
                <w:color w:val="auto"/>
              </w:rPr>
            </w:pPr>
          </w:p>
        </w:tc>
        <w:tc>
          <w:tcPr>
            <w:tcW w:w="2100" w:type="dxa"/>
            <w:vAlign w:val="bottom"/>
            <w:tcBorders>
              <w:bottom w:val="single" w:sz="8" w:color="auto"/>
            </w:tcBorders>
          </w:tcPr>
          <w:p>
            <w:pPr>
              <w:jc w:val="center"/>
              <w:spacing w:after="0" w:line="258" w:lineRule="exact"/>
              <w:rPr>
                <w:sz w:val="20"/>
                <w:szCs w:val="20"/>
                <w:color w:val="auto"/>
              </w:rPr>
            </w:pPr>
            <w:r>
              <w:rPr>
                <w:rFonts w:ascii="Times New Roman" w:cs="Times New Roman" w:eastAsia="Times New Roman" w:hAnsi="Times New Roman"/>
                <w:sz w:val="20"/>
                <w:szCs w:val="20"/>
                <w:b w:val="1"/>
                <w:bCs w:val="1"/>
                <w:color w:val="auto"/>
                <w:w w:val="95"/>
              </w:rPr>
              <w:t>Announced Programs</w:t>
            </w:r>
            <w:r>
              <w:rPr>
                <w:rFonts w:ascii="Times New Roman" w:cs="Times New Roman" w:eastAsia="Times New Roman" w:hAnsi="Times New Roman"/>
                <w:sz w:val="25"/>
                <w:szCs w:val="25"/>
                <w:b w:val="1"/>
                <w:bCs w:val="1"/>
                <w:color w:val="auto"/>
                <w:w w:val="95"/>
                <w:vertAlign w:val="superscript"/>
              </w:rPr>
              <w:t>(2)</w:t>
            </w:r>
          </w:p>
        </w:tc>
        <w:tc>
          <w:tcPr>
            <w:tcW w:w="80" w:type="dxa"/>
            <w:vAlign w:val="bottom"/>
            <w:tcBorders>
              <w:bottom w:val="single" w:sz="8" w:color="E9E9E9"/>
            </w:tcBorders>
          </w:tcPr>
          <w:p>
            <w:pPr>
              <w:spacing w:after="0"/>
              <w:rPr>
                <w:sz w:val="22"/>
                <w:szCs w:val="22"/>
                <w:color w:val="auto"/>
              </w:rPr>
            </w:pPr>
          </w:p>
        </w:tc>
        <w:tc>
          <w:tcPr>
            <w:tcW w:w="2160" w:type="dxa"/>
            <w:vAlign w:val="bottom"/>
            <w:tcBorders>
              <w:bottom w:val="single" w:sz="8" w:color="auto"/>
            </w:tcBorders>
          </w:tcPr>
          <w:p>
            <w:pPr>
              <w:jc w:val="center"/>
              <w:spacing w:after="0" w:line="258" w:lineRule="exact"/>
              <w:rPr>
                <w:sz w:val="20"/>
                <w:szCs w:val="20"/>
                <w:color w:val="auto"/>
              </w:rPr>
            </w:pPr>
            <w:r>
              <w:rPr>
                <w:rFonts w:ascii="Times New Roman" w:cs="Times New Roman" w:eastAsia="Times New Roman" w:hAnsi="Times New Roman"/>
                <w:sz w:val="20"/>
                <w:szCs w:val="20"/>
                <w:b w:val="1"/>
                <w:bCs w:val="1"/>
                <w:color w:val="auto"/>
                <w:w w:val="96"/>
              </w:rPr>
              <w:t>Under the Programs</w:t>
            </w:r>
            <w:r>
              <w:rPr>
                <w:rFonts w:ascii="Times New Roman" w:cs="Times New Roman" w:eastAsia="Times New Roman" w:hAnsi="Times New Roman"/>
                <w:sz w:val="25"/>
                <w:szCs w:val="25"/>
                <w:b w:val="1"/>
                <w:bCs w:val="1"/>
                <w:color w:val="auto"/>
                <w:w w:val="96"/>
                <w:vertAlign w:val="superscript"/>
              </w:rPr>
              <w:t>(3)</w:t>
            </w:r>
          </w:p>
        </w:tc>
        <w:tc>
          <w:tcPr>
            <w:tcW w:w="0" w:type="dxa"/>
            <w:vAlign w:val="bottom"/>
          </w:tcPr>
          <w:p>
            <w:pPr>
              <w:spacing w:after="0"/>
              <w:rPr>
                <w:sz w:val="1"/>
                <w:szCs w:val="1"/>
                <w:color w:val="auto"/>
              </w:rPr>
            </w:pPr>
          </w:p>
        </w:tc>
      </w:tr>
      <w:tr>
        <w:trPr>
          <w:trHeight w:val="240"/>
        </w:trPr>
        <w:tc>
          <w:tcPr>
            <w:tcW w:w="180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October 2024</w:t>
            </w:r>
          </w:p>
        </w:tc>
        <w:tc>
          <w:tcPr>
            <w:tcW w:w="80" w:type="dxa"/>
            <w:vAlign w:val="bottom"/>
            <w:shd w:val="clear" w:color="auto" w:fill="E9E9E9"/>
          </w:tcPr>
          <w:p>
            <w:pPr>
              <w:spacing w:after="0"/>
              <w:rPr>
                <w:sz w:val="20"/>
                <w:szCs w:val="20"/>
                <w:color w:val="auto"/>
              </w:rPr>
            </w:pPr>
          </w:p>
        </w:tc>
        <w:tc>
          <w:tcPr>
            <w:tcW w:w="17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4,214</w:t>
            </w:r>
          </w:p>
        </w:tc>
        <w:tc>
          <w:tcPr>
            <w:tcW w:w="80" w:type="dxa"/>
            <w:vAlign w:val="bottom"/>
            <w:shd w:val="clear" w:color="auto" w:fill="E9E9E9"/>
          </w:tcPr>
          <w:p>
            <w:pPr>
              <w:spacing w:after="0"/>
              <w:rPr>
                <w:sz w:val="20"/>
                <w:szCs w:val="20"/>
                <w:color w:val="auto"/>
              </w:rPr>
            </w:pPr>
          </w:p>
        </w:tc>
        <w:tc>
          <w:tcPr>
            <w:tcW w:w="26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113.55</w:t>
            </w:r>
          </w:p>
        </w:tc>
        <w:tc>
          <w:tcPr>
            <w:tcW w:w="60" w:type="dxa"/>
            <w:vAlign w:val="bottom"/>
            <w:shd w:val="clear" w:color="auto" w:fill="E9E9E9"/>
          </w:tcPr>
          <w:p>
            <w:pPr>
              <w:spacing w:after="0"/>
              <w:rPr>
                <w:sz w:val="20"/>
                <w:szCs w:val="20"/>
                <w:color w:val="auto"/>
              </w:rPr>
            </w:pPr>
          </w:p>
        </w:tc>
        <w:tc>
          <w:tcPr>
            <w:tcW w:w="21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9E9E9"/>
          </w:tcPr>
          <w:p>
            <w:pPr>
              <w:spacing w:after="0"/>
              <w:rPr>
                <w:sz w:val="20"/>
                <w:szCs w:val="20"/>
                <w:color w:val="auto"/>
              </w:rPr>
            </w:pPr>
          </w:p>
        </w:tc>
        <w:tc>
          <w:tcPr>
            <w:tcW w:w="2160" w:type="dxa"/>
            <w:vAlign w:val="bottom"/>
            <w:shd w:val="clear" w:color="auto" w:fill="E9E9E9"/>
          </w:tcPr>
          <w:p>
            <w:pPr>
              <w:ind w:left="18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1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November 2024</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909,932</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89.48</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907,279</w:t>
            </w:r>
          </w:p>
        </w:tc>
        <w:tc>
          <w:tcPr>
            <w:tcW w:w="8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$168.8 million</w:t>
            </w:r>
          </w:p>
        </w:tc>
        <w:tc>
          <w:tcPr>
            <w:tcW w:w="0" w:type="dxa"/>
            <w:vAlign w:val="bottom"/>
          </w:tcPr>
          <w:p>
            <w:pPr>
              <w:spacing w:after="0"/>
              <w:rPr>
                <w:sz w:val="1"/>
                <w:szCs w:val="1"/>
                <w:color w:val="auto"/>
              </w:rPr>
            </w:pPr>
          </w:p>
        </w:tc>
      </w:tr>
      <w:tr>
        <w:trPr>
          <w:trHeight w:val="240"/>
        </w:trPr>
        <w:tc>
          <w:tcPr>
            <w:tcW w:w="1800" w:type="dxa"/>
            <w:vAlign w:val="bottom"/>
            <w:tcBorders>
              <w:bottom w:val="single" w:sz="8" w:color="E9E9E9"/>
            </w:tcBorders>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December 2024</w:t>
            </w:r>
          </w:p>
        </w:tc>
        <w:tc>
          <w:tcPr>
            <w:tcW w:w="80" w:type="dxa"/>
            <w:vAlign w:val="bottom"/>
            <w:tcBorders>
              <w:bottom w:val="single" w:sz="8" w:color="E9E9E9"/>
            </w:tcBorders>
            <w:shd w:val="clear" w:color="auto" w:fill="E9E9E9"/>
          </w:tcPr>
          <w:p>
            <w:pPr>
              <w:spacing w:after="0"/>
              <w:rPr>
                <w:sz w:val="20"/>
                <w:szCs w:val="20"/>
                <w:color w:val="auto"/>
              </w:rPr>
            </w:pPr>
          </w:p>
        </w:tc>
        <w:tc>
          <w:tcPr>
            <w:tcW w:w="172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210,837</w:t>
            </w:r>
          </w:p>
        </w:tc>
        <w:tc>
          <w:tcPr>
            <w:tcW w:w="340" w:type="dxa"/>
            <w:vAlign w:val="bottom"/>
            <w:tcBorders>
              <w:bottom w:val="single" w:sz="8" w:color="E9E9E9"/>
            </w:tcBorders>
            <w:gridSpan w:val="2"/>
            <w:shd w:val="clear" w:color="auto" w:fill="E9E9E9"/>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Borders>
              <w:bottom w:val="single" w:sz="8" w:color="E9E9E9"/>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89.92</w:t>
            </w:r>
          </w:p>
        </w:tc>
        <w:tc>
          <w:tcPr>
            <w:tcW w:w="60" w:type="dxa"/>
            <w:vAlign w:val="bottom"/>
            <w:tcBorders>
              <w:bottom w:val="single" w:sz="8" w:color="E9E9E9"/>
            </w:tcBorders>
            <w:shd w:val="clear" w:color="auto" w:fill="E9E9E9"/>
          </w:tcPr>
          <w:p>
            <w:pPr>
              <w:spacing w:after="0"/>
              <w:rPr>
                <w:sz w:val="20"/>
                <w:szCs w:val="20"/>
                <w:color w:val="auto"/>
              </w:rPr>
            </w:pPr>
          </w:p>
        </w:tc>
        <w:tc>
          <w:tcPr>
            <w:tcW w:w="210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208,729</w:t>
            </w:r>
          </w:p>
        </w:tc>
        <w:tc>
          <w:tcPr>
            <w:tcW w:w="80" w:type="dxa"/>
            <w:vAlign w:val="bottom"/>
            <w:tcBorders>
              <w:bottom w:val="single" w:sz="8" w:color="E9E9E9"/>
            </w:tcBorders>
            <w:shd w:val="clear" w:color="auto" w:fill="E9E9E9"/>
          </w:tcPr>
          <w:p>
            <w:pPr>
              <w:spacing w:after="0"/>
              <w:rPr>
                <w:sz w:val="20"/>
                <w:szCs w:val="20"/>
                <w:color w:val="auto"/>
              </w:rPr>
            </w:pPr>
          </w:p>
        </w:tc>
        <w:tc>
          <w:tcPr>
            <w:tcW w:w="2160" w:type="dxa"/>
            <w:vAlign w:val="bottom"/>
            <w:tcBorders>
              <w:bottom w:val="single" w:sz="8" w:color="E9E9E9"/>
            </w:tcBorders>
            <w:shd w:val="clear" w:color="auto" w:fill="E9E9E9"/>
          </w:tcPr>
          <w:p>
            <w:pPr>
              <w:jc w:val="center"/>
              <w:spacing w:after="0"/>
              <w:rPr>
                <w:sz w:val="20"/>
                <w:szCs w:val="20"/>
                <w:color w:val="auto"/>
              </w:rPr>
            </w:pPr>
            <w:r>
              <w:rPr>
                <w:rFonts w:ascii="Times New Roman" w:cs="Times New Roman" w:eastAsia="Times New Roman" w:hAnsi="Times New Roman"/>
                <w:sz w:val="20"/>
                <w:szCs w:val="20"/>
                <w:color w:val="auto"/>
                <w:w w:val="98"/>
              </w:rPr>
              <w:t>$150.0 million</w:t>
            </w:r>
          </w:p>
        </w:tc>
        <w:tc>
          <w:tcPr>
            <w:tcW w:w="0" w:type="dxa"/>
            <w:vAlign w:val="bottom"/>
          </w:tcPr>
          <w:p>
            <w:pPr>
              <w:spacing w:after="0"/>
              <w:rPr>
                <w:sz w:val="1"/>
                <w:szCs w:val="1"/>
                <w:color w:val="auto"/>
              </w:rPr>
            </w:pPr>
          </w:p>
        </w:tc>
      </w:tr>
      <w:tr>
        <w:trPr>
          <w:trHeight w:val="254"/>
        </w:trPr>
        <w:tc>
          <w:tcPr>
            <w:tcW w:w="1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1,124,983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1,116,008</w:t>
            </w:r>
          </w:p>
        </w:tc>
        <w:tc>
          <w:tcPr>
            <w:tcW w:w="8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$150.0 million</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6465570</wp:posOffset>
            </wp:positionH>
            <wp:positionV relativeFrom="paragraph">
              <wp:posOffset>-693420</wp:posOffset>
            </wp:positionV>
            <wp:extent cx="25400" cy="688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400" cy="688340"/>
                    </a:xfrm>
                    <a:prstGeom prst="rect">
                      <a:avLst/>
                    </a:prstGeom>
                    <a:noFill/>
                  </pic:spPr>
                </pic:pic>
              </a:graphicData>
            </a:graphic>
          </wp:anchor>
        </w:drawing>
        <w:drawing>
          <wp:anchor simplePos="0" relativeHeight="251657728" behindDoc="1" locked="0" layoutInCell="0" allowOverlap="1">
            <wp:simplePos x="0" y="0"/>
            <wp:positionH relativeFrom="column">
              <wp:posOffset>1434465</wp:posOffset>
            </wp:positionH>
            <wp:positionV relativeFrom="paragraph">
              <wp:posOffset>-43180</wp:posOffset>
            </wp:positionV>
            <wp:extent cx="1117600" cy="501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7600" cy="5016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-43180</wp:posOffset>
            </wp:positionV>
            <wp:extent cx="1360170" cy="501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60170" cy="50165"/>
                    </a:xfrm>
                    <a:prstGeom prst="rect">
                      <a:avLst/>
                    </a:prstGeom>
                    <a:noFill/>
                  </pic:spPr>
                </pic:pic>
              </a:graphicData>
            </a:graphic>
          </wp:anchor>
        </w:drawing>
      </w:r>
    </w:p>
    <w:p>
      <w:pPr>
        <w:ind w:left="720"/>
        <w:spacing w:after="0"/>
        <w:rPr>
          <w:sz w:val="20"/>
          <w:szCs w:val="20"/>
          <w:color w:val="auto"/>
        </w:rPr>
      </w:pPr>
      <w:r>
        <w:rPr>
          <w:rFonts w:ascii="Times New Roman" w:cs="Times New Roman" w:eastAsia="Times New Roman" w:hAnsi="Times New Roman"/>
          <w:sz w:val="20"/>
          <w:szCs w:val="20"/>
          <w:color w:val="auto"/>
        </w:rPr>
        <w:t>________________________________</w:t>
      </w:r>
    </w:p>
    <w:p>
      <w:pPr>
        <w:spacing w:after="0" w:line="5" w:lineRule="exact"/>
        <w:rPr>
          <w:sz w:val="20"/>
          <w:szCs w:val="20"/>
          <w:color w:val="auto"/>
        </w:rPr>
      </w:pPr>
    </w:p>
    <w:p>
      <w:pPr>
        <w:ind w:left="1240" w:right="340" w:hanging="526"/>
        <w:spacing w:after="0" w:line="245" w:lineRule="auto"/>
        <w:tabs>
          <w:tab w:leader="none" w:pos="12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shares withheld to satisfy minimum statutory tax withholding amounts due from employees related to the receipt of stock which resulted from the exercise for vesting of equity awards.</w:t>
      </w:r>
    </w:p>
    <w:p>
      <w:pPr>
        <w:ind w:left="1240" w:right="220" w:hanging="526"/>
        <w:spacing w:after="0" w:line="245" w:lineRule="auto"/>
        <w:tabs>
          <w:tab w:leader="none" w:pos="12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 the repurchases of an aggregate total approximately 1.1 million shares of our common stock under the 2024 Program.</w:t>
      </w:r>
    </w:p>
    <w:p>
      <w:pPr>
        <w:ind w:left="1240" w:right="80" w:hanging="526"/>
        <w:spacing w:after="0" w:line="271" w:lineRule="auto"/>
        <w:tabs>
          <w:tab w:leader="none" w:pos="12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Reflects the approximate dollar value of shares of our common stock that may be purchased under the 2024 Program, which expires in November 2025.</w:t>
      </w:r>
    </w:p>
    <w:p>
      <w:pPr>
        <w:sectPr>
          <w:pgSz w:w="11880" w:h="15480" w:orient="portrait"/>
          <w:cols w:equalWidth="0" w:num="1">
            <w:col w:w="10540"/>
          </w:cols>
          <w:pgMar w:left="640" w:top="615" w:right="700" w:bottom="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56</w:t>
      </w:r>
    </w:p>
    <w:p>
      <w:pPr>
        <w:sectPr>
          <w:pgSz w:w="11880" w:h="15480" w:orient="portrait"/>
          <w:cols w:equalWidth="0" w:num="1">
            <w:col w:w="10540"/>
          </w:cols>
          <w:pgMar w:left="640" w:top="615" w:right="700" w:bottom="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Compensations Plans</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The information required with respect to this item is incorporated herein by reference to our Definitive Proxy Statement for our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2024 Annual Meeting of Stockholders to be filed with the SEC no later than 120 days after the close of our year ended December 31,</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2024.</w:t>
      </w:r>
    </w:p>
    <w:p>
      <w:pPr>
        <w:sectPr>
          <w:pgSz w:w="11880" w:h="15480" w:orient="portrait"/>
          <w:cols w:equalWidth="0" w:num="1">
            <w:col w:w="10440"/>
          </w:cols>
          <w:pgMar w:left="640" w:top="615"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57</w:t>
      </w:r>
    </w:p>
    <w:p>
      <w:pPr>
        <w:sectPr>
          <w:pgSz w:w="11880" w:h="15480" w:orient="portrait"/>
          <w:cols w:equalWidth="0" w:num="1">
            <w:col w:w="10440"/>
          </w:cols>
          <w:pgMar w:left="640" w:top="615" w:right="800" w:bottom="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9"/>
          <w:szCs w:val="19"/>
          <w:b w:val="1"/>
          <w:bCs w:val="1"/>
          <w:color w:val="auto"/>
        </w:rPr>
        <w:t>Item 6. [Reserved]</w:t>
      </w:r>
    </w:p>
    <w:p>
      <w:pPr>
        <w:sectPr>
          <w:pgSz w:w="12600" w:h="16200" w:orient="portrait"/>
          <w:cols w:equalWidth="0" w:num="1">
            <w:col w:w="10160"/>
          </w:cols>
          <w:pgMar w:left="1000" w:top="975" w:right="1440" w:bottom="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58</w:t>
      </w:r>
    </w:p>
    <w:p>
      <w:pPr>
        <w:sectPr>
          <w:pgSz w:w="12600" w:h="16200" w:orient="portrait"/>
          <w:cols w:equalWidth="0" w:num="1">
            <w:col w:w="10160"/>
          </w:cols>
          <w:pgMar w:left="1000" w:top="975" w:right="1440" w:bottom="48"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27" w:lineRule="exact"/>
        <w:rPr>
          <w:sz w:val="20"/>
          <w:szCs w:val="20"/>
          <w:color w:val="auto"/>
        </w:rPr>
      </w:pPr>
    </w:p>
    <w:p>
      <w:pPr>
        <w:ind w:right="160" w:firstLine="441"/>
        <w:spacing w:after="0" w:line="251" w:lineRule="auto"/>
        <w:rPr>
          <w:sz w:val="20"/>
          <w:szCs w:val="20"/>
          <w:color w:val="auto"/>
        </w:rPr>
      </w:pPr>
      <w:r>
        <w:rPr>
          <w:rFonts w:ascii="Times New Roman" w:cs="Times New Roman" w:eastAsia="Times New Roman" w:hAnsi="Times New Roman"/>
          <w:sz w:val="20"/>
          <w:szCs w:val="20"/>
          <w:i w:val="1"/>
          <w:iCs w:val="1"/>
          <w:color w:val="auto"/>
        </w:rPr>
        <w:t>The following discussion and analysis of our financial condition and results of operations should be read together with the consolidated financial statements and the related notes included in Item 8 of this Annual Report on Form 10-K (“Form 10-K”). This discussion contains forward-looking statements related to future events and our future financial performance that are based on current expectations and subject to risks and uncertainties. Our actual results may differ materially from those anticipated in these forward-looking statements as a result of many factors, including those set forth in Part I, Item 1A. “Risk Factors” and “Cautionary Note Regarding Forward Looking Statements.” included in this Form 10-K.</w:t>
      </w:r>
    </w:p>
    <w:p>
      <w:pPr>
        <w:spacing w:after="0" w:line="86"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20"/>
          <w:szCs w:val="20"/>
          <w:i w:val="1"/>
          <w:iCs w:val="1"/>
          <w:color w:val="auto"/>
        </w:rPr>
        <w:t>This section discusses 2024 and 2023 items and year-to-year comparisons between 2024 and 2023. Discussions of 2022 items and year-to-year comparisons between 2023 and 2022 have been excluded from this Form 10-K and can be found in “Part II, Item 7. Management’s Discussion and Analysis of Financial Condition and Results of Operations” of our Form 10-K for the fiscal year ended December 31, 2023, filed with the SEC on February 22,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Business</w:t>
      </w:r>
    </w:p>
    <w:p>
      <w:pPr>
        <w:spacing w:after="0" w:line="131" w:lineRule="exact"/>
        <w:rPr>
          <w:sz w:val="20"/>
          <w:szCs w:val="20"/>
          <w:color w:val="auto"/>
        </w:rPr>
      </w:pPr>
    </w:p>
    <w:p>
      <w:pPr>
        <w:ind w:right="120" w:firstLine="441"/>
        <w:spacing w:after="0" w:line="266" w:lineRule="auto"/>
        <w:rPr>
          <w:sz w:val="20"/>
          <w:szCs w:val="20"/>
          <w:color w:val="auto"/>
        </w:rPr>
      </w:pPr>
      <w:r>
        <w:rPr>
          <w:rFonts w:ascii="Times New Roman" w:cs="Times New Roman" w:eastAsia="Times New Roman" w:hAnsi="Times New Roman"/>
          <w:sz w:val="19"/>
          <w:szCs w:val="19"/>
          <w:color w:val="auto"/>
        </w:rPr>
        <w:t>We are the leading radiopharmaceutical-focused company, delivering life-changing science to enable clinicians to Find, Fight and Follow disease to deliver better patient outcomes. We classify our products in three categories: Radiopharmaceutical Oncology, Precision Diagnostics, and Strategic Partnerships and Other Revenue. Our leading Radiopharmaceutical Oncology products help healthcare professionals (“HCPs”) Find, Fight and Follow cancer. Our leading Precision Diagnostic products assist HCPs to Find and Follow diseases, with a focus in cardiology. Our Strategic Partnerships include biomarkers and digital solutions in support of our partners’ therapeutic development, out-licensing agreements for non-core assets and optimization of our assets geographically.</w:t>
      </w:r>
    </w:p>
    <w:p>
      <w:pPr>
        <w:spacing w:after="0" w:line="194" w:lineRule="exact"/>
        <w:rPr>
          <w:sz w:val="20"/>
          <w:szCs w:val="20"/>
          <w:color w:val="auto"/>
        </w:rPr>
      </w:pPr>
    </w:p>
    <w:p>
      <w:pPr>
        <w:ind w:right="360" w:firstLine="441"/>
        <w:spacing w:after="0" w:line="254" w:lineRule="auto"/>
        <w:rPr>
          <w:sz w:val="20"/>
          <w:szCs w:val="20"/>
          <w:color w:val="auto"/>
        </w:rPr>
      </w:pPr>
      <w:r>
        <w:rPr>
          <w:rFonts w:ascii="Times New Roman" w:cs="Times New Roman" w:eastAsia="Times New Roman" w:hAnsi="Times New Roman"/>
          <w:sz w:val="20"/>
          <w:szCs w:val="20"/>
          <w:color w:val="auto"/>
        </w:rPr>
        <w:t>Our commercial products are used by cardiologists, internal medicine physicians, nuclear medicine physicians, oncologists, radiologists, sonographers, technologists, and urologists working in a variety of clinical settings. We believe that our diagnostic products provide information that enables HCPs to better detect and characterize, or rule out, disease, with the potential to achieve better patient outcomes, reduce patient risk and limit overall costs.</w:t>
      </w:r>
    </w:p>
    <w:p>
      <w:pPr>
        <w:spacing w:after="0" w:line="202"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20"/>
          <w:szCs w:val="20"/>
          <w:color w:val="auto"/>
        </w:rPr>
        <w:t>We produce and market our products throughout the United States (the “United States” or “U.S.”), selling primarily to hospitals, independent diagnostic testing facilities, and radiopharmacies. We sell our products outside the U.S. through a combination of direct distribution in Canada and third party distribution relationships in Europe, Canada, Australia, Asia-Pacific, Central America and South America.</w:t>
      </w:r>
    </w:p>
    <w:p>
      <w:pPr>
        <w:spacing w:after="0" w:line="202" w:lineRule="exact"/>
        <w:rPr>
          <w:sz w:val="20"/>
          <w:szCs w:val="20"/>
          <w:color w:val="auto"/>
        </w:rPr>
      </w:pPr>
    </w:p>
    <w:p>
      <w:pPr>
        <w:ind w:right="40" w:firstLine="441"/>
        <w:spacing w:after="0" w:line="271" w:lineRule="auto"/>
        <w:rPr>
          <w:sz w:val="20"/>
          <w:szCs w:val="20"/>
          <w:color w:val="auto"/>
        </w:rPr>
      </w:pPr>
      <w:r>
        <w:rPr>
          <w:rFonts w:ascii="Times New Roman" w:cs="Times New Roman" w:eastAsia="Times New Roman" w:hAnsi="Times New Roman"/>
          <w:sz w:val="20"/>
          <w:szCs w:val="20"/>
          <w:color w:val="auto"/>
        </w:rPr>
        <w:t>Our executive offices are located in Bedford, Massachusetts, with additional offices in North Billerica, Massachusetts; Montreal, Canada; and Lund, Sweden.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130"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20"/>
          <w:szCs w:val="20"/>
          <w:color w:val="auto"/>
        </w:rPr>
        <w:t>During 2024, we executed on our strategy to evolve into a fully integrated radiopharmaceutical company, supported by our increasingly diversified portfolio and our targeted initiatives to expand our pipeline, commercial, development and manufacturing capabilities. Over the course of the year and into 2025, we announced multiple strategic transactions, which furthered our goal to focus on new high growth markets and expand and diversify our capabilities and development pipeline with complementary assets. A brief description of these transactions is summarized below.</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Pending Acquisition of Life Molecular Imaging</w:t>
      </w:r>
    </w:p>
    <w:p>
      <w:pPr>
        <w:spacing w:after="0" w:line="131" w:lineRule="exact"/>
        <w:rPr>
          <w:sz w:val="20"/>
          <w:szCs w:val="20"/>
          <w:color w:val="auto"/>
        </w:rPr>
      </w:pPr>
    </w:p>
    <w:p>
      <w:pPr>
        <w:jc w:val="both"/>
        <w:ind w:right="180" w:firstLine="441"/>
        <w:spacing w:after="0" w:line="252" w:lineRule="auto"/>
        <w:rPr>
          <w:sz w:val="20"/>
          <w:szCs w:val="20"/>
          <w:color w:val="auto"/>
        </w:rPr>
      </w:pPr>
      <w:r>
        <w:rPr>
          <w:rFonts w:ascii="Times New Roman" w:cs="Times New Roman" w:eastAsia="Times New Roman" w:hAnsi="Times New Roman"/>
          <w:sz w:val="20"/>
          <w:szCs w:val="20"/>
          <w:color w:val="auto"/>
        </w:rPr>
        <w:t>On January 13, 2025, we announced that we entered into a definitive agreement to acquire Life Molecular Imaging Ltd. (“Life Molecular”). Life Molecular is based in Berlin, Germany and is dedicated to advancing novel PET radiopharmaceutical diagnostics. The definitive agreement provides for an upfront payment of $350.0 million and up to an additional $400.0 million in potential earn-out and milestone payments. The transaction is expected to close in the second half of 2025, subject to the satisfaction of customary regulatory and closing conditions.</w:t>
      </w:r>
    </w:p>
    <w:p>
      <w:pPr>
        <w:spacing w:after="0" w:line="86" w:lineRule="exact"/>
        <w:rPr>
          <w:sz w:val="20"/>
          <w:szCs w:val="20"/>
          <w:color w:val="auto"/>
        </w:rPr>
      </w:pPr>
    </w:p>
    <w:p>
      <w:pPr>
        <w:ind w:right="80" w:firstLine="441"/>
        <w:spacing w:after="0" w:line="248" w:lineRule="auto"/>
        <w:rPr>
          <w:sz w:val="20"/>
          <w:szCs w:val="20"/>
          <w:color w:val="auto"/>
        </w:rPr>
      </w:pPr>
      <w:r>
        <w:rPr>
          <w:rFonts w:ascii="Times New Roman" w:cs="Times New Roman" w:eastAsia="Times New Roman" w:hAnsi="Times New Roman"/>
          <w:sz w:val="20"/>
          <w:szCs w:val="20"/>
          <w:color w:val="auto"/>
        </w:rPr>
        <w:t>Previously, on July 3, 2024,we acquired from Life Molecular the global rights to its clinical stage RM2, a gastrin-releasing peptide receptor (“GRPR”)-targeting agent, including the associated novel, clinical-stage radiotherapeutic and radiodiagnostic pair, previously referred to as 177Lu-DOTA-RM2 and 68Ga-DOTA-RM2 (and which we now refer to as LNTH-2402 and LNTH-2401, respectively), for an upfront payment of $35.0 million plus a $1.0 million payment made prior to the acquisition, and potential regulatory milestone payments plus royalties (the “RM2 Asset Purchase”). GRPR is a member of the bombesin G protein-coupled receptor family, which has been found to be overexpressed in multiple cancers, including prostate, breast and lung. First-in-human dosimetry showed a favorable safety and dosimetry profile and confirmed preclinical data demonstrating dose-dependent efficacy of LNTH-2402. We intend to begin a Phase 1/2a study with LNTH-2402 in prostate cancer patients in 2025. We expect LNTH-2401 could be used as a companion diagnostic, and that together, LNTH-2401 and LNTH-2402 could potentially allow us to enter into new disease areas.</w:t>
      </w:r>
    </w:p>
    <w:p>
      <w:pPr>
        <w:sectPr>
          <w:pgSz w:w="11880" w:h="15480" w:orient="portrait"/>
          <w:cols w:equalWidth="0" w:num="1">
            <w:col w:w="10580"/>
          </w:cols>
          <w:pgMar w:left="640" w:top="615" w:right="660" w:bottom="0" w:gutter="0" w:footer="0" w:header="0"/>
        </w:sect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59</w:t>
      </w:r>
    </w:p>
    <w:p>
      <w:pPr>
        <w:sectPr>
          <w:pgSz w:w="11880" w:h="15480" w:orient="portrait"/>
          <w:cols w:equalWidth="0" w:num="1">
            <w:col w:w="10580"/>
          </w:cols>
          <w:pgMar w:left="640" w:top="615" w:right="660" w:bottom="0" w:gutter="0" w:footer="0" w:header="0"/>
          <w:type w:val="continuous"/>
        </w:sectPr>
      </w:pPr>
    </w:p>
    <w:bookmarkStart w:id="65" w:name="page66"/>
    <w:bookmarkEnd w:id="65"/>
    <w:p>
      <w:pPr>
        <w:ind w:right="260" w:firstLine="441"/>
        <w:spacing w:after="0" w:line="302" w:lineRule="auto"/>
        <w:rPr>
          <w:sz w:val="20"/>
          <w:szCs w:val="20"/>
          <w:color w:val="auto"/>
        </w:rPr>
      </w:pPr>
      <w:r>
        <w:rPr>
          <w:rFonts w:ascii="Times New Roman" w:cs="Times New Roman" w:eastAsia="Times New Roman" w:hAnsi="Times New Roman"/>
          <w:sz w:val="19"/>
          <w:szCs w:val="19"/>
          <w:color w:val="auto"/>
        </w:rPr>
        <w:t xml:space="preserve">For more information on the acquisition of the global rights to RM2, see Note 21, </w:t>
      </w:r>
      <w:r>
        <w:rPr>
          <w:rFonts w:ascii="Times New Roman" w:cs="Times New Roman" w:eastAsia="Times New Roman" w:hAnsi="Times New Roman"/>
          <w:sz w:val="19"/>
          <w:szCs w:val="19"/>
          <w:i w:val="1"/>
          <w:iCs w:val="1"/>
          <w:color w:val="auto"/>
        </w:rPr>
        <w:t>“Acquisition of Assets”</w:t>
      </w:r>
      <w:r>
        <w:rPr>
          <w:rFonts w:ascii="Times New Roman" w:cs="Times New Roman" w:eastAsia="Times New Roman" w:hAnsi="Times New Roman"/>
          <w:sz w:val="19"/>
          <w:szCs w:val="19"/>
          <w:color w:val="auto"/>
        </w:rPr>
        <w:t xml:space="preserve"> to our consolidated financial statements included in Part II, Item 8, </w:t>
      </w:r>
      <w:r>
        <w:rPr>
          <w:rFonts w:ascii="Times New Roman" w:cs="Times New Roman" w:eastAsia="Times New Roman" w:hAnsi="Times New Roman"/>
          <w:sz w:val="19"/>
          <w:szCs w:val="19"/>
          <w:i w:val="1"/>
          <w:iCs w:val="1"/>
          <w:color w:val="auto"/>
        </w:rPr>
        <w:t>“Financial Statements and Supplementary Data”</w:t>
      </w:r>
      <w:r>
        <w:rPr>
          <w:rFonts w:ascii="Times New Roman" w:cs="Times New Roman" w:eastAsia="Times New Roman" w:hAnsi="Times New Roman"/>
          <w:sz w:val="19"/>
          <w:szCs w:val="19"/>
          <w:color w:val="auto"/>
        </w:rPr>
        <w:t xml:space="preserve"> of this Form 10-K.</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Pending Acquisition of Evergreen Theragnostics</w:t>
      </w:r>
    </w:p>
    <w:p>
      <w:pPr>
        <w:spacing w:after="0" w:line="131" w:lineRule="exact"/>
        <w:rPr>
          <w:sz w:val="20"/>
          <w:szCs w:val="20"/>
          <w:color w:val="auto"/>
        </w:rPr>
      </w:pPr>
    </w:p>
    <w:p>
      <w:pPr>
        <w:ind w:right="120" w:firstLine="441"/>
        <w:spacing w:after="0" w:line="252" w:lineRule="auto"/>
        <w:rPr>
          <w:sz w:val="20"/>
          <w:szCs w:val="20"/>
          <w:color w:val="auto"/>
        </w:rPr>
      </w:pPr>
      <w:r>
        <w:rPr>
          <w:rFonts w:ascii="Times New Roman" w:cs="Times New Roman" w:eastAsia="Times New Roman" w:hAnsi="Times New Roman"/>
          <w:sz w:val="20"/>
          <w:szCs w:val="20"/>
          <w:color w:val="auto"/>
        </w:rPr>
        <w:t>On January 27, 2025, we announced that we entered into an Agreement and Plan of Merger (the “Evergreen Merger Agreement”) with Evergreen Theragnostics, Inc. (“Evergreen”) and Shareholder Representative Services LLC, pursuant to which we will acquire Evergreen by means of a statutory merger of our subsidiary with and into Evergreen, with Evergreen surviving as our wholly-owned subsidiary (the “Evergreen Merger”). Evergreen is a clinical-stage radiopharmaceutical company engaged in contract development and manufacturing services, as well as drug discovery and commercialization of proprietary products.</w:t>
      </w:r>
    </w:p>
    <w:p>
      <w:pPr>
        <w:spacing w:after="0" w:line="86" w:lineRule="exact"/>
        <w:rPr>
          <w:sz w:val="20"/>
          <w:szCs w:val="20"/>
          <w:color w:val="auto"/>
        </w:rPr>
      </w:pPr>
    </w:p>
    <w:p>
      <w:pPr>
        <w:ind w:right="80" w:firstLine="441"/>
        <w:spacing w:after="0" w:line="250" w:lineRule="auto"/>
        <w:rPr>
          <w:sz w:val="20"/>
          <w:szCs w:val="20"/>
          <w:color w:val="auto"/>
        </w:rPr>
      </w:pPr>
      <w:r>
        <w:rPr>
          <w:rFonts w:ascii="Times New Roman" w:cs="Times New Roman" w:eastAsia="Times New Roman" w:hAnsi="Times New Roman"/>
          <w:sz w:val="20"/>
          <w:szCs w:val="20"/>
          <w:color w:val="auto"/>
        </w:rPr>
        <w:t>Pursuant to the Evergreen Merger Agreement, we will pay an upfront amount of $250 million, payable in cash at closing and subject to customary adjustments as set forth in the Evergreen Merger Agreement, and milestone payments in an aggregate additional cash amount of up to $752.5 million upon the occurrence of certain Milestone Trigger Events (as set forth in the Evergreen Merger Agreement). We also agreed to provide up to $18 million in unsecured loans to Evergreen on the terms set forth in the Merger Agreement. The Evergreen Merger is expected to close in the second half of 2025, subject to the satisfaction of customary regulatory and closing conditions.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Acquisition of NAV-4694</w:t>
      </w:r>
    </w:p>
    <w:p>
      <w:pPr>
        <w:spacing w:after="0" w:line="131" w:lineRule="exact"/>
        <w:rPr>
          <w:sz w:val="20"/>
          <w:szCs w:val="20"/>
          <w:color w:val="auto"/>
        </w:rPr>
      </w:pPr>
    </w:p>
    <w:p>
      <w:pPr>
        <w:ind w:right="140" w:firstLine="441"/>
        <w:spacing w:after="0" w:line="248" w:lineRule="auto"/>
        <w:rPr>
          <w:sz w:val="20"/>
          <w:szCs w:val="20"/>
          <w:color w:val="auto"/>
        </w:rPr>
      </w:pPr>
      <w:r>
        <w:rPr>
          <w:rFonts w:ascii="Times New Roman" w:cs="Times New Roman" w:eastAsia="Times New Roman" w:hAnsi="Times New Roman"/>
          <w:sz w:val="20"/>
          <w:szCs w:val="20"/>
          <w:color w:val="auto"/>
        </w:rPr>
        <w:t>On June 18, 2024, we acquired Meilleur Technologies Inc. (“Meilleur”), including its asset NAV-4694, a late-stage investigational F-18-positron emission tomography (“PET”) imaging agent that targets beta amyloids in Alzheimer’s disease. Under the terms of the agreement, we paid the stockholders of Meilleur (“Meilleur Stockholders”) an upfront payment of $32.9 million and paid an additional $10.0 million in August 2024 after the successful completion of a technology transfer. We could pay additional milestone payments upon achievement of specified U.S. regulatory milestones related to NAV-4694. We could also pay double-digit milestone payments upon achievement of specified annual commercial sales and double-digit royalty payments for research revenue and commercial sales. Research revenue is derived from partnerships with pharmaceutical companies and academic institutions that use NAV-4694 in clinical trials. NAV-4694 is currently in Phase 3 development and is also being used in academic and industry sponsored clinical trials. We expect to submit an NDA for NAV-4694 in 2026.</w:t>
      </w:r>
    </w:p>
    <w:p>
      <w:pPr>
        <w:spacing w:after="0" w:line="93"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20"/>
          <w:szCs w:val="20"/>
          <w:color w:val="auto"/>
        </w:rPr>
        <w:t xml:space="preserve">For more information, see Note 21, </w:t>
      </w:r>
      <w:r>
        <w:rPr>
          <w:rFonts w:ascii="Times New Roman" w:cs="Times New Roman" w:eastAsia="Times New Roman" w:hAnsi="Times New Roman"/>
          <w:sz w:val="20"/>
          <w:szCs w:val="20"/>
          <w:i w:val="1"/>
          <w:iCs w:val="1"/>
          <w:color w:val="auto"/>
        </w:rPr>
        <w:t>"Acquisition of Assets"</w:t>
      </w:r>
      <w:r>
        <w:rPr>
          <w:rFonts w:ascii="Times New Roman" w:cs="Times New Roman" w:eastAsia="Times New Roman" w:hAnsi="Times New Roman"/>
          <w:sz w:val="20"/>
          <w:szCs w:val="20"/>
          <w:color w:val="auto"/>
        </w:rPr>
        <w:t xml:space="preserve"> to our consolidated consolidated financial statements included in Part II, Item 8, </w:t>
      </w:r>
      <w:r>
        <w:rPr>
          <w:rFonts w:ascii="Times New Roman" w:cs="Times New Roman" w:eastAsia="Times New Roman" w:hAnsi="Times New Roman"/>
          <w:sz w:val="20"/>
          <w:szCs w:val="20"/>
          <w:i w:val="1"/>
          <w:iCs w:val="1"/>
          <w:color w:val="auto"/>
        </w:rPr>
        <w:t>“Financial Statements and Supplementary Data”</w:t>
      </w:r>
      <w:r>
        <w:rPr>
          <w:rFonts w:ascii="Times New Roman" w:cs="Times New Roman" w:eastAsia="Times New Roman" w:hAnsi="Times New Roman"/>
          <w:sz w:val="20"/>
          <w:szCs w:val="20"/>
          <w:color w:val="auto"/>
        </w:rPr>
        <w:t xml:space="preserve"> of this Form 10-K.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Exclusive License for Radiopharm Theranostics Limited</w:t>
      </w:r>
    </w:p>
    <w:p>
      <w:pPr>
        <w:spacing w:after="0" w:line="131" w:lineRule="exact"/>
        <w:rPr>
          <w:sz w:val="20"/>
          <w:szCs w:val="20"/>
          <w:color w:val="auto"/>
        </w:rPr>
      </w:pPr>
    </w:p>
    <w:p>
      <w:pPr>
        <w:ind w:right="100" w:firstLine="441"/>
        <w:spacing w:after="0"/>
        <w:rPr>
          <w:sz w:val="20"/>
          <w:szCs w:val="20"/>
          <w:color w:val="auto"/>
        </w:rPr>
      </w:pPr>
      <w:r>
        <w:rPr>
          <w:rFonts w:ascii="Times New Roman" w:cs="Times New Roman" w:eastAsia="Times New Roman" w:hAnsi="Times New Roman"/>
          <w:sz w:val="20"/>
          <w:szCs w:val="20"/>
          <w:color w:val="auto"/>
        </w:rPr>
        <w:t>On June 15, 2024, we entered into an agreement with Radiopharm to acquire global, exclusive rights to two licensed preclinical assets for an upfront payment of $2.0 million (the “Radiopharm Asset Purchase”). We acquired global, exclusive rights to both a monoclonal antibody that targets LRRC15, a preclinical therapeutic candidate targeting osteosarcoma, and a Trophoblast cell surface antigen 2 (“TROP2”)-targeted nanobody, a preclinical stage therapy. In connection with this acquisition, we are assuming the underlying license agreements related to the two preclinical assets, together with their respective milestone and royalty payment obligations.</w:t>
      </w:r>
    </w:p>
    <w:p>
      <w:pPr>
        <w:spacing w:after="0" w:line="87"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20"/>
          <w:szCs w:val="20"/>
          <w:color w:val="auto"/>
        </w:rPr>
        <w:t xml:space="preserve">For more information, see Note 21, </w:t>
      </w:r>
      <w:r>
        <w:rPr>
          <w:rFonts w:ascii="Times New Roman" w:cs="Times New Roman" w:eastAsia="Times New Roman" w:hAnsi="Times New Roman"/>
          <w:sz w:val="20"/>
          <w:szCs w:val="20"/>
          <w:i w:val="1"/>
          <w:iCs w:val="1"/>
          <w:color w:val="auto"/>
        </w:rPr>
        <w:t>"Acquisition of Assets"</w:t>
      </w:r>
      <w:r>
        <w:rPr>
          <w:rFonts w:ascii="Times New Roman" w:cs="Times New Roman" w:eastAsia="Times New Roman" w:hAnsi="Times New Roman"/>
          <w:sz w:val="20"/>
          <w:szCs w:val="20"/>
          <w:color w:val="auto"/>
        </w:rPr>
        <w:t xml:space="preserve"> to our consolidated consolidated financial statements included in Part II, Item 8, </w:t>
      </w:r>
      <w:r>
        <w:rPr>
          <w:rFonts w:ascii="Times New Roman" w:cs="Times New Roman" w:eastAsia="Times New Roman" w:hAnsi="Times New Roman"/>
          <w:sz w:val="20"/>
          <w:szCs w:val="20"/>
          <w:i w:val="1"/>
          <w:iCs w:val="1"/>
          <w:color w:val="auto"/>
        </w:rPr>
        <w:t>“Financial Statements and Supplementary Data”</w:t>
      </w:r>
      <w:r>
        <w:rPr>
          <w:rFonts w:ascii="Times New Roman" w:cs="Times New Roman" w:eastAsia="Times New Roman" w:hAnsi="Times New Roman"/>
          <w:sz w:val="20"/>
          <w:szCs w:val="20"/>
          <w:color w:val="auto"/>
        </w:rPr>
        <w:t xml:space="preserve"> of this Form 10-K.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Strategic Agreements with Perspective Therapeutics, Inc.</w:t>
      </w:r>
    </w:p>
    <w:p>
      <w:pPr>
        <w:spacing w:after="0" w:line="131" w:lineRule="exact"/>
        <w:rPr>
          <w:sz w:val="20"/>
          <w:szCs w:val="20"/>
          <w:color w:val="auto"/>
        </w:rPr>
      </w:pPr>
    </w:p>
    <w:p>
      <w:pPr>
        <w:ind w:right="360" w:firstLine="441"/>
        <w:spacing w:after="0" w:line="250" w:lineRule="auto"/>
        <w:rPr>
          <w:sz w:val="20"/>
          <w:szCs w:val="20"/>
          <w:color w:val="auto"/>
        </w:rPr>
      </w:pPr>
      <w:r>
        <w:rPr>
          <w:rFonts w:ascii="Times New Roman" w:cs="Times New Roman" w:eastAsia="Times New Roman" w:hAnsi="Times New Roman"/>
          <w:sz w:val="20"/>
          <w:szCs w:val="20"/>
          <w:color w:val="auto"/>
        </w:rPr>
        <w:t xml:space="preserve">On January 8, 2024, we entered into multiple strategic agreements with Perspective Therapeutics, Inc. (“Perspective”), a radiopharmaceutical company that is pursuing advanced treatment applications for cancers throughout the body. Under the agreements, we obtained an option to exclusively license Perspective’s Pb212-VMT- </w:t>
      </w:r>
      <w:r>
        <w:rPr>
          <w:rFonts w:ascii="Arial" w:cs="Arial" w:eastAsia="Arial" w:hAnsi="Arial"/>
          <w:sz w:val="20"/>
          <w:szCs w:val="20"/>
          <w:color w:val="auto"/>
        </w:rPr>
        <w:t>α</w:t>
      </w:r>
      <w:r>
        <w:rPr>
          <w:rFonts w:ascii="Times New Roman" w:cs="Times New Roman" w:eastAsia="Times New Roman" w:hAnsi="Times New Roman"/>
          <w:sz w:val="20"/>
          <w:szCs w:val="20"/>
          <w:color w:val="auto"/>
        </w:rPr>
        <w:t>-NET, a clinical stage alpha therapy in development for the treatment of neuroendocrine tumors, and an option to co-develop certain early-stage therapeutic candidates targeting prostate cancer using Perspective’s innovative platform technology for an aggregate upfront payment of $28.0 million in cash.</w:t>
      </w:r>
    </w:p>
    <w:p>
      <w:pPr>
        <w:spacing w:after="0" w:line="208"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20"/>
          <w:szCs w:val="20"/>
          <w:color w:val="auto"/>
        </w:rPr>
        <w:t>On January 22, 2024, we purchased 56,342,355 shares of Perspective’s common stock (“Perspective Shares”) at a purchase price of $0.37 per share in a private placement transaction, for approximately $20.8 million in cash. We were also granted certain pro rata participation rights to maintain our ownership position in Perspective in the event that Perspective makes any public or non-public offering of any equity or voting securities, subject to certain exceptions.</w:t>
      </w:r>
    </w:p>
    <w:p>
      <w:pPr>
        <w:spacing w:after="0" w:line="202"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20"/>
          <w:szCs w:val="20"/>
          <w:color w:val="auto"/>
        </w:rPr>
        <w:t>On March 1, 2024, we transferred the fixed assets and associated lease of our Somerset, New Jersey facility (the “Somerset Facility”) to Perspective, and the parties entered into a transition services arrangement pursuant to which we provided certain services relating to final disposal of radioactive waste and certain other related services.</w:t>
      </w:r>
    </w:p>
    <w:p>
      <w:pPr>
        <w:sectPr>
          <w:pgSz w:w="11880" w:h="15480" w:orient="portrait"/>
          <w:cols w:equalWidth="0" w:num="1">
            <w:col w:w="10560"/>
          </w:cols>
          <w:pgMar w:left="640" w:top="619" w:right="6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60</w:t>
      </w:r>
    </w:p>
    <w:p>
      <w:pPr>
        <w:sectPr>
          <w:pgSz w:w="11880" w:h="15480" w:orient="portrait"/>
          <w:cols w:equalWidth="0" w:num="1">
            <w:col w:w="10560"/>
          </w:cols>
          <w:pgMar w:left="640" w:top="619" w:right="680" w:bottom="0" w:gutter="0" w:footer="0" w:header="0"/>
          <w:type w:val="continuous"/>
        </w:sectPr>
      </w:pPr>
    </w:p>
    <w:bookmarkStart w:id="66" w:name="page67"/>
    <w:bookmarkEnd w:id="66"/>
    <w:p>
      <w:pPr>
        <w:ind w:right="180" w:firstLine="441"/>
        <w:spacing w:after="0" w:line="258" w:lineRule="auto"/>
        <w:rPr>
          <w:sz w:val="20"/>
          <w:szCs w:val="20"/>
          <w:color w:val="auto"/>
        </w:rPr>
      </w:pPr>
      <w:r>
        <w:rPr>
          <w:rFonts w:ascii="Times New Roman" w:cs="Times New Roman" w:eastAsia="Times New Roman" w:hAnsi="Times New Roman"/>
          <w:sz w:val="20"/>
          <w:szCs w:val="20"/>
          <w:color w:val="auto"/>
        </w:rPr>
        <w:t>On March 6, 2024, we purchased 60,431,039 Perspective Shares at a price of $0.95 per share. The total consideration for this additional purchase was approximately $57.4 million, resulting in Lantheus Alpha holding approximately 19.90% of the outstanding Perspective Shares (or 17.35% on a fully diluted basis) as of March 6, 2024.</w:t>
      </w:r>
    </w:p>
    <w:p>
      <w:pPr>
        <w:spacing w:after="0" w:line="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On June 14, 2024, Perspective effected a 1-for-10 reverse stock split, after which we held 11,677,339 Perspective Shares.</w:t>
      </w:r>
    </w:p>
    <w:p>
      <w:pPr>
        <w:spacing w:after="0" w:line="120"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20"/>
          <w:szCs w:val="20"/>
          <w:color w:val="auto"/>
        </w:rPr>
        <w:t xml:space="preserve">For more information, see Note 21, </w:t>
      </w:r>
      <w:r>
        <w:rPr>
          <w:rFonts w:ascii="Times New Roman" w:cs="Times New Roman" w:eastAsia="Times New Roman" w:hAnsi="Times New Roman"/>
          <w:sz w:val="20"/>
          <w:szCs w:val="20"/>
          <w:i w:val="1"/>
          <w:iCs w:val="1"/>
          <w:color w:val="auto"/>
        </w:rPr>
        <w:t>"Acquisition of Assets"</w:t>
      </w:r>
      <w:r>
        <w:rPr>
          <w:rFonts w:ascii="Times New Roman" w:cs="Times New Roman" w:eastAsia="Times New Roman" w:hAnsi="Times New Roman"/>
          <w:sz w:val="20"/>
          <w:szCs w:val="20"/>
          <w:color w:val="auto"/>
        </w:rPr>
        <w:t xml:space="preserve"> to our consolidated consolidated financial statements included in Part II, Item 8, </w:t>
      </w:r>
      <w:r>
        <w:rPr>
          <w:rFonts w:ascii="Times New Roman" w:cs="Times New Roman" w:eastAsia="Times New Roman" w:hAnsi="Times New Roman"/>
          <w:sz w:val="20"/>
          <w:szCs w:val="20"/>
          <w:i w:val="1"/>
          <w:iCs w:val="1"/>
          <w:color w:val="auto"/>
        </w:rPr>
        <w:t>“Financial Statements and Supplementary Data”</w:t>
      </w:r>
      <w:r>
        <w:rPr>
          <w:rFonts w:ascii="Times New Roman" w:cs="Times New Roman" w:eastAsia="Times New Roman" w:hAnsi="Times New Roman"/>
          <w:sz w:val="20"/>
          <w:szCs w:val="20"/>
          <w:color w:val="auto"/>
        </w:rPr>
        <w:t xml:space="preserve"> of this Form 10-K.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Chief Executive Officer Transition</w:t>
      </w:r>
    </w:p>
    <w:p>
      <w:pPr>
        <w:spacing w:after="0" w:line="131"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20"/>
          <w:szCs w:val="20"/>
          <w:color w:val="auto"/>
        </w:rPr>
        <w:t>On March 1, 2024, Brian Markison, our then Chair of our Board of Directors (the “Board”), became our Chief Executive Officer (“CEO”), and Mary Anne Heino, retired as our CEO and became the Chair of our Board. As part of this leadership transition, Mr. Markison assumed the role of Executive Chair of the Board as of January 23, 2024 until the effectiveness of his CEO appointment in March, and Board Member Julie McHugh became Lead Independent Director.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Strategic Changes</w:t>
      </w:r>
    </w:p>
    <w:p>
      <w:pPr>
        <w:spacing w:after="0" w:line="131" w:lineRule="exact"/>
        <w:rPr>
          <w:sz w:val="20"/>
          <w:szCs w:val="20"/>
          <w:color w:val="auto"/>
        </w:rPr>
      </w:pPr>
    </w:p>
    <w:p>
      <w:pPr>
        <w:ind w:firstLine="441"/>
        <w:spacing w:after="0" w:line="249" w:lineRule="auto"/>
        <w:rPr>
          <w:sz w:val="20"/>
          <w:szCs w:val="20"/>
          <w:color w:val="auto"/>
        </w:rPr>
      </w:pPr>
      <w:r>
        <w:rPr>
          <w:rFonts w:ascii="Times New Roman" w:cs="Times New Roman" w:eastAsia="Times New Roman" w:hAnsi="Times New Roman"/>
          <w:sz w:val="20"/>
          <w:szCs w:val="20"/>
          <w:color w:val="auto"/>
        </w:rPr>
        <w:t>As part of our evolution into a fully integrated radiopharmaceutical company, during 2024, we reviewed our current capabilities and skillsets and began implementing organizational changes deemed necessary to best position us to execute on our long-term strategy. These changes included transitioning approximately 60 employees out of the Company. In connection with these changes, we approved equity modifications that allowed grants of stock options and restricted stock units (“RSUs”) issued to those impacted by this event to continue to vest in 2024 and 2025 with any unvested stock option and RSU grants as of December 31, 2025 to be cancelled. Total stockholder return awards granted to these individuals will continue to vest on their original vesting schedule but any shares issued will be issued in a pro-rated amount based on the time served during the performance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MK-6240</w:t>
      </w:r>
    </w:p>
    <w:p>
      <w:pPr>
        <w:spacing w:after="0" w:line="131" w:lineRule="exact"/>
        <w:rPr>
          <w:sz w:val="20"/>
          <w:szCs w:val="20"/>
          <w:color w:val="auto"/>
        </w:rPr>
      </w:pPr>
    </w:p>
    <w:p>
      <w:pPr>
        <w:ind w:right="100" w:firstLine="441"/>
        <w:spacing w:after="0" w:line="265" w:lineRule="auto"/>
        <w:rPr>
          <w:sz w:val="20"/>
          <w:szCs w:val="20"/>
          <w:color w:val="auto"/>
        </w:rPr>
      </w:pPr>
      <w:r>
        <w:rPr>
          <w:rFonts w:ascii="Times New Roman" w:cs="Times New Roman" w:eastAsia="Times New Roman" w:hAnsi="Times New Roman"/>
          <w:sz w:val="19"/>
          <w:szCs w:val="19"/>
          <w:color w:val="auto"/>
        </w:rPr>
        <w:t>On February 6, 2023, we acquired Cerveau, which holds the rights under a license agreement to develop and commercialize MK-6240, an investigational late-stage F-18-labeled PET imaging agent that targets tau tangles in Alzheimer’s disease. Under the terms of the purchase agreement, we paid the stockholders of Cerveau (“Cerveau Stockholders”) an upfront payment of $35.3 million in February 2023 and an additional $10.0 million in May 2023 upon the successful completion of a technology transfer. The Cerveau Stockholders are also eligible to receive additional development and commercial milestone payments. We will pay double-digit royalty payments for research revenue and commercial sales. Research revenue is derived from partnerships with pharmaceutical companies and academic institutions that use MK-6240 in clinical trials and includes milestone and dose-related payments.</w:t>
      </w:r>
    </w:p>
    <w:p>
      <w:pPr>
        <w:spacing w:after="0" w:line="75" w:lineRule="exact"/>
        <w:rPr>
          <w:sz w:val="20"/>
          <w:szCs w:val="20"/>
          <w:color w:val="auto"/>
        </w:rPr>
      </w:pPr>
    </w:p>
    <w:p>
      <w:pPr>
        <w:ind w:right="20" w:firstLine="441"/>
        <w:spacing w:after="0" w:line="252" w:lineRule="auto"/>
        <w:rPr>
          <w:sz w:val="20"/>
          <w:szCs w:val="20"/>
          <w:color w:val="auto"/>
        </w:rPr>
      </w:pPr>
      <w:r>
        <w:rPr>
          <w:rFonts w:ascii="Times New Roman" w:cs="Times New Roman" w:eastAsia="Times New Roman" w:hAnsi="Times New Roman"/>
          <w:sz w:val="20"/>
          <w:szCs w:val="20"/>
          <w:color w:val="auto"/>
        </w:rPr>
        <w:t>In September 2023, MK-6240 was granted Fast Track designation by the FDA. In February 2024, we announced the inclusion of MK-6240 in the National Institute on Aging-sponsored study called CLARiTI that enables the consortium to use MK-6240 in its investigation of Alzheimer’s disease and related dementias. The CLARiTI study will involve all 37 Alzheimer’s Disease Research Centers in the United States and will recruit 2,000 subjects and collect their imaging and blood-based biomarker data to generate etiologic profiles for cases of mixed dementia.</w:t>
      </w:r>
    </w:p>
    <w:p>
      <w:pPr>
        <w:spacing w:after="0" w:line="204"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20"/>
          <w:szCs w:val="20"/>
          <w:color w:val="auto"/>
        </w:rPr>
        <w:t>In 2024, we held a pre-NDA meeting with the U.S. Food and Drug Administration (“FDA”) and we expect to submit an NDA for MK-6240 in 2025, but we can provide no assurance that we will meet that expected timeline, that our NDA will be accepted by the FDA, that MK-6240 will be approved by the FDA or, if approved, that we will be successful in commercialization.</w:t>
      </w:r>
    </w:p>
    <w:p>
      <w:pPr>
        <w:spacing w:after="0" w:line="196" w:lineRule="exact"/>
        <w:rPr>
          <w:sz w:val="20"/>
          <w:szCs w:val="20"/>
          <w:color w:val="auto"/>
        </w:rPr>
      </w:pPr>
    </w:p>
    <w:p>
      <w:pPr>
        <w:ind w:right="40" w:firstLine="441"/>
        <w:spacing w:after="0" w:line="275" w:lineRule="auto"/>
        <w:rPr>
          <w:sz w:val="20"/>
          <w:szCs w:val="20"/>
          <w:color w:val="auto"/>
        </w:rPr>
      </w:pPr>
      <w:r>
        <w:rPr>
          <w:rFonts w:ascii="Times New Roman" w:cs="Times New Roman" w:eastAsia="Times New Roman" w:hAnsi="Times New Roman"/>
          <w:sz w:val="20"/>
          <w:szCs w:val="20"/>
          <w:color w:val="auto"/>
        </w:rPr>
        <w:t xml:space="preserve">For more information, see Note 21, </w:t>
      </w:r>
      <w:r>
        <w:rPr>
          <w:rFonts w:ascii="Times New Roman" w:cs="Times New Roman" w:eastAsia="Times New Roman" w:hAnsi="Times New Roman"/>
          <w:sz w:val="20"/>
          <w:szCs w:val="20"/>
          <w:i w:val="1"/>
          <w:iCs w:val="1"/>
          <w:color w:val="auto"/>
        </w:rPr>
        <w:t>"Acquisition of Assets"</w:t>
      </w:r>
      <w:r>
        <w:rPr>
          <w:rFonts w:ascii="Times New Roman" w:cs="Times New Roman" w:eastAsia="Times New Roman" w:hAnsi="Times New Roman"/>
          <w:sz w:val="20"/>
          <w:szCs w:val="20"/>
          <w:color w:val="auto"/>
        </w:rPr>
        <w:t xml:space="preserve"> to our consolidated consolidated financial statements included in Part II, Item 8, </w:t>
      </w:r>
      <w:r>
        <w:rPr>
          <w:rFonts w:ascii="Times New Roman" w:cs="Times New Roman" w:eastAsia="Times New Roman" w:hAnsi="Times New Roman"/>
          <w:sz w:val="20"/>
          <w:szCs w:val="20"/>
          <w:i w:val="1"/>
          <w:iCs w:val="1"/>
          <w:color w:val="auto"/>
        </w:rPr>
        <w:t>“Financial Statements and Supplementary Data”</w:t>
      </w:r>
      <w:r>
        <w:rPr>
          <w:rFonts w:ascii="Times New Roman" w:cs="Times New Roman" w:eastAsia="Times New Roman" w:hAnsi="Times New Roman"/>
          <w:sz w:val="20"/>
          <w:szCs w:val="20"/>
          <w:color w:val="auto"/>
        </w:rPr>
        <w:t xml:space="preserve"> of this Form 10-K.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 of RELISTOR Licensed Intangible Asset Associated with Net Sales Royalties</w:t>
      </w:r>
    </w:p>
    <w:p>
      <w:pPr>
        <w:spacing w:after="0" w:line="131" w:lineRule="exact"/>
        <w:rPr>
          <w:sz w:val="20"/>
          <w:szCs w:val="20"/>
          <w:color w:val="auto"/>
        </w:rPr>
      </w:pPr>
    </w:p>
    <w:p>
      <w:pPr>
        <w:ind w:right="40" w:firstLine="441"/>
        <w:spacing w:after="0" w:line="249" w:lineRule="auto"/>
        <w:rPr>
          <w:sz w:val="20"/>
          <w:szCs w:val="20"/>
          <w:color w:val="auto"/>
        </w:rPr>
      </w:pPr>
      <w:r>
        <w:rPr>
          <w:rFonts w:ascii="Times New Roman" w:cs="Times New Roman" w:eastAsia="Times New Roman" w:hAnsi="Times New Roman"/>
          <w:sz w:val="20"/>
          <w:szCs w:val="20"/>
          <w:color w:val="auto"/>
        </w:rPr>
        <w:t>On August 2, 2023, we sold the right to our RELISTOR net sales royalties, which is classified as a licensed intangible asset (“RELISTOR royalty asset”), under our license agreement with Bausch Health Companies, Inc. (“Bausch”); we retained the rights to future sales-based milestone payments. We received an initial payment of approximately $98.0 million in connection with the sale and we have the right to receive an additional payment from the buyer of $5.0 million if worldwide net sales of RELISTOR in 2025 exceed a specified threshold. The additional payment would be recognized upon achievement of the specified threshold. Decreases of $63.6 million of license assets and $17.5 million of associated accumulated amortization, as well as a gain of $51.8 million were recorded as a result of the sale. No sales-based milestone payment was earned in 2024. In 2023, we earned a $15.0 million sales-based milestone payment as the net sales threshold (as defined in the license agreement with Bausch) was met.</w:t>
      </w:r>
    </w:p>
    <w:p>
      <w:pPr>
        <w:spacing w:after="0" w:line="87" w:lineRule="exact"/>
        <w:rPr>
          <w:sz w:val="20"/>
          <w:szCs w:val="20"/>
          <w:color w:val="auto"/>
        </w:rPr>
      </w:pPr>
    </w:p>
    <w:p>
      <w:pPr>
        <w:ind w:right="40" w:firstLine="441"/>
        <w:spacing w:after="0" w:line="275" w:lineRule="auto"/>
        <w:rPr>
          <w:sz w:val="20"/>
          <w:szCs w:val="20"/>
          <w:color w:val="auto"/>
        </w:rPr>
      </w:pPr>
      <w:r>
        <w:rPr>
          <w:rFonts w:ascii="Times New Roman" w:cs="Times New Roman" w:eastAsia="Times New Roman" w:hAnsi="Times New Roman"/>
          <w:sz w:val="20"/>
          <w:szCs w:val="20"/>
          <w:color w:val="auto"/>
        </w:rPr>
        <w:t xml:space="preserve">For more information, see Note 10, </w:t>
      </w:r>
      <w:r>
        <w:rPr>
          <w:rFonts w:ascii="Times New Roman" w:cs="Times New Roman" w:eastAsia="Times New Roman" w:hAnsi="Times New Roman"/>
          <w:sz w:val="20"/>
          <w:szCs w:val="20"/>
          <w:i w:val="1"/>
          <w:iCs w:val="1"/>
          <w:color w:val="auto"/>
        </w:rPr>
        <w:t>“Intangibles, Net and Goodwill”</w:t>
      </w:r>
      <w:r>
        <w:rPr>
          <w:rFonts w:ascii="Times New Roman" w:cs="Times New Roman" w:eastAsia="Times New Roman" w:hAnsi="Times New Roman"/>
          <w:sz w:val="20"/>
          <w:szCs w:val="20"/>
          <w:color w:val="auto"/>
        </w:rPr>
        <w:t xml:space="preserve"> to our consolidated financial statements included in Part II, Item 8, </w:t>
      </w:r>
      <w:r>
        <w:rPr>
          <w:rFonts w:ascii="Times New Roman" w:cs="Times New Roman" w:eastAsia="Times New Roman" w:hAnsi="Times New Roman"/>
          <w:sz w:val="20"/>
          <w:szCs w:val="20"/>
          <w:i w:val="1"/>
          <w:iCs w:val="1"/>
          <w:color w:val="auto"/>
        </w:rPr>
        <w:t>“Financial Statements and Supplementary Data”</w:t>
      </w:r>
      <w:r>
        <w:rPr>
          <w:rFonts w:ascii="Times New Roman" w:cs="Times New Roman" w:eastAsia="Times New Roman" w:hAnsi="Times New Roman"/>
          <w:sz w:val="20"/>
          <w:szCs w:val="20"/>
          <w:color w:val="auto"/>
        </w:rPr>
        <w:t xml:space="preserve"> of this Form 10-K.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Discontinuation of AZEDRA</w:t>
      </w:r>
    </w:p>
    <w:p>
      <w:pPr>
        <w:sectPr>
          <w:pgSz w:w="11880" w:h="15480" w:orient="portrait"/>
          <w:cols w:equalWidth="0" w:num="1">
            <w:col w:w="10580"/>
          </w:cols>
          <w:pgMar w:left="640" w:top="622" w:right="660" w:bottom="0" w:gutter="0" w:footer="0" w:header="0"/>
        </w:sect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61</w:t>
      </w:r>
    </w:p>
    <w:p>
      <w:pPr>
        <w:sectPr>
          <w:pgSz w:w="11880" w:h="15480" w:orient="portrait"/>
          <w:cols w:equalWidth="0" w:num="1">
            <w:col w:w="10580"/>
          </w:cols>
          <w:pgMar w:left="640" w:top="622" w:right="660" w:bottom="0" w:gutter="0" w:footer="0" w:header="0"/>
          <w:type w:val="continuous"/>
        </w:sectPr>
      </w:pPr>
    </w:p>
    <w:bookmarkStart w:id="67" w:name="page68"/>
    <w:bookmarkEnd w:id="67"/>
    <w:p>
      <w:pPr>
        <w:ind w:right="200" w:firstLine="441"/>
        <w:spacing w:after="0" w:line="254" w:lineRule="auto"/>
        <w:rPr>
          <w:sz w:val="20"/>
          <w:szCs w:val="20"/>
          <w:color w:val="auto"/>
        </w:rPr>
      </w:pPr>
      <w:r>
        <w:rPr>
          <w:rFonts w:ascii="Times New Roman" w:cs="Times New Roman" w:eastAsia="Times New Roman" w:hAnsi="Times New Roman"/>
          <w:sz w:val="20"/>
          <w:szCs w:val="20"/>
          <w:color w:val="auto"/>
        </w:rPr>
        <w:t>On August 15, 2023, we announced that we would discontinue the production and promotion of AZEDRA and wind down our Somerset Facility. We continued manufacturing AZEDRA during the first quarter of 2024, to provide doses of AZEDRA to then-current patients so they could complete their treatment regimen. No AZEDRA was manufactured after March 1, 2024, when we transferred the assets and associated sublease of our Somerset Facility to Perspective.</w:t>
      </w:r>
    </w:p>
    <w:p>
      <w:pPr>
        <w:spacing w:after="0" w:line="82" w:lineRule="exact"/>
        <w:rPr>
          <w:sz w:val="20"/>
          <w:szCs w:val="20"/>
          <w:color w:val="auto"/>
        </w:rPr>
      </w:pPr>
    </w:p>
    <w:p>
      <w:pPr>
        <w:ind w:right="40" w:firstLine="441"/>
        <w:spacing w:after="0" w:line="275" w:lineRule="auto"/>
        <w:rPr>
          <w:sz w:val="20"/>
          <w:szCs w:val="20"/>
          <w:color w:val="auto"/>
        </w:rPr>
      </w:pPr>
      <w:r>
        <w:rPr>
          <w:rFonts w:ascii="Times New Roman" w:cs="Times New Roman" w:eastAsia="Times New Roman" w:hAnsi="Times New Roman"/>
          <w:sz w:val="20"/>
          <w:szCs w:val="20"/>
          <w:color w:val="auto"/>
        </w:rPr>
        <w:t xml:space="preserve">For more information, see Note 10, </w:t>
      </w:r>
      <w:r>
        <w:rPr>
          <w:rFonts w:ascii="Times New Roman" w:cs="Times New Roman" w:eastAsia="Times New Roman" w:hAnsi="Times New Roman"/>
          <w:sz w:val="20"/>
          <w:szCs w:val="20"/>
          <w:i w:val="1"/>
          <w:iCs w:val="1"/>
          <w:color w:val="auto"/>
        </w:rPr>
        <w:t>“Intangibles, Net and Goodwill”</w:t>
      </w:r>
      <w:r>
        <w:rPr>
          <w:rFonts w:ascii="Times New Roman" w:cs="Times New Roman" w:eastAsia="Times New Roman" w:hAnsi="Times New Roman"/>
          <w:sz w:val="20"/>
          <w:szCs w:val="20"/>
          <w:color w:val="auto"/>
        </w:rPr>
        <w:t xml:space="preserve"> to our consolidated financial statements included in Part II, Item 8, </w:t>
      </w:r>
      <w:r>
        <w:rPr>
          <w:rFonts w:ascii="Times New Roman" w:cs="Times New Roman" w:eastAsia="Times New Roman" w:hAnsi="Times New Roman"/>
          <w:sz w:val="20"/>
          <w:szCs w:val="20"/>
          <w:i w:val="1"/>
          <w:iCs w:val="1"/>
          <w:color w:val="auto"/>
        </w:rPr>
        <w:t>“Financial Statements and Supplementary Data”</w:t>
      </w:r>
      <w:r>
        <w:rPr>
          <w:rFonts w:ascii="Times New Roman" w:cs="Times New Roman" w:eastAsia="Times New Roman" w:hAnsi="Times New Roman"/>
          <w:sz w:val="20"/>
          <w:szCs w:val="20"/>
          <w:color w:val="auto"/>
        </w:rPr>
        <w:t xml:space="preserve"> of this Form 10-K.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Amendment of Credit Facility</w:t>
      </w:r>
    </w:p>
    <w:p>
      <w:pPr>
        <w:spacing w:after="0" w:line="131" w:lineRule="exact"/>
        <w:rPr>
          <w:sz w:val="20"/>
          <w:szCs w:val="20"/>
          <w:color w:val="auto"/>
        </w:rPr>
      </w:pPr>
    </w:p>
    <w:p>
      <w:pPr>
        <w:ind w:right="40" w:firstLine="441"/>
        <w:spacing w:after="0" w:line="250" w:lineRule="auto"/>
        <w:rPr>
          <w:sz w:val="20"/>
          <w:szCs w:val="20"/>
          <w:color w:val="auto"/>
        </w:rPr>
      </w:pPr>
      <w:r>
        <w:rPr>
          <w:rFonts w:ascii="Times New Roman" w:cs="Times New Roman" w:eastAsia="Times New Roman" w:hAnsi="Times New Roman"/>
          <w:sz w:val="20"/>
          <w:szCs w:val="20"/>
          <w:color w:val="auto"/>
        </w:rPr>
        <w:t>In December 2024, we amended our five-year revolving credit facility (as amended, the “2022 Revolving Facility”). The amendment, among other things, extended the maturity date from December 2, 2027 to December 19, 2029, increased the 2022 Revolving Facility from $350.0 million to $750.0 million and increased the additional amount that we may request to add to the increased revolving commitment by $350.0 million. The amendment also, among other things, (i) reduces the ranges of margins based on our Total Net Leverage Ratio (as defined in the 2022 Revolving Facility) used to calculate interest for the revolving loans and (ii) reduces the maximum unused commitment fee from 0.35% per annum to 0.30% per annum.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Factors Affecting Our Results</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Our financial performance incorporates the results of our acquisition of Cerveau on February 6, 2023 and Meilleur on June 18,</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2024. Our business and financial performance have been, and continue to be, affected by the following:</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Continued Growth of PYLARIFY</w:t>
      </w:r>
    </w:p>
    <w:p>
      <w:pPr>
        <w:spacing w:after="0" w:line="131" w:lineRule="exact"/>
        <w:rPr>
          <w:sz w:val="20"/>
          <w:szCs w:val="20"/>
          <w:color w:val="auto"/>
        </w:rPr>
      </w:pPr>
    </w:p>
    <w:p>
      <w:pPr>
        <w:ind w:right="100" w:firstLine="441"/>
        <w:spacing w:after="0" w:line="252" w:lineRule="auto"/>
        <w:rPr>
          <w:sz w:val="20"/>
          <w:szCs w:val="20"/>
          <w:color w:val="auto"/>
        </w:rPr>
      </w:pPr>
      <w:r>
        <w:rPr>
          <w:rFonts w:ascii="Times New Roman" w:cs="Times New Roman" w:eastAsia="Times New Roman" w:hAnsi="Times New Roman"/>
          <w:sz w:val="20"/>
          <w:szCs w:val="20"/>
          <w:color w:val="auto"/>
        </w:rPr>
        <w:t>PYLARIFY, an F-18-labeled PET imaging agent targeting prostate-specific membrane antigen (“PSMA”), was approved by the FDA in May 2021 and commercially launched in the U.S. in June 2021. PYLARIFY is indicated for PET imaging of PSMA-positive lesions in patients with prostate cancer with suspected metastasis who are candidates for initial definitive therapy and in patients with suspected recurrence based on elevated prostate-specific antigen levels. PYLARIFY is available through a diverse, multi-partner network of PET manufacturing facilities (“PMFs”), including both commercial and academic partners.</w:t>
      </w:r>
    </w:p>
    <w:p>
      <w:pPr>
        <w:spacing w:after="0" w:line="204" w:lineRule="exact"/>
        <w:rPr>
          <w:sz w:val="20"/>
          <w:szCs w:val="20"/>
          <w:color w:val="auto"/>
        </w:rPr>
      </w:pPr>
    </w:p>
    <w:p>
      <w:pPr>
        <w:ind w:right="40" w:firstLine="441"/>
        <w:spacing w:after="0" w:line="262" w:lineRule="auto"/>
        <w:rPr>
          <w:sz w:val="20"/>
          <w:szCs w:val="20"/>
          <w:color w:val="auto"/>
        </w:rPr>
      </w:pPr>
      <w:r>
        <w:rPr>
          <w:rFonts w:ascii="Times New Roman" w:cs="Times New Roman" w:eastAsia="Times New Roman" w:hAnsi="Times New Roman"/>
          <w:sz w:val="19"/>
          <w:szCs w:val="19"/>
          <w:color w:val="auto"/>
        </w:rPr>
        <w:t>The successful growth of PYLARIFY is dependent on our ability to maintain PYLARIFY as the most utilized PSMA PET imaging agent in an increasingly competitive space. PYLARIFY’s competition includes two commercially available gallium-68-based PSMA imaging agents, an approved F-18-based PSMA imaging agent, and other non-PSMA-based imaging agents commonly referred to as conventional imaging. The potential for future generic entrants to the market due to the expiry of PYLARIFY’s new chemical entity exclusivity period in 2026 could also generate increased competition for PYLARIFY. We will continue to make investments necessary to drive PYLARIFY awareness and adoption. We believe that PYLARIFY currently has the largest dedicated field-based commercial team in the PSMA PET imaging agent space. Continued growth and revenue contribution from PYLARIFY will also depend on our ability to differentiate PYLARIFY in light of the loss of transitional pass-through payment status (“TPT Status”) and changes to Medicare fee-for-service (“FFS”) hospital outpatient payment, including through flexible and dependable access to PYLARIFY nationally, a best-in-class customer experience and through long-term strategic partnerships.</w:t>
      </w:r>
    </w:p>
    <w:p>
      <w:pPr>
        <w:spacing w:after="0" w:line="202"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20"/>
          <w:szCs w:val="20"/>
          <w:color w:val="auto"/>
        </w:rPr>
        <w:t>Our Healthcare Procedure Coding System code, which enables streamlined billing, went into effect as of January 1, 2022. In addition, from January 1, 2022 to December 31, 2024, PYLARIFY had TPT Status from the Centers for Medicare and Medicaid Services (“CMS”) in the hospital outpatient setting, enabling traditional Medicare FFS to provide separate payment for PYLARIFY in addition to the payment for the PET/computed tomography (“CT”) procedure in that setting.</w:t>
      </w:r>
    </w:p>
    <w:p>
      <w:pPr>
        <w:spacing w:after="0" w:line="202" w:lineRule="exact"/>
        <w:rPr>
          <w:sz w:val="20"/>
          <w:szCs w:val="20"/>
          <w:color w:val="auto"/>
        </w:rPr>
      </w:pPr>
    </w:p>
    <w:p>
      <w:pPr>
        <w:ind w:firstLine="441"/>
        <w:spacing w:after="0" w:line="250" w:lineRule="auto"/>
        <w:rPr>
          <w:sz w:val="20"/>
          <w:szCs w:val="20"/>
          <w:color w:val="auto"/>
        </w:rPr>
      </w:pPr>
      <w:r>
        <w:rPr>
          <w:rFonts w:ascii="Times New Roman" w:cs="Times New Roman" w:eastAsia="Times New Roman" w:hAnsi="Times New Roman"/>
          <w:sz w:val="20"/>
          <w:szCs w:val="20"/>
          <w:color w:val="auto"/>
        </w:rPr>
        <w:t>In November 2024, CMS released the final rule for its calendar year 2025 Medicare Hospital Outpatient Prospective Payment System (the “CMS 2025 OPPS Rule”), which recognizes the value and need for broad access to diagnostic radiopharmaceuticals. The rule provides separate payment for those diagnostic radiopharmaceuticals with per day costs greater than $630 based on mean unit cost (“MUC”) for the approximately 20% of patients with traditional Medicare FFS insurance coverage who are treated in the hospital outpatient setting. Effective January 1, 2025, CMS is maintaining separate payment for PYLARIFY based on MUC, which is lower than the ASP-based payments that were made during TPT Status.</w:t>
      </w:r>
    </w:p>
    <w:p>
      <w:pPr>
        <w:spacing w:after="0" w:line="209" w:lineRule="exact"/>
        <w:rPr>
          <w:sz w:val="20"/>
          <w:szCs w:val="20"/>
          <w:color w:val="auto"/>
        </w:rPr>
      </w:pPr>
    </w:p>
    <w:p>
      <w:pPr>
        <w:ind w:firstLine="441"/>
        <w:spacing w:after="0" w:line="249" w:lineRule="auto"/>
        <w:rPr>
          <w:sz w:val="20"/>
          <w:szCs w:val="20"/>
          <w:color w:val="auto"/>
        </w:rPr>
      </w:pPr>
      <w:r>
        <w:rPr>
          <w:rFonts w:ascii="Times New Roman" w:cs="Times New Roman" w:eastAsia="Times New Roman" w:hAnsi="Times New Roman"/>
          <w:sz w:val="20"/>
          <w:szCs w:val="20"/>
          <w:color w:val="auto"/>
        </w:rPr>
        <w:t xml:space="preserve">Our plan to successfully grow PYLARIFY includes conveying its commercial and clinical value, expanding its use in appropriate new patient populations, and through strategic partnerships and collaborations, including outside of the U.S. Internationally, we previously licensed exclusive rights to Curium to develop and commercialize piflufolastat F-18 in Europe, where it is being commercialized in the EU under the brand name PYLCLARI. We have entered into strategic collaborations with pharmaceutical companies for the use of PYLARIFY in connection with their development of PSMA-targeted therapeutics. Additional information on these collaborations are described further under Part I, Item 1. </w:t>
      </w:r>
      <w:r>
        <w:rPr>
          <w:rFonts w:ascii="Times New Roman" w:cs="Times New Roman" w:eastAsia="Times New Roman" w:hAnsi="Times New Roman"/>
          <w:sz w:val="20"/>
          <w:szCs w:val="20"/>
          <w:i w:val="1"/>
          <w:iCs w:val="1"/>
          <w:color w:val="auto"/>
        </w:rPr>
        <w:t>“Business - Strategic Partnerships and Other Revenue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Oncology” </w:t>
      </w:r>
      <w:r>
        <w:rPr>
          <w:rFonts w:ascii="Times New Roman" w:cs="Times New Roman" w:eastAsia="Times New Roman" w:hAnsi="Times New Roman"/>
          <w:sz w:val="20"/>
          <w:szCs w:val="20"/>
          <w:color w:val="auto"/>
        </w:rPr>
        <w:t>of this Form 10-K.</w:t>
      </w:r>
    </w:p>
    <w:p>
      <w:pPr>
        <w:sectPr>
          <w:pgSz w:w="11880" w:h="15480" w:orient="portrait"/>
          <w:cols w:equalWidth="0" w:num="1">
            <w:col w:w="10580"/>
          </w:cols>
          <w:pgMar w:left="640" w:top="622"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62</w:t>
      </w:r>
    </w:p>
    <w:p>
      <w:pPr>
        <w:sectPr>
          <w:pgSz w:w="11880" w:h="15480" w:orient="portrait"/>
          <w:cols w:equalWidth="0" w:num="1">
            <w:col w:w="10580"/>
          </w:cols>
          <w:pgMar w:left="640" w:top="622" w:right="660" w:bottom="0" w:gutter="0" w:footer="0" w:header="0"/>
          <w:type w:val="continuous"/>
        </w:sectPr>
      </w:pPr>
    </w:p>
    <w:bookmarkStart w:id="68" w:name="page69"/>
    <w:bookmarkEnd w:id="68"/>
    <w:p>
      <w:pPr>
        <w:ind w:right="60" w:firstLine="441"/>
        <w:spacing w:after="0" w:line="258" w:lineRule="auto"/>
        <w:rPr>
          <w:sz w:val="20"/>
          <w:szCs w:val="20"/>
          <w:color w:val="auto"/>
        </w:rPr>
      </w:pPr>
      <w:r>
        <w:rPr>
          <w:rFonts w:ascii="Times New Roman" w:cs="Times New Roman" w:eastAsia="Times New Roman" w:hAnsi="Times New Roman"/>
          <w:sz w:val="20"/>
          <w:szCs w:val="20"/>
          <w:color w:val="auto"/>
        </w:rPr>
        <w:t>In connection with the acquisition of Progenics in June 2020, we issued contingent value rights (”CVRs”) tied to the financial performance of PYLARIFY. We paid $99.6 million to the CVR holders during May 2023 in full satisfaction of our obligations under the CVRs.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Continued Growth of DEFINITY</w:t>
      </w:r>
    </w:p>
    <w:p>
      <w:pPr>
        <w:spacing w:after="0" w:line="131" w:lineRule="exact"/>
        <w:rPr>
          <w:sz w:val="20"/>
          <w:szCs w:val="20"/>
          <w:color w:val="auto"/>
        </w:rPr>
      </w:pPr>
    </w:p>
    <w:p>
      <w:pPr>
        <w:ind w:right="220" w:firstLine="441"/>
        <w:spacing w:after="0" w:line="254" w:lineRule="auto"/>
        <w:rPr>
          <w:sz w:val="20"/>
          <w:szCs w:val="20"/>
          <w:color w:val="auto"/>
        </w:rPr>
      </w:pPr>
      <w:r>
        <w:rPr>
          <w:rFonts w:ascii="Times New Roman" w:cs="Times New Roman" w:eastAsia="Times New Roman" w:hAnsi="Times New Roman"/>
          <w:sz w:val="20"/>
          <w:szCs w:val="20"/>
          <w:color w:val="auto"/>
        </w:rPr>
        <w:t>We believe we will be able to increase use of DEFINITY through continued education of physicians and healthcare providers about the benefits of ultrasound enhancing agents in suboptimal echocardiograms. The U.S. market currently has three echocardiography ultrasound enhancing agents approved by the FDA; we estimate that DEFINITY will continue to hold at least an 80% share of the U.S. segment for ultrasound enhancing agents in echocardiography procedures.</w:t>
      </w:r>
    </w:p>
    <w:p>
      <w:pPr>
        <w:spacing w:after="0" w:line="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As we continue to grow our microbubble platform, our activities include:</w:t>
      </w:r>
    </w:p>
    <w:p>
      <w:pPr>
        <w:spacing w:after="0" w:line="107" w:lineRule="exact"/>
        <w:rPr>
          <w:sz w:val="20"/>
          <w:szCs w:val="20"/>
          <w:color w:val="auto"/>
        </w:rPr>
      </w:pPr>
    </w:p>
    <w:p>
      <w:pPr>
        <w:jc w:val="both"/>
        <w:ind w:left="720" w:right="220" w:hanging="183"/>
        <w:spacing w:after="0" w:line="271"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Expansion of Label </w:t>
      </w:r>
      <w:r>
        <w:rPr>
          <w:rFonts w:ascii="Times New Roman" w:cs="Times New Roman" w:eastAsia="Times New Roman" w:hAnsi="Times New Roman"/>
          <w:sz w:val="23"/>
          <w:szCs w:val="23"/>
          <w:i w:val="1"/>
          <w:iCs w:val="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March 2024, we received FDA approval for our supplemental new drug application for the use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DEFINITY in pediatric patients with suboptimal echocardiograms. The FDA decision was based on usage data from three pediatric clinical trials conducted with DEFINITY.</w:t>
      </w:r>
    </w:p>
    <w:p>
      <w:pPr>
        <w:spacing w:after="0" w:line="65" w:lineRule="exact"/>
        <w:rPr>
          <w:rFonts w:ascii="Times New Roman" w:cs="Times New Roman" w:eastAsia="Times New Roman" w:hAnsi="Times New Roman"/>
          <w:sz w:val="20"/>
          <w:szCs w:val="20"/>
          <w:color w:val="auto"/>
        </w:rPr>
      </w:pPr>
    </w:p>
    <w:p>
      <w:pPr>
        <w:ind w:left="720" w:right="660" w:hanging="183"/>
        <w:spacing w:after="0" w:line="260" w:lineRule="auto"/>
        <w:tabs>
          <w:tab w:leader="none" w:pos="720" w:val="left"/>
        </w:tabs>
        <w:numPr>
          <w:ilvl w:val="0"/>
          <w:numId w:val="37"/>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Patents </w:t>
      </w:r>
      <w:r>
        <w:rPr>
          <w:rFonts w:ascii="Times New Roman" w:cs="Times New Roman" w:eastAsia="Times New Roman" w:hAnsi="Times New Roman"/>
          <w:sz w:val="20"/>
          <w:szCs w:val="20"/>
          <w:color w:val="auto"/>
        </w:rPr>
        <w:t>- We continue to actively pursue additional patents in connection with DEFINITY, both in the U.S.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internationally. In the U.S. for DEFINITY, we have Orange Book-listed method-of-use patents, as well as additional manufacturing patents that are not Orange Book-listed.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Expansion of Strategic Partnerships and Other Revenue</w:t>
      </w:r>
    </w:p>
    <w:p>
      <w:pPr>
        <w:spacing w:after="0" w:line="131" w:lineRule="exact"/>
        <w:rPr>
          <w:sz w:val="20"/>
          <w:szCs w:val="20"/>
          <w:color w:val="auto"/>
        </w:rPr>
      </w:pPr>
    </w:p>
    <w:p>
      <w:pPr>
        <w:ind w:right="20" w:firstLine="441"/>
        <w:spacing w:after="0" w:line="252" w:lineRule="auto"/>
        <w:rPr>
          <w:sz w:val="20"/>
          <w:szCs w:val="20"/>
          <w:color w:val="auto"/>
        </w:rPr>
      </w:pPr>
      <w:r>
        <w:rPr>
          <w:rFonts w:ascii="Times New Roman" w:cs="Times New Roman" w:eastAsia="Times New Roman" w:hAnsi="Times New Roman"/>
          <w:sz w:val="20"/>
          <w:szCs w:val="20"/>
          <w:color w:val="auto"/>
        </w:rPr>
        <w:t>We continue to seek ways to further increase the overall value of our portfolio of products and product candidates. We are evaluating a number of different opportunities to collaborate, in-license or acquire additional products, product candidates, businesses and technologies to drive our future growth. In particular, with respect to our Strategic Partnerships and Other Revenue category, we are focused on radiopharmaceutical diagnostic and therapeutic product opportunities in oncology, neurology, and other strategic areas that will complement our existing portfolio.</w:t>
      </w:r>
    </w:p>
    <w:p>
      <w:pPr>
        <w:spacing w:after="0" w:line="204" w:lineRule="exact"/>
        <w:rPr>
          <w:sz w:val="20"/>
          <w:szCs w:val="20"/>
          <w:color w:val="auto"/>
        </w:rPr>
      </w:pPr>
    </w:p>
    <w:p>
      <w:pPr>
        <w:ind w:right="240" w:firstLine="441"/>
        <w:spacing w:after="0" w:line="271" w:lineRule="auto"/>
        <w:rPr>
          <w:sz w:val="20"/>
          <w:szCs w:val="20"/>
          <w:color w:val="auto"/>
        </w:rPr>
      </w:pPr>
      <w:r>
        <w:rPr>
          <w:rFonts w:ascii="Times New Roman" w:cs="Times New Roman" w:eastAsia="Times New Roman" w:hAnsi="Times New Roman"/>
          <w:sz w:val="20"/>
          <w:szCs w:val="20"/>
          <w:color w:val="auto"/>
        </w:rPr>
        <w:t>Our Strategic Partnerships and Other Revenue category includes our Strategic Partnerships, Digital Solutions, and Biomarker Solutions businesses and is focused on enabling precision medicine with biomarkers and digital solutions.</w:t>
      </w:r>
    </w:p>
    <w:p>
      <w:pPr>
        <w:spacing w:after="0" w:line="101" w:lineRule="exact"/>
        <w:rPr>
          <w:sz w:val="20"/>
          <w:szCs w:val="20"/>
          <w:color w:val="auto"/>
        </w:rPr>
      </w:pPr>
    </w:p>
    <w:p>
      <w:pPr>
        <w:ind w:left="720" w:right="80" w:hanging="183"/>
        <w:spacing w:after="0" w:line="285" w:lineRule="auto"/>
        <w:tabs>
          <w:tab w:leader="none" w:pos="720" w:val="left"/>
        </w:tabs>
        <w:numPr>
          <w:ilvl w:val="0"/>
          <w:numId w:val="38"/>
        </w:numPr>
        <w:rPr>
          <w:rFonts w:ascii="Arial" w:cs="Arial" w:eastAsia="Arial" w:hAnsi="Arial"/>
          <w:sz w:val="22"/>
          <w:szCs w:val="22"/>
          <w:color w:val="auto"/>
        </w:rPr>
      </w:pPr>
      <w:r>
        <w:rPr>
          <w:rFonts w:ascii="Times New Roman" w:cs="Times New Roman" w:eastAsia="Times New Roman" w:hAnsi="Times New Roman"/>
          <w:sz w:val="19"/>
          <w:szCs w:val="19"/>
          <w:i w:val="1"/>
          <w:iCs w:val="1"/>
          <w:color w:val="auto"/>
        </w:rPr>
        <w:t xml:space="preserve">Strategic Partnerships </w:t>
      </w:r>
      <w:r>
        <w:rPr>
          <w:rFonts w:ascii="Times New Roman" w:cs="Times New Roman" w:eastAsia="Times New Roman" w:hAnsi="Times New Roman"/>
          <w:sz w:val="19"/>
          <w:szCs w:val="19"/>
          <w:color w:val="auto"/>
        </w:rPr>
        <w:t>– We seek to monetize our assets through our Strategic Partnerships business, which includes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biomarkers and digital solutions in support of our partners’ therapeutic development, out-licensing agreements for non-core assets and optimization of our assets geographically. For example, we licensed the commercialization rights for piflufolastat F-18 in Europe to Curium, where it is now commercialized under the brand name PYLCLARI, and for flurpiridaz, which received FDA approval in 2024 under the brand name Flyrcado, to GE Healthcare Limited (“GE Healthcare”).</w:t>
      </w:r>
    </w:p>
    <w:p>
      <w:pPr>
        <w:spacing w:after="0" w:line="14" w:lineRule="exact"/>
        <w:rPr>
          <w:rFonts w:ascii="Arial" w:cs="Arial" w:eastAsia="Arial" w:hAnsi="Arial"/>
          <w:sz w:val="22"/>
          <w:szCs w:val="22"/>
          <w:color w:val="auto"/>
        </w:rPr>
      </w:pPr>
    </w:p>
    <w:p>
      <w:pPr>
        <w:ind w:left="720" w:right="60" w:hanging="183"/>
        <w:spacing w:after="0" w:line="288" w:lineRule="auto"/>
        <w:tabs>
          <w:tab w:leader="none" w:pos="720" w:val="left"/>
        </w:tabs>
        <w:numPr>
          <w:ilvl w:val="0"/>
          <w:numId w:val="38"/>
        </w:numPr>
        <w:rPr>
          <w:rFonts w:ascii="Arial" w:cs="Arial" w:eastAsia="Arial" w:hAnsi="Arial"/>
          <w:sz w:val="22"/>
          <w:szCs w:val="22"/>
          <w:color w:val="auto"/>
        </w:rPr>
      </w:pPr>
      <w:r>
        <w:rPr>
          <w:rFonts w:ascii="Times New Roman" w:cs="Times New Roman" w:eastAsia="Times New Roman" w:hAnsi="Times New Roman"/>
          <w:sz w:val="19"/>
          <w:szCs w:val="19"/>
          <w:i w:val="1"/>
          <w:iCs w:val="1"/>
          <w:color w:val="auto"/>
        </w:rPr>
        <w:t xml:space="preserve">Digital Solutions </w:t>
      </w:r>
      <w:r>
        <w:rPr>
          <w:rFonts w:ascii="Times New Roman" w:cs="Times New Roman" w:eastAsia="Times New Roman" w:hAnsi="Times New Roman"/>
          <w:sz w:val="19"/>
          <w:szCs w:val="19"/>
          <w:color w:val="auto"/>
        </w:rPr>
        <w:t>– Our Digital Solutions are designed to enhance imaging value and the throughput, reproducibility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reliability of image analysis, as well as to inform treatment selection and response to therapy. We offer our Digital Solutions</w:t>
      </w:r>
    </w:p>
    <w:p>
      <w:pPr>
        <w:spacing w:after="0" w:line="1" w:lineRule="exact"/>
        <w:rPr>
          <w:rFonts w:ascii="Arial" w:cs="Arial" w:eastAsia="Arial" w:hAnsi="Arial"/>
          <w:sz w:val="22"/>
          <w:szCs w:val="22"/>
          <w:color w:val="auto"/>
        </w:rPr>
      </w:pPr>
    </w:p>
    <w:p>
      <w:pPr>
        <w:ind w:left="720"/>
        <w:spacing w:after="0" w:line="277" w:lineRule="auto"/>
        <w:rPr>
          <w:rFonts w:ascii="Arial" w:cs="Arial" w:eastAsia="Arial" w:hAnsi="Arial"/>
          <w:sz w:val="22"/>
          <w:szCs w:val="22"/>
          <w:color w:val="auto"/>
        </w:rPr>
      </w:pPr>
      <w:r>
        <w:rPr>
          <w:rFonts w:ascii="Times New Roman" w:cs="Times New Roman" w:eastAsia="Times New Roman" w:hAnsi="Times New Roman"/>
          <w:sz w:val="20"/>
          <w:szCs w:val="20"/>
          <w:color w:val="auto"/>
        </w:rPr>
        <w:t>to HCPs for clinical use and to pharmaceutical companies for development purposes, and in some cases, we also obtain clinical imaging data that we may use to further develop artificial intelligence solutions</w:t>
      </w:r>
      <w:r>
        <w:rPr>
          <w:rFonts w:ascii="Times New Roman" w:cs="Times New Roman" w:eastAsia="Times New Roman" w:hAnsi="Times New Roman"/>
          <w:sz w:val="23"/>
          <w:szCs w:val="23"/>
          <w:i w:val="1"/>
          <w:iCs w:val="1"/>
          <w:color w:val="auto"/>
        </w:rPr>
        <w:t>.</w:t>
      </w:r>
      <w:r>
        <w:rPr>
          <w:rFonts w:ascii="Times New Roman" w:cs="Times New Roman" w:eastAsia="Times New Roman" w:hAnsi="Times New Roman"/>
          <w:sz w:val="20"/>
          <w:szCs w:val="20"/>
          <w:color w:val="auto"/>
        </w:rPr>
        <w:t xml:space="preserve"> Our Digital Solutions include artificial intelligence medical device software, such as aPROMISE and Automated Bone Scan Index (“aBSI”), both of which are FDA cleared and received a European Conformity Marking (“CE mark”).</w:t>
      </w:r>
    </w:p>
    <w:p>
      <w:pPr>
        <w:spacing w:after="0" w:line="24" w:lineRule="exact"/>
        <w:rPr>
          <w:rFonts w:ascii="Arial" w:cs="Arial" w:eastAsia="Arial" w:hAnsi="Arial"/>
          <w:sz w:val="22"/>
          <w:szCs w:val="22"/>
          <w:color w:val="auto"/>
        </w:rPr>
      </w:pPr>
    </w:p>
    <w:p>
      <w:pPr>
        <w:ind w:left="720" w:right="20" w:hanging="183"/>
        <w:spacing w:after="0" w:line="309" w:lineRule="auto"/>
        <w:tabs>
          <w:tab w:leader="none" w:pos="720" w:val="left"/>
        </w:tabs>
        <w:numPr>
          <w:ilvl w:val="0"/>
          <w:numId w:val="38"/>
        </w:numPr>
        <w:rPr>
          <w:rFonts w:ascii="Arial" w:cs="Arial" w:eastAsia="Arial" w:hAnsi="Arial"/>
          <w:sz w:val="22"/>
          <w:szCs w:val="22"/>
          <w:color w:val="auto"/>
        </w:rPr>
      </w:pPr>
      <w:r>
        <w:rPr>
          <w:rFonts w:ascii="Times New Roman" w:cs="Times New Roman" w:eastAsia="Times New Roman" w:hAnsi="Times New Roman"/>
          <w:sz w:val="19"/>
          <w:szCs w:val="19"/>
          <w:i w:val="1"/>
          <w:iCs w:val="1"/>
          <w:color w:val="auto"/>
        </w:rPr>
        <w:t xml:space="preserve">Biomarker Solutions </w:t>
      </w:r>
      <w:r>
        <w:rPr>
          <w:rFonts w:ascii="Times New Roman" w:cs="Times New Roman" w:eastAsia="Times New Roman" w:hAnsi="Times New Roman"/>
          <w:sz w:val="19"/>
          <w:szCs w:val="19"/>
          <w:color w:val="auto"/>
        </w:rPr>
        <w:t>– We use our Biomarker Solutions business to offer our Biomarker and Microbubble Platforms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pharmaceutical companies to support their research and development of therapeutic drugs and devices. The strategic goal of our Biomarker Solutions business is to gain early access to innovation, de-risk the development, generate data, embed our technologies in the clinical ecosystem and establish the clinical utility of product candidates and research tools in our pipeline. Our biomarkers are intended to support patient selection and the monitoring of disease progression. For example, piflufolastat F-18 is currently being used by Curium Pharma and Regeneron Pharmaceuticals in their respective prostate cancer therapeutic drug development programs, and was also used in the development of PNT2002. MK-6240 is a widely utilized tau PET tracer in Alzheimer’s disease studies with over 100 ongoing academic and industry sponsored clinical trials, many for late-stage therapeutic candidates. NAV-4694 is also being used in academic and industry sponsored clinical trials.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Inventory Supply &amp; Third Party Suppliers</w:t>
      </w:r>
    </w:p>
    <w:p>
      <w:pPr>
        <w:spacing w:after="0" w:line="131" w:lineRule="exact"/>
        <w:rPr>
          <w:sz w:val="20"/>
          <w:szCs w:val="20"/>
          <w:color w:val="auto"/>
        </w:rPr>
      </w:pPr>
    </w:p>
    <w:p>
      <w:pPr>
        <w:ind w:right="120" w:firstLine="441"/>
        <w:spacing w:after="0" w:line="271" w:lineRule="auto"/>
        <w:rPr>
          <w:sz w:val="20"/>
          <w:szCs w:val="20"/>
          <w:color w:val="auto"/>
        </w:rPr>
      </w:pPr>
      <w:r>
        <w:rPr>
          <w:rFonts w:ascii="Times New Roman" w:cs="Times New Roman" w:eastAsia="Times New Roman" w:hAnsi="Times New Roman"/>
          <w:sz w:val="19"/>
          <w:szCs w:val="19"/>
          <w:color w:val="auto"/>
        </w:rPr>
        <w:t>We obtain a substantial portion of our imaging agents from third-party suppliers. Jubilant HollisterStier (“JHS”) is currently a significant supplier of DEFINITY and our sole source manufacturer of NEUROLITE, CARDIOLITE and evacuation vials, the latter being an ancillary component for our TechneLite generators. Our manufacturing and supply agreement with JHS (the “JHS MSA”) runs through December 31, 2027 and can be further extended by mutual agreement of the parties. The JHS MSA requires us to</w:t>
      </w:r>
    </w:p>
    <w:p>
      <w:pPr>
        <w:sectPr>
          <w:pgSz w:w="11880" w:h="15480" w:orient="portrait"/>
          <w:cols w:equalWidth="0" w:num="1">
            <w:col w:w="10520"/>
          </w:cols>
          <w:pgMar w:left="640" w:top="622" w:right="720" w:bottom="0" w:gutter="0" w:footer="0" w:header="0"/>
        </w:sectPr>
      </w:pPr>
    </w:p>
    <w:p>
      <w:pPr>
        <w:spacing w:after="0" w:line="3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63</w:t>
      </w:r>
    </w:p>
    <w:p>
      <w:pPr>
        <w:sectPr>
          <w:pgSz w:w="11880" w:h="15480" w:orient="portrait"/>
          <w:cols w:equalWidth="0" w:num="1">
            <w:col w:w="10520"/>
          </w:cols>
          <w:pgMar w:left="640" w:top="622" w:right="720" w:bottom="0" w:gutter="0" w:footer="0" w:header="0"/>
          <w:type w:val="continuous"/>
        </w:sectPr>
      </w:pPr>
    </w:p>
    <w:bookmarkStart w:id="69" w:name="page70"/>
    <w:bookmarkEnd w:id="69"/>
    <w:p>
      <w:pPr>
        <w:jc w:val="both"/>
        <w:ind w:right="300"/>
        <w:spacing w:after="0" w:line="258" w:lineRule="auto"/>
        <w:rPr>
          <w:sz w:val="20"/>
          <w:szCs w:val="20"/>
          <w:color w:val="auto"/>
        </w:rPr>
      </w:pPr>
      <w:r>
        <w:rPr>
          <w:rFonts w:ascii="Times New Roman" w:cs="Times New Roman" w:eastAsia="Times New Roman" w:hAnsi="Times New Roman"/>
          <w:sz w:val="20"/>
          <w:szCs w:val="20"/>
          <w:color w:val="auto"/>
        </w:rPr>
        <w:t>purchase from JHS specified percentages of our total requirements for DEFINITY, as well as specified quantities of NEUROLITE, CARDIOLITE and evacuation vial products, each year during the contract term. Either party can terminate the JHS MSA upon the occurrence of certain events, including the material breach or bankruptcy of the other party.</w:t>
      </w:r>
    </w:p>
    <w:p>
      <w:pPr>
        <w:spacing w:after="0" w:line="199"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20"/>
          <w:szCs w:val="20"/>
          <w:color w:val="auto"/>
        </w:rPr>
        <w:t>In 2021, we completed the construction of a specialized in-house manufacturing facility at our North Billerica campus to produce DEFINITY. On February 22, 2022, we received FDA approval of our supplemental new drug application authorizing commercial manufacturing of DEFINITY at our new facility. We believe this investment provides supply chain redundancy, improved flexibility and reduced costs in a potentially more price competitive environment.</w:t>
      </w:r>
    </w:p>
    <w:p>
      <w:pPr>
        <w:spacing w:after="0" w:line="202" w:lineRule="exact"/>
        <w:rPr>
          <w:sz w:val="20"/>
          <w:szCs w:val="20"/>
          <w:color w:val="auto"/>
        </w:rPr>
      </w:pPr>
    </w:p>
    <w:p>
      <w:pPr>
        <w:ind w:right="60" w:firstLine="441"/>
        <w:spacing w:after="0" w:line="252" w:lineRule="auto"/>
        <w:rPr>
          <w:sz w:val="20"/>
          <w:szCs w:val="20"/>
          <w:color w:val="auto"/>
        </w:rPr>
      </w:pPr>
      <w:r>
        <w:rPr>
          <w:rFonts w:ascii="Times New Roman" w:cs="Times New Roman" w:eastAsia="Times New Roman" w:hAnsi="Times New Roman"/>
          <w:sz w:val="20"/>
          <w:szCs w:val="20"/>
          <w:color w:val="auto"/>
        </w:rPr>
        <w:t>Radiopharmaceuticals are decaying radioisotopes with half-lives ranging from a few hours to several days. Radiopharmaceutical finished goods, such as doses of PYLARIFY, cannot be kept in inventory because of their limited shelf lives and are subject to just-in-time manufacturing, processing, and distribution, which takes place at multiple PMF manufacturing partner sites that produce and deliver doses for us across the U.S. Our TechneLite generators and Xenon-133 are manufactured at our facilities in North Billerica, Massachusetts.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131" w:lineRule="exact"/>
        <w:rPr>
          <w:sz w:val="20"/>
          <w:szCs w:val="20"/>
          <w:color w:val="auto"/>
        </w:rPr>
      </w:pPr>
    </w:p>
    <w:p>
      <w:pPr>
        <w:ind w:right="280" w:firstLine="441"/>
        <w:spacing w:after="0" w:line="271" w:lineRule="auto"/>
        <w:rPr>
          <w:sz w:val="20"/>
          <w:szCs w:val="20"/>
          <w:color w:val="auto"/>
        </w:rPr>
      </w:pPr>
      <w:r>
        <w:rPr>
          <w:rFonts w:ascii="Times New Roman" w:cs="Times New Roman" w:eastAsia="Times New Roman" w:hAnsi="Times New Roman"/>
          <w:sz w:val="20"/>
          <w:szCs w:val="20"/>
          <w:color w:val="auto"/>
        </w:rPr>
        <w:t>To ensure we remain the leading radiopharmaceutical-focused company, we have historically made and will continue to make substantial investments in new product development and lifecycle management for existing products, including:</w:t>
      </w:r>
    </w:p>
    <w:p>
      <w:pPr>
        <w:spacing w:after="0" w:line="69" w:lineRule="exact"/>
        <w:rPr>
          <w:sz w:val="20"/>
          <w:szCs w:val="20"/>
          <w:color w:val="auto"/>
        </w:rPr>
      </w:pPr>
    </w:p>
    <w:p>
      <w:pPr>
        <w:ind w:left="720" w:right="100" w:hanging="183"/>
        <w:spacing w:after="0" w:line="238"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PYLARIFY, we are conducting a clinical trial to determine whether PYLARIFY can detect the presence or absence of additional prostate cancer lesions in patients with favorable intermediate-risk prostate cancer, as well as how it may change the patient’s intended management. We also continue to support investigator sponsored research with the potential to expand the clinical utility of PYLARIFY.</w:t>
      </w:r>
    </w:p>
    <w:p>
      <w:pPr>
        <w:spacing w:after="0" w:line="83" w:lineRule="exact"/>
        <w:rPr>
          <w:rFonts w:ascii="Times New Roman" w:cs="Times New Roman" w:eastAsia="Times New Roman" w:hAnsi="Times New Roman"/>
          <w:sz w:val="20"/>
          <w:szCs w:val="20"/>
          <w:color w:val="auto"/>
        </w:rPr>
      </w:pPr>
    </w:p>
    <w:p>
      <w:pPr>
        <w:ind w:left="720" w:right="380" w:hanging="183"/>
        <w:spacing w:after="0" w:line="254"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PNT2002 and PNT2003, we were granted a license to exclusive worldwide rights (excluding certain countries) for $260.0 million in upfront payments during the fourth quarter of 2022 and will potentially make additional payments as described below. We also filed an ANDA for PNT2003 as described further in the section entitled </w:t>
      </w:r>
      <w:r>
        <w:rPr>
          <w:rFonts w:ascii="Times New Roman" w:cs="Times New Roman" w:eastAsia="Times New Roman" w:hAnsi="Times New Roman"/>
          <w:sz w:val="20"/>
          <w:szCs w:val="20"/>
          <w:i w:val="1"/>
          <w:iCs w:val="1"/>
          <w:color w:val="auto"/>
        </w:rPr>
        <w:t>“Exclusive License for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PNT2002 and PNT2003” </w:t>
      </w:r>
      <w:r>
        <w:rPr>
          <w:rFonts w:ascii="Times New Roman" w:cs="Times New Roman" w:eastAsia="Times New Roman" w:hAnsi="Times New Roman"/>
          <w:sz w:val="20"/>
          <w:szCs w:val="20"/>
          <w:color w:val="auto"/>
        </w:rPr>
        <w:t>in Part I, Item 1.</w:t>
      </w:r>
      <w:r>
        <w:rPr>
          <w:rFonts w:ascii="Times New Roman" w:cs="Times New Roman" w:eastAsia="Times New Roman" w:hAnsi="Times New Roman"/>
          <w:sz w:val="20"/>
          <w:szCs w:val="20"/>
          <w:i w:val="1"/>
          <w:iCs w:val="1"/>
          <w:color w:val="auto"/>
        </w:rPr>
        <w:t xml:space="preserve"> “Business - Other Notable Transactions” </w:t>
      </w:r>
      <w:r>
        <w:rPr>
          <w:rFonts w:ascii="Times New Roman" w:cs="Times New Roman" w:eastAsia="Times New Roman" w:hAnsi="Times New Roman"/>
          <w:sz w:val="20"/>
          <w:szCs w:val="20"/>
          <w:color w:val="auto"/>
        </w:rPr>
        <w:t>of this Form 10-K.</w:t>
      </w:r>
    </w:p>
    <w:p>
      <w:pPr>
        <w:spacing w:after="0" w:line="84" w:lineRule="exact"/>
        <w:rPr>
          <w:rFonts w:ascii="Times New Roman" w:cs="Times New Roman" w:eastAsia="Times New Roman" w:hAnsi="Times New Roman"/>
          <w:sz w:val="20"/>
          <w:szCs w:val="20"/>
          <w:color w:val="auto"/>
        </w:rPr>
      </w:pPr>
    </w:p>
    <w:p>
      <w:pPr>
        <w:ind w:left="720" w:right="300" w:hanging="183"/>
        <w:spacing w:after="0" w:line="238"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MK-6240, we acquired the right to the investigational asset for an upfront payment of $35.3 million in February 2023 and an additional $10.0 million in May 2023 upon the successful completion of a technology transfer and will potentially make additional milestone and royalty payments. In 2024, we held a pre-NDA meeting with the FDA and are expecting to submit an NDA for MK-6240 in 2025.</w:t>
      </w:r>
    </w:p>
    <w:p>
      <w:pPr>
        <w:spacing w:after="0" w:line="118" w:lineRule="exact"/>
        <w:rPr>
          <w:rFonts w:ascii="Times New Roman" w:cs="Times New Roman" w:eastAsia="Times New Roman" w:hAnsi="Times New Roman"/>
          <w:sz w:val="20"/>
          <w:szCs w:val="20"/>
          <w:color w:val="auto"/>
        </w:rPr>
      </w:pPr>
    </w:p>
    <w:p>
      <w:pPr>
        <w:ind w:left="720" w:right="40" w:hanging="183"/>
        <w:spacing w:after="0" w:line="279" w:lineRule="auto"/>
        <w:tabs>
          <w:tab w:leader="none" w:pos="720" w:val="left"/>
        </w:tabs>
        <w:numPr>
          <w:ilvl w:val="0"/>
          <w:numId w:val="39"/>
        </w:numPr>
        <w:rPr>
          <w:rFonts w:ascii="Arial" w:cs="Arial" w:eastAsia="Arial" w:hAnsi="Arial"/>
          <w:sz w:val="24"/>
          <w:szCs w:val="24"/>
          <w:color w:val="auto"/>
        </w:rPr>
      </w:pPr>
      <w:r>
        <w:rPr>
          <w:rFonts w:ascii="Times New Roman" w:cs="Times New Roman" w:eastAsia="Times New Roman" w:hAnsi="Times New Roman"/>
          <w:sz w:val="20"/>
          <w:szCs w:val="20"/>
          <w:color w:val="auto"/>
        </w:rPr>
        <w:t>For NAV-4694, we acquired the rights to the investigational asset for an upfront payment of $32.9 million in June 2024 and an additional $10.0 million in August 2024 upon the successful completion of a technology transfer and will potentially make additional milestone and royalty payments.</w:t>
      </w:r>
    </w:p>
    <w:p>
      <w:pPr>
        <w:spacing w:after="0" w:line="73" w:lineRule="exact"/>
        <w:rPr>
          <w:rFonts w:ascii="Arial" w:cs="Arial" w:eastAsia="Arial" w:hAnsi="Arial"/>
          <w:sz w:val="24"/>
          <w:szCs w:val="24"/>
          <w:color w:val="auto"/>
        </w:rPr>
      </w:pPr>
    </w:p>
    <w:p>
      <w:pPr>
        <w:jc w:val="both"/>
        <w:ind w:left="720" w:right="480" w:hanging="183"/>
        <w:spacing w:after="0" w:line="258"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LNTH-1363S, in collaboration with Ratio Therapeutics LLC (previously Noria Therapeutics, Inc.), we completed a Phase 1 study to evaluate the pharmacokinetics, biodistribution, and radiation dosimetry in adult healthy volunteers. We initiated a Phase 1/2a study in patients in 2024.</w:t>
      </w:r>
    </w:p>
    <w:p>
      <w:pPr>
        <w:spacing w:after="0" w:line="81" w:lineRule="exact"/>
        <w:rPr>
          <w:rFonts w:ascii="Times New Roman" w:cs="Times New Roman" w:eastAsia="Times New Roman" w:hAnsi="Times New Roman"/>
          <w:sz w:val="20"/>
          <w:szCs w:val="20"/>
          <w:color w:val="auto"/>
        </w:rPr>
      </w:pPr>
    </w:p>
    <w:p>
      <w:pPr>
        <w:jc w:val="both"/>
        <w:ind w:left="720" w:right="260" w:hanging="183"/>
        <w:spacing w:after="0" w:line="258"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RM2, we acquired global rights for an upfront payment of $35.0 million plus a $1.0 million payment made prior to the acquisition, and will potentially make additional milestone and royalty payments. We plan to initiate a Phase 1/2a study in prostate cancer patients in 2025.</w:t>
      </w:r>
    </w:p>
    <w:p>
      <w:pPr>
        <w:spacing w:after="0" w:line="81" w:lineRule="exact"/>
        <w:rPr>
          <w:rFonts w:ascii="Times New Roman" w:cs="Times New Roman" w:eastAsia="Times New Roman" w:hAnsi="Times New Roman"/>
          <w:sz w:val="20"/>
          <w:szCs w:val="20"/>
          <w:color w:val="auto"/>
        </w:rPr>
      </w:pPr>
    </w:p>
    <w:p>
      <w:pPr>
        <w:ind w:left="720" w:right="460" w:hanging="183"/>
        <w:spacing w:after="0" w:line="271"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LRRC15 and TROP2, we acquired the rights to the preclinical assets and the underlying license agreements for $2.0 million and will potentially make additional milestone and royalty payments.</w:t>
      </w:r>
    </w:p>
    <w:p>
      <w:pPr>
        <w:spacing w:after="0" w:line="186" w:lineRule="exact"/>
        <w:rPr>
          <w:sz w:val="20"/>
          <w:szCs w:val="20"/>
          <w:color w:val="auto"/>
        </w:rPr>
      </w:pPr>
    </w:p>
    <w:p>
      <w:pPr>
        <w:jc w:val="both"/>
        <w:ind w:right="280" w:firstLine="441"/>
        <w:spacing w:after="0" w:line="258" w:lineRule="auto"/>
        <w:rPr>
          <w:sz w:val="20"/>
          <w:szCs w:val="20"/>
          <w:color w:val="auto"/>
        </w:rPr>
      </w:pPr>
      <w:r>
        <w:rPr>
          <w:rFonts w:ascii="Times New Roman" w:cs="Times New Roman" w:eastAsia="Times New Roman" w:hAnsi="Times New Roman"/>
          <w:sz w:val="20"/>
          <w:szCs w:val="20"/>
          <w:color w:val="auto"/>
        </w:rPr>
        <w:t xml:space="preserve">For more information on potential milestone and royalty payments related to the product candidates listed above, see Note 21, </w:t>
      </w:r>
      <w:r>
        <w:rPr>
          <w:rFonts w:ascii="Times New Roman" w:cs="Times New Roman" w:eastAsia="Times New Roman" w:hAnsi="Times New Roman"/>
          <w:sz w:val="20"/>
          <w:szCs w:val="20"/>
          <w:i w:val="1"/>
          <w:iCs w:val="1"/>
          <w:color w:val="auto"/>
        </w:rPr>
        <w:t xml:space="preserve">"Acquisition of Assets" </w:t>
      </w:r>
      <w:r>
        <w:rPr>
          <w:rFonts w:ascii="Times New Roman" w:cs="Times New Roman" w:eastAsia="Times New Roman" w:hAnsi="Times New Roman"/>
          <w:sz w:val="20"/>
          <w:szCs w:val="20"/>
          <w:color w:val="auto"/>
        </w:rPr>
        <w:t>to our consolidated consolidated financial statements included in Part II, Item 8,</w:t>
      </w:r>
      <w:r>
        <w:rPr>
          <w:rFonts w:ascii="Times New Roman" w:cs="Times New Roman" w:eastAsia="Times New Roman" w:hAnsi="Times New Roman"/>
          <w:sz w:val="20"/>
          <w:szCs w:val="20"/>
          <w:i w:val="1"/>
          <w:iCs w:val="1"/>
          <w:color w:val="auto"/>
        </w:rPr>
        <w:t xml:space="preserve"> “Financial Statements and Supplementary Data” </w:t>
      </w:r>
      <w:r>
        <w:rPr>
          <w:rFonts w:ascii="Times New Roman" w:cs="Times New Roman" w:eastAsia="Times New Roman" w:hAnsi="Times New Roman"/>
          <w:sz w:val="20"/>
          <w:szCs w:val="20"/>
          <w:color w:val="auto"/>
        </w:rPr>
        <w:t>of this Form 10-K.</w:t>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i w:val="1"/>
          <w:iCs w:val="1"/>
          <w:color w:val="auto"/>
        </w:rPr>
        <w:t>PNT2002</w:t>
      </w:r>
    </w:p>
    <w:p>
      <w:pPr>
        <w:spacing w:after="0" w:line="126" w:lineRule="exact"/>
        <w:rPr>
          <w:sz w:val="20"/>
          <w:szCs w:val="20"/>
          <w:color w:val="auto"/>
        </w:rPr>
      </w:pPr>
    </w:p>
    <w:p>
      <w:pPr>
        <w:ind w:right="40" w:firstLine="441"/>
        <w:spacing w:after="0" w:line="249" w:lineRule="auto"/>
        <w:rPr>
          <w:sz w:val="20"/>
          <w:szCs w:val="20"/>
          <w:color w:val="auto"/>
        </w:rPr>
      </w:pPr>
      <w:r>
        <w:rPr>
          <w:rFonts w:ascii="Times New Roman" w:cs="Times New Roman" w:eastAsia="Times New Roman" w:hAnsi="Times New Roman"/>
          <w:sz w:val="20"/>
          <w:szCs w:val="20"/>
          <w:color w:val="auto"/>
        </w:rPr>
        <w:t>Under the terms of the PNT2002 License Agreement, we paid POINT Biopharma Global Inc. (“POINT”) an upfront cash payment of $250.0 million, and could pay up to an additional $281.0 million in milestone payments upon the achievement of specified U.S. and ex-U.S. regulatory milestones. POINT is also eligible to receive up to $1.3 billion in sales milestone payments upon the achievement of specified annual sales thresholds of PNT2002. In addition, after Lantheus Two achieves $500.0 million in cumulative gross profit, POINT is eligible to receive royalty payments of 20% of net sales of PNT2002. Prior to achieving that financial recoupment threshold, POINT is eligible to receive royalty payments of 20% on that portion of annual net sales of PNT2002 that generate annual gross profit in excess of specified levels.</w:t>
      </w:r>
    </w:p>
    <w:p>
      <w:pPr>
        <w:spacing w:after="0" w:line="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i w:val="1"/>
          <w:iCs w:val="1"/>
          <w:color w:val="auto"/>
        </w:rPr>
        <w:t>PNT2003</w:t>
      </w:r>
    </w:p>
    <w:p>
      <w:pPr>
        <w:sectPr>
          <w:pgSz w:w="11880" w:h="15480" w:orient="portrait"/>
          <w:cols w:equalWidth="0" w:num="1">
            <w:col w:w="10600"/>
          </w:cols>
          <w:pgMar w:left="640" w:top="622" w:right="640" w:bottom="0" w:gutter="0" w:footer="0" w:header="0"/>
        </w:sect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880" w:h="15480" w:orient="portrait"/>
          <w:cols w:equalWidth="0" w:num="1">
            <w:col w:w="10600"/>
          </w:cols>
          <w:pgMar w:left="640" w:top="622" w:right="640" w:bottom="0" w:gutter="0" w:footer="0" w:header="0"/>
          <w:type w:val="continuous"/>
        </w:sectPr>
      </w:pPr>
    </w:p>
    <w:bookmarkStart w:id="70" w:name="page71"/>
    <w:bookmarkEnd w:id="70"/>
    <w:p>
      <w:pPr>
        <w:jc w:val="both"/>
        <w:ind w:right="60" w:firstLine="441"/>
        <w:spacing w:after="0" w:line="254" w:lineRule="auto"/>
        <w:rPr>
          <w:sz w:val="20"/>
          <w:szCs w:val="20"/>
          <w:color w:val="auto"/>
        </w:rPr>
      </w:pPr>
      <w:r>
        <w:rPr>
          <w:rFonts w:ascii="Times New Roman" w:cs="Times New Roman" w:eastAsia="Times New Roman" w:hAnsi="Times New Roman"/>
          <w:sz w:val="20"/>
          <w:szCs w:val="20"/>
          <w:color w:val="auto"/>
        </w:rPr>
        <w:t>Under the terms of the PNT2003 License Agreement, we paid POINT an upfront payment of $10.0 million, and could pay up to an additional $34.5 million in milestone payments upon the achievement of specified U.S. and ex-U.S. regulatory milestones. POINT is also eligible to receive up to $275.0 million in sales milestone payments upon the achievement of specified annual sales thresholds of PNT2003. In addition, POINT is eligible to receive royalty payments of 15% of net sales of PNT2003.</w:t>
      </w:r>
    </w:p>
    <w:p>
      <w:pPr>
        <w:spacing w:after="0" w:line="202" w:lineRule="exact"/>
        <w:rPr>
          <w:sz w:val="20"/>
          <w:szCs w:val="20"/>
          <w:color w:val="auto"/>
        </w:rPr>
      </w:pPr>
    </w:p>
    <w:p>
      <w:pPr>
        <w:jc w:val="both"/>
        <w:ind w:right="600" w:firstLine="441"/>
        <w:spacing w:after="0" w:line="258" w:lineRule="auto"/>
        <w:rPr>
          <w:sz w:val="20"/>
          <w:szCs w:val="20"/>
          <w:color w:val="auto"/>
        </w:rPr>
      </w:pPr>
      <w:r>
        <w:rPr>
          <w:rFonts w:ascii="Times New Roman" w:cs="Times New Roman" w:eastAsia="Times New Roman" w:hAnsi="Times New Roman"/>
          <w:sz w:val="20"/>
          <w:szCs w:val="20"/>
          <w:color w:val="auto"/>
        </w:rPr>
        <w:t>Our investments in these additional clinical activities and lifecycle management opportunities will increase our operating expenses and impact our results of operations and cash flow, and we can give no assurances as to whether any of these clinical development candidates or lifecycle management opportunities will be successful.</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Strategic Partnerships and Other Revenue</w:t>
      </w:r>
    </w:p>
    <w:p>
      <w:pPr>
        <w:spacing w:after="0" w:line="1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i w:val="1"/>
          <w:iCs w:val="1"/>
          <w:color w:val="auto"/>
        </w:rPr>
        <w:t>Oncology</w:t>
      </w:r>
    </w:p>
    <w:p>
      <w:pPr>
        <w:spacing w:after="0" w:line="126" w:lineRule="exact"/>
        <w:rPr>
          <w:sz w:val="20"/>
          <w:szCs w:val="20"/>
          <w:color w:val="auto"/>
        </w:rPr>
      </w:pPr>
    </w:p>
    <w:p>
      <w:pPr>
        <w:ind w:right="200" w:firstLine="441"/>
        <w:spacing w:after="0" w:line="252" w:lineRule="auto"/>
        <w:rPr>
          <w:sz w:val="20"/>
          <w:szCs w:val="20"/>
          <w:color w:val="auto"/>
        </w:rPr>
      </w:pPr>
      <w:r>
        <w:rPr>
          <w:rFonts w:ascii="Times New Roman" w:cs="Times New Roman" w:eastAsia="Times New Roman" w:hAnsi="Times New Roman"/>
          <w:sz w:val="20"/>
          <w:szCs w:val="20"/>
          <w:color w:val="auto"/>
        </w:rPr>
        <w:t>As we continue to pursue expanding our strategic partnerships, our Biomarker Solutions activities in oncology are designed to enable precision medicine using biomarkers and digital solutions that augment diagnostic productivity. For example, in prostate cancer, we collaborate with pharmaceutical companies by supplying them with piflufolastat F-18 for use in their therapeutic drug development programs. In addition, with respect to our microbubble platform, we collaborate with strategic partners to provide microbubbles to be used in combination with those partners’ devices currently under development.</w:t>
      </w:r>
    </w:p>
    <w:p>
      <w:pPr>
        <w:spacing w:after="0" w:line="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i w:val="1"/>
          <w:iCs w:val="1"/>
          <w:color w:val="auto"/>
        </w:rPr>
        <w:t>flurpiridaz</w:t>
      </w:r>
    </w:p>
    <w:p>
      <w:pPr>
        <w:spacing w:after="0" w:line="243" w:lineRule="exact"/>
        <w:rPr>
          <w:sz w:val="20"/>
          <w:szCs w:val="20"/>
          <w:color w:val="auto"/>
        </w:rPr>
      </w:pPr>
    </w:p>
    <w:p>
      <w:pPr>
        <w:ind w:right="320" w:firstLine="441"/>
        <w:spacing w:after="0" w:line="271" w:lineRule="auto"/>
        <w:rPr>
          <w:sz w:val="20"/>
          <w:szCs w:val="20"/>
          <w:color w:val="auto"/>
        </w:rPr>
      </w:pPr>
      <w:r>
        <w:rPr>
          <w:rFonts w:ascii="Times New Roman" w:cs="Times New Roman" w:eastAsia="Times New Roman" w:hAnsi="Times New Roman"/>
          <w:sz w:val="20"/>
          <w:szCs w:val="20"/>
          <w:color w:val="auto"/>
        </w:rPr>
        <w:t>In September 2024, GE Healthcare announced that it had received FDA approval of Flyrcado (flurpiridaz F-18) for coronary artery disease diagnosis.</w:t>
      </w:r>
    </w:p>
    <w:p>
      <w:pPr>
        <w:spacing w:after="0" w:line="186" w:lineRule="exact"/>
        <w:rPr>
          <w:sz w:val="20"/>
          <w:szCs w:val="20"/>
          <w:color w:val="auto"/>
        </w:rPr>
      </w:pPr>
    </w:p>
    <w:p>
      <w:pPr>
        <w:ind w:right="40" w:firstLine="441"/>
        <w:spacing w:after="0" w:line="271" w:lineRule="auto"/>
        <w:rPr>
          <w:sz w:val="20"/>
          <w:szCs w:val="20"/>
          <w:color w:val="auto"/>
        </w:rPr>
      </w:pPr>
      <w:r>
        <w:rPr>
          <w:rFonts w:ascii="Times New Roman" w:cs="Times New Roman" w:eastAsia="Times New Roman" w:hAnsi="Times New Roman"/>
          <w:sz w:val="20"/>
          <w:szCs w:val="20"/>
          <w:color w:val="auto"/>
        </w:rPr>
        <w:t>Under a Collaboration and License Agreement, GE Healthcare has led the funding and development of flurpiridaz F-18, and has the global commercialization rights for it. We have the right to receive:</w:t>
      </w:r>
    </w:p>
    <w:p>
      <w:pPr>
        <w:spacing w:after="0" w:line="69" w:lineRule="exact"/>
        <w:rPr>
          <w:sz w:val="20"/>
          <w:szCs w:val="20"/>
          <w:color w:val="auto"/>
        </w:rPr>
      </w:pPr>
    </w:p>
    <w:p>
      <w:pPr>
        <w:ind w:left="800" w:hanging="263"/>
        <w:spacing w:after="0"/>
        <w:tabs>
          <w:tab w:leader="none" w:pos="8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 to $60 million in regulatory and sales milestone payments,</w:t>
      </w:r>
    </w:p>
    <w:p>
      <w:pPr>
        <w:spacing w:after="0" w:line="122" w:lineRule="exact"/>
        <w:rPr>
          <w:rFonts w:ascii="Times New Roman" w:cs="Times New Roman" w:eastAsia="Times New Roman" w:hAnsi="Times New Roman"/>
          <w:sz w:val="20"/>
          <w:szCs w:val="20"/>
          <w:color w:val="auto"/>
        </w:rPr>
      </w:pPr>
    </w:p>
    <w:p>
      <w:pPr>
        <w:ind w:left="800" w:hanging="263"/>
        <w:spacing w:after="0"/>
        <w:tabs>
          <w:tab w:leader="none" w:pos="8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tiered double-digit royalties on U.S. sales., and</w:t>
      </w:r>
    </w:p>
    <w:p>
      <w:pPr>
        <w:spacing w:after="0" w:line="122" w:lineRule="exact"/>
        <w:rPr>
          <w:rFonts w:ascii="Times New Roman" w:cs="Times New Roman" w:eastAsia="Times New Roman" w:hAnsi="Times New Roman"/>
          <w:sz w:val="20"/>
          <w:szCs w:val="20"/>
          <w:color w:val="auto"/>
        </w:rPr>
      </w:pPr>
    </w:p>
    <w:p>
      <w:pPr>
        <w:ind w:left="800" w:hanging="263"/>
        <w:spacing w:after="0"/>
        <w:tabs>
          <w:tab w:leader="none" w:pos="8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mid-single digit royalties on sales outside of the U.S.</w:t>
      </w:r>
    </w:p>
    <w:p>
      <w:pPr>
        <w:spacing w:after="0" w:line="240"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20"/>
          <w:szCs w:val="20"/>
          <w:color w:val="auto"/>
        </w:rPr>
        <w:t>Generally, our costs in connection with the strategic partnerships relate to intellectual property, the supply of drug and other ancillary expenses and the benefits can include possible supply, milestone and royalty payments, additional intellectual property rights and strategic relationships. For flurpiridaz F-18, under the Collaboration and License Agreement, we retained ownership of all of the licensed intellectual property and bear the cost of patent prosecution and maintenance.</w:t>
      </w:r>
    </w:p>
    <w:p>
      <w:pPr>
        <w:sectPr>
          <w:pgSz w:w="11880" w:h="15480" w:orient="portrait"/>
          <w:cols w:equalWidth="0" w:num="1">
            <w:col w:w="10540"/>
          </w:cols>
          <w:pgMar w:left="640" w:top="622"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65</w:t>
      </w:r>
    </w:p>
    <w:p>
      <w:pPr>
        <w:sectPr>
          <w:pgSz w:w="11880" w:h="15480" w:orient="portrait"/>
          <w:cols w:equalWidth="0" w:num="1">
            <w:col w:w="10540"/>
          </w:cols>
          <w:pgMar w:left="640" w:top="622" w:right="700" w:bottom="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The following is a summary of our consolidated results of operations: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6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440" w:type="dxa"/>
            <w:vAlign w:val="bottom"/>
            <w:tcBorders>
              <w:bottom w:val="single" w:sz="8" w:color="auto"/>
            </w:tcBorders>
            <w:gridSpan w:val="7"/>
          </w:tcPr>
          <w:p>
            <w:pPr>
              <w:jc w:val="right"/>
              <w:ind w:right="642"/>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3"/>
          </w:tcPr>
          <w:p>
            <w:pPr>
              <w:jc w:val="right"/>
              <w:ind w:right="384"/>
              <w:spacing w:after="0"/>
              <w:rPr>
                <w:sz w:val="20"/>
                <w:szCs w:val="20"/>
                <w:color w:val="auto"/>
              </w:rPr>
            </w:pPr>
            <w:r>
              <w:rPr>
                <w:rFonts w:ascii="Times New Roman" w:cs="Times New Roman" w:eastAsia="Times New Roman" w:hAnsi="Times New Roman"/>
                <w:sz w:val="20"/>
                <w:szCs w:val="20"/>
                <w:b w:val="1"/>
                <w:bCs w:val="1"/>
                <w:color w:val="auto"/>
              </w:rPr>
              <w:t>2024 vs. 2023</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3"/>
          </w:tcPr>
          <w:p>
            <w:pPr>
              <w:jc w:val="right"/>
              <w:ind w:right="384"/>
              <w:spacing w:after="0"/>
              <w:rPr>
                <w:sz w:val="20"/>
                <w:szCs w:val="20"/>
                <w:color w:val="auto"/>
              </w:rPr>
            </w:pPr>
            <w:r>
              <w:rPr>
                <w:rFonts w:ascii="Times New Roman" w:cs="Times New Roman" w:eastAsia="Times New Roman" w:hAnsi="Times New Roman"/>
                <w:sz w:val="20"/>
                <w:szCs w:val="20"/>
                <w:b w:val="1"/>
                <w:bCs w:val="1"/>
                <w:color w:val="auto"/>
              </w:rPr>
              <w:t>2023 vs. 2022</w:t>
            </w:r>
          </w:p>
        </w:tc>
        <w:tc>
          <w:tcPr>
            <w:tcW w:w="0" w:type="dxa"/>
            <w:vAlign w:val="bottom"/>
          </w:tcPr>
          <w:p>
            <w:pPr>
              <w:spacing w:after="0"/>
              <w:rPr>
                <w:sz w:val="1"/>
                <w:szCs w:val="1"/>
                <w:color w:val="auto"/>
              </w:rPr>
            </w:pPr>
          </w:p>
        </w:tc>
      </w:tr>
      <w:tr>
        <w:trPr>
          <w:trHeight w:val="134"/>
        </w:trPr>
        <w:tc>
          <w:tcPr>
            <w:tcW w:w="268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240" w:type="dxa"/>
            <w:vAlign w:val="bottom"/>
          </w:tcPr>
          <w:p>
            <w:pPr>
              <w:spacing w:after="0"/>
              <w:rPr>
                <w:sz w:val="11"/>
                <w:szCs w:val="11"/>
                <w:color w:val="auto"/>
              </w:rPr>
            </w:pPr>
          </w:p>
        </w:tc>
        <w:tc>
          <w:tcPr>
            <w:tcW w:w="940" w:type="dxa"/>
            <w:vAlign w:val="bottom"/>
            <w:vMerge w:val="restart"/>
          </w:tcPr>
          <w:p>
            <w:pPr>
              <w:jc w:val="right"/>
              <w:ind w:right="302"/>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ind w:right="282"/>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vMerge w:val="restart"/>
          </w:tcPr>
          <w:p>
            <w:pPr>
              <w:jc w:val="right"/>
              <w:ind w:right="302"/>
              <w:spacing w:after="0"/>
              <w:rPr>
                <w:sz w:val="20"/>
                <w:szCs w:val="20"/>
                <w:color w:val="auto"/>
              </w:rPr>
            </w:pPr>
            <w:r>
              <w:rPr>
                <w:rFonts w:ascii="Times New Roman" w:cs="Times New Roman" w:eastAsia="Times New Roman" w:hAnsi="Times New Roman"/>
                <w:sz w:val="20"/>
                <w:szCs w:val="20"/>
                <w:b w:val="1"/>
                <w:bCs w:val="1"/>
                <w:color w:val="auto"/>
              </w:rPr>
              <w:t>2022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ind w:right="83"/>
              <w:spacing w:after="0" w:line="134" w:lineRule="exact"/>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1"/>
                <w:szCs w:val="11"/>
                <w:color w:val="auto"/>
              </w:rPr>
            </w:pPr>
          </w:p>
        </w:tc>
        <w:tc>
          <w:tcPr>
            <w:tcW w:w="980" w:type="dxa"/>
            <w:vAlign w:val="bottom"/>
          </w:tcPr>
          <w:p>
            <w:pPr>
              <w:jc w:val="right"/>
              <w:ind w:right="84"/>
              <w:spacing w:after="0" w:line="134" w:lineRule="exact"/>
              <w:rPr>
                <w:sz w:val="20"/>
                <w:szCs w:val="20"/>
                <w:color w:val="auto"/>
              </w:rPr>
            </w:pPr>
            <w:r>
              <w:rPr>
                <w:rFonts w:ascii="Times New Roman" w:cs="Times New Roman" w:eastAsia="Times New Roman" w:hAnsi="Times New Roman"/>
                <w:sz w:val="15"/>
                <w:szCs w:val="15"/>
                <w:b w:val="1"/>
                <w:bCs w:val="1"/>
                <w:color w:val="auto"/>
              </w:rPr>
              <w:t>Change</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ind w:right="83"/>
              <w:spacing w:after="0" w:line="134" w:lineRule="exact"/>
              <w:rPr>
                <w:sz w:val="20"/>
                <w:szCs w:val="20"/>
                <w:color w:val="auto"/>
              </w:rPr>
            </w:pPr>
            <w:r>
              <w:rPr>
                <w:rFonts w:ascii="Times New Roman" w:cs="Times New Roman" w:eastAsia="Times New Roman" w:hAnsi="Times New Roman"/>
                <w:sz w:val="15"/>
                <w:szCs w:val="15"/>
                <w:b w:val="1"/>
                <w:bCs w:val="1"/>
                <w:color w:val="auto"/>
              </w:rPr>
              <w:t>Change</w:t>
            </w:r>
          </w:p>
        </w:tc>
        <w:tc>
          <w:tcPr>
            <w:tcW w:w="60" w:type="dxa"/>
            <w:vAlign w:val="bottom"/>
          </w:tcPr>
          <w:p>
            <w:pPr>
              <w:spacing w:after="0"/>
              <w:rPr>
                <w:sz w:val="11"/>
                <w:szCs w:val="11"/>
                <w:color w:val="auto"/>
              </w:rPr>
            </w:pPr>
          </w:p>
        </w:tc>
        <w:tc>
          <w:tcPr>
            <w:tcW w:w="1000" w:type="dxa"/>
            <w:vAlign w:val="bottom"/>
          </w:tcPr>
          <w:p>
            <w:pPr>
              <w:jc w:val="right"/>
              <w:ind w:right="64"/>
              <w:spacing w:after="0" w:line="134" w:lineRule="exact"/>
              <w:rPr>
                <w:sz w:val="20"/>
                <w:szCs w:val="20"/>
                <w:color w:val="auto"/>
              </w:rPr>
            </w:pPr>
            <w:r>
              <w:rPr>
                <w:rFonts w:ascii="Times New Roman" w:cs="Times New Roman" w:eastAsia="Times New Roman" w:hAnsi="Times New Roman"/>
                <w:sz w:val="15"/>
                <w:szCs w:val="15"/>
                <w:b w:val="1"/>
                <w:bCs w:val="1"/>
                <w:color w:val="auto"/>
              </w:rPr>
              <w:t>Change</w:t>
            </w:r>
          </w:p>
        </w:tc>
        <w:tc>
          <w:tcPr>
            <w:tcW w:w="0" w:type="dxa"/>
            <w:vAlign w:val="bottom"/>
          </w:tcPr>
          <w:p>
            <w:pPr>
              <w:spacing w:after="0"/>
              <w:rPr>
                <w:sz w:val="1"/>
                <w:szCs w:val="1"/>
                <w:color w:val="auto"/>
              </w:rPr>
            </w:pPr>
          </w:p>
        </w:tc>
      </w:tr>
      <w:tr>
        <w:trPr>
          <w:trHeight w:val="258"/>
        </w:trPr>
        <w:tc>
          <w:tcPr>
            <w:tcW w:w="2680" w:type="dxa"/>
            <w:vAlign w:val="bottom"/>
            <w:tcBorders>
              <w:bottom w:val="single" w:sz="8" w:color="E9E9E9"/>
            </w:tcBorders>
            <w:vMerge w:val="continue"/>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9E9E9"/>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9E9E9"/>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9E9E9"/>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tcBorders>
              <w:bottom w:val="single" w:sz="8" w:color="E9E9E9"/>
            </w:tcBorders>
          </w:tcPr>
          <w:p>
            <w:pPr>
              <w:spacing w:after="0"/>
              <w:rPr>
                <w:sz w:val="22"/>
                <w:szCs w:val="22"/>
                <w:color w:val="auto"/>
              </w:rPr>
            </w:pPr>
          </w:p>
        </w:tc>
        <w:tc>
          <w:tcPr>
            <w:tcW w:w="98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Borders>
              <w:bottom w:val="single" w:sz="8" w:color="E9E9E9"/>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Borders>
              <w:bottom w:val="single" w:sz="8" w:color="E9E9E9"/>
            </w:tcBorders>
          </w:tcPr>
          <w:p>
            <w:pPr>
              <w:spacing w:after="0"/>
              <w:rPr>
                <w:sz w:val="22"/>
                <w:szCs w:val="22"/>
                <w:color w:val="auto"/>
              </w:rPr>
            </w:pPr>
          </w:p>
        </w:tc>
        <w:tc>
          <w:tcPr>
            <w:tcW w:w="10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84"/>
        </w:trPr>
        <w:tc>
          <w:tcPr>
            <w:tcW w:w="268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Revenues</w:t>
            </w:r>
          </w:p>
        </w:tc>
        <w:tc>
          <w:tcPr>
            <w:tcW w:w="2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1,533,910</w:t>
            </w:r>
          </w:p>
        </w:tc>
        <w:tc>
          <w:tcPr>
            <w:tcW w:w="30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1,296,429</w:t>
            </w:r>
          </w:p>
        </w:tc>
        <w:tc>
          <w:tcPr>
            <w:tcW w:w="360" w:type="dxa"/>
            <w:vAlign w:val="bottom"/>
            <w:gridSpan w:val="2"/>
            <w:shd w:val="clear" w:color="auto" w:fill="E9E9E9"/>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935,061</w:t>
            </w:r>
          </w:p>
        </w:tc>
        <w:tc>
          <w:tcPr>
            <w:tcW w:w="24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237,481</w:t>
            </w:r>
          </w:p>
        </w:tc>
        <w:tc>
          <w:tcPr>
            <w:tcW w:w="106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18.3 %</w:t>
            </w:r>
          </w:p>
        </w:tc>
        <w:tc>
          <w:tcPr>
            <w:tcW w:w="22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361,368</w:t>
            </w:r>
          </w:p>
        </w:tc>
        <w:tc>
          <w:tcPr>
            <w:tcW w:w="106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38.6 %</w:t>
            </w:r>
          </w:p>
        </w:tc>
        <w:tc>
          <w:tcPr>
            <w:tcW w:w="0" w:type="dxa"/>
            <w:vAlign w:val="bottom"/>
          </w:tcPr>
          <w:p>
            <w:pPr>
              <w:spacing w:after="0"/>
              <w:rPr>
                <w:sz w:val="1"/>
                <w:szCs w:val="1"/>
                <w:color w:val="auto"/>
              </w:rPr>
            </w:pPr>
          </w:p>
        </w:tc>
      </w:tr>
      <w:tr>
        <w:trPr>
          <w:trHeight w:val="284"/>
        </w:trPr>
        <w:tc>
          <w:tcPr>
            <w:tcW w:w="2680" w:type="dxa"/>
            <w:vAlign w:val="bottom"/>
            <w:tcBorders>
              <w:bottom w:val="single" w:sz="8" w:color="E9E9E9"/>
            </w:tcBorders>
          </w:tcPr>
          <w:p>
            <w:pPr>
              <w:ind w:left="60"/>
              <w:spacing w:after="0"/>
              <w:rPr>
                <w:sz w:val="20"/>
                <w:szCs w:val="20"/>
                <w:color w:val="auto"/>
              </w:rPr>
            </w:pPr>
            <w:r>
              <w:rPr>
                <w:rFonts w:ascii="Times New Roman" w:cs="Times New Roman" w:eastAsia="Times New Roman" w:hAnsi="Times New Roman"/>
                <w:sz w:val="20"/>
                <w:szCs w:val="20"/>
                <w:color w:val="auto"/>
              </w:rPr>
              <w:t>Cost of goods sold</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545,619</w:t>
            </w:r>
          </w:p>
        </w:tc>
        <w:tc>
          <w:tcPr>
            <w:tcW w:w="80" w:type="dxa"/>
            <w:vAlign w:val="bottom"/>
            <w:tcBorders>
              <w:bottom w:val="single" w:sz="8" w:color="E9E9E9"/>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586,886</w:t>
            </w:r>
          </w:p>
        </w:tc>
        <w:tc>
          <w:tcPr>
            <w:tcW w:w="80" w:type="dxa"/>
            <w:vAlign w:val="bottom"/>
            <w:tcBorders>
              <w:bottom w:val="single" w:sz="8" w:color="E9E9E9"/>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353,358</w:t>
            </w:r>
          </w:p>
        </w:tc>
        <w:tc>
          <w:tcPr>
            <w:tcW w:w="80" w:type="dxa"/>
            <w:vAlign w:val="bottom"/>
            <w:tcBorders>
              <w:bottom w:val="single" w:sz="8" w:color="E9E9E9"/>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(41,267)</w:t>
            </w:r>
          </w:p>
        </w:tc>
        <w:tc>
          <w:tcPr>
            <w:tcW w:w="80" w:type="dxa"/>
            <w:vAlign w:val="bottom"/>
            <w:tcBorders>
              <w:bottom w:val="single" w:sz="8" w:color="E9E9E9"/>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60" w:type="dxa"/>
            <w:vAlign w:val="bottom"/>
            <w:tcBorders>
              <w:bottom w:val="single" w:sz="8" w:color="E9E9E9"/>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233,528</w:t>
            </w:r>
          </w:p>
        </w:tc>
        <w:tc>
          <w:tcPr>
            <w:tcW w:w="60" w:type="dxa"/>
            <w:vAlign w:val="bottom"/>
            <w:tcBorders>
              <w:bottom w:val="single" w:sz="8" w:color="E9E9E9"/>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66.1 %</w:t>
            </w:r>
          </w:p>
        </w:tc>
        <w:tc>
          <w:tcPr>
            <w:tcW w:w="0" w:type="dxa"/>
            <w:vAlign w:val="bottom"/>
          </w:tcPr>
          <w:p>
            <w:pPr>
              <w:spacing w:after="0"/>
              <w:rPr>
                <w:sz w:val="1"/>
                <w:szCs w:val="1"/>
                <w:color w:val="auto"/>
              </w:rPr>
            </w:pPr>
          </w:p>
        </w:tc>
      </w:tr>
      <w:tr>
        <w:trPr>
          <w:trHeight w:val="293"/>
        </w:trPr>
        <w:tc>
          <w:tcPr>
            <w:tcW w:w="2680" w:type="dxa"/>
            <w:vAlign w:val="bottom"/>
            <w:shd w:val="clear" w:color="auto" w:fill="E9E9E9"/>
          </w:tcPr>
          <w:p>
            <w:pPr>
              <w:ind w:left="540"/>
              <w:spacing w:after="0"/>
              <w:rPr>
                <w:sz w:val="20"/>
                <w:szCs w:val="20"/>
                <w:color w:val="auto"/>
              </w:rPr>
            </w:pPr>
            <w:r>
              <w:rPr>
                <w:rFonts w:ascii="Times New Roman" w:cs="Times New Roman" w:eastAsia="Times New Roman" w:hAnsi="Times New Roman"/>
                <w:sz w:val="20"/>
                <w:szCs w:val="20"/>
                <w:color w:val="auto"/>
              </w:rPr>
              <w:t>Gross profit</w:t>
            </w:r>
          </w:p>
        </w:tc>
        <w:tc>
          <w:tcPr>
            <w:tcW w:w="240" w:type="dxa"/>
            <w:vAlign w:val="bottom"/>
            <w:shd w:val="clear" w:color="auto" w:fill="E9E9E9"/>
          </w:tcPr>
          <w:p>
            <w:pPr>
              <w:spacing w:after="0"/>
              <w:rPr>
                <w:sz w:val="24"/>
                <w:szCs w:val="24"/>
                <w:color w:val="auto"/>
              </w:rPr>
            </w:pPr>
          </w:p>
        </w:tc>
        <w:tc>
          <w:tcPr>
            <w:tcW w:w="9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988,291</w:t>
            </w:r>
          </w:p>
        </w:tc>
        <w:tc>
          <w:tcPr>
            <w:tcW w:w="80" w:type="dxa"/>
            <w:vAlign w:val="bottom"/>
            <w:shd w:val="clear" w:color="auto" w:fill="E9E9E9"/>
          </w:tcPr>
          <w:p>
            <w:pPr>
              <w:spacing w:after="0"/>
              <w:rPr>
                <w:sz w:val="24"/>
                <w:szCs w:val="24"/>
                <w:color w:val="auto"/>
              </w:rPr>
            </w:pPr>
          </w:p>
        </w:tc>
        <w:tc>
          <w:tcPr>
            <w:tcW w:w="220" w:type="dxa"/>
            <w:vAlign w:val="bottom"/>
            <w:shd w:val="clear" w:color="auto" w:fill="E9E9E9"/>
          </w:tcPr>
          <w:p>
            <w:pPr>
              <w:spacing w:after="0"/>
              <w:rPr>
                <w:sz w:val="24"/>
                <w:szCs w:val="24"/>
                <w:color w:val="auto"/>
              </w:rPr>
            </w:pPr>
          </w:p>
        </w:tc>
        <w:tc>
          <w:tcPr>
            <w:tcW w:w="9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709,543</w:t>
            </w:r>
          </w:p>
        </w:tc>
        <w:tc>
          <w:tcPr>
            <w:tcW w:w="80" w:type="dxa"/>
            <w:vAlign w:val="bottom"/>
            <w:shd w:val="clear" w:color="auto" w:fill="E9E9E9"/>
          </w:tcPr>
          <w:p>
            <w:pPr>
              <w:spacing w:after="0"/>
              <w:rPr>
                <w:sz w:val="24"/>
                <w:szCs w:val="24"/>
                <w:color w:val="auto"/>
              </w:rPr>
            </w:pPr>
          </w:p>
        </w:tc>
        <w:tc>
          <w:tcPr>
            <w:tcW w:w="280" w:type="dxa"/>
            <w:vAlign w:val="bottom"/>
            <w:shd w:val="clear" w:color="auto" w:fill="E9E9E9"/>
          </w:tcPr>
          <w:p>
            <w:pPr>
              <w:spacing w:after="0"/>
              <w:rPr>
                <w:sz w:val="24"/>
                <w:szCs w:val="24"/>
                <w:color w:val="auto"/>
              </w:rPr>
            </w:pPr>
          </w:p>
        </w:tc>
        <w:tc>
          <w:tcPr>
            <w:tcW w:w="9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581,703</w:t>
            </w:r>
          </w:p>
        </w:tc>
        <w:tc>
          <w:tcPr>
            <w:tcW w:w="80" w:type="dxa"/>
            <w:vAlign w:val="bottom"/>
            <w:shd w:val="clear" w:color="auto" w:fill="E9E9E9"/>
          </w:tcPr>
          <w:p>
            <w:pPr>
              <w:spacing w:after="0"/>
              <w:rPr>
                <w:sz w:val="24"/>
                <w:szCs w:val="24"/>
                <w:color w:val="auto"/>
              </w:rPr>
            </w:pPr>
          </w:p>
        </w:tc>
        <w:tc>
          <w:tcPr>
            <w:tcW w:w="160" w:type="dxa"/>
            <w:vAlign w:val="bottom"/>
            <w:shd w:val="clear" w:color="auto" w:fill="E9E9E9"/>
          </w:tcPr>
          <w:p>
            <w:pPr>
              <w:spacing w:after="0"/>
              <w:rPr>
                <w:sz w:val="24"/>
                <w:szCs w:val="24"/>
                <w:color w:val="auto"/>
              </w:rPr>
            </w:pPr>
          </w:p>
        </w:tc>
        <w:tc>
          <w:tcPr>
            <w:tcW w:w="8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278,748</w:t>
            </w:r>
          </w:p>
        </w:tc>
        <w:tc>
          <w:tcPr>
            <w:tcW w:w="106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39.3 %</w:t>
            </w:r>
          </w:p>
        </w:tc>
        <w:tc>
          <w:tcPr>
            <w:tcW w:w="60" w:type="dxa"/>
            <w:vAlign w:val="bottom"/>
            <w:shd w:val="clear" w:color="auto" w:fill="E9E9E9"/>
          </w:tcPr>
          <w:p>
            <w:pPr>
              <w:spacing w:after="0"/>
              <w:rPr>
                <w:sz w:val="24"/>
                <w:szCs w:val="24"/>
                <w:color w:val="auto"/>
              </w:rPr>
            </w:pPr>
          </w:p>
        </w:tc>
        <w:tc>
          <w:tcPr>
            <w:tcW w:w="160" w:type="dxa"/>
            <w:vAlign w:val="bottom"/>
            <w:shd w:val="clear" w:color="auto" w:fill="E9E9E9"/>
          </w:tcPr>
          <w:p>
            <w:pPr>
              <w:spacing w:after="0"/>
              <w:rPr>
                <w:sz w:val="24"/>
                <w:szCs w:val="24"/>
                <w:color w:val="auto"/>
              </w:rPr>
            </w:pPr>
          </w:p>
        </w:tc>
        <w:tc>
          <w:tcPr>
            <w:tcW w:w="8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127,840</w:t>
            </w:r>
          </w:p>
        </w:tc>
        <w:tc>
          <w:tcPr>
            <w:tcW w:w="106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22.0 %</w:t>
            </w:r>
          </w:p>
        </w:tc>
        <w:tc>
          <w:tcPr>
            <w:tcW w:w="0" w:type="dxa"/>
            <w:vAlign w:val="bottom"/>
          </w:tcPr>
          <w:p>
            <w:pPr>
              <w:spacing w:after="0"/>
              <w:rPr>
                <w:sz w:val="1"/>
                <w:szCs w:val="1"/>
                <w:color w:val="auto"/>
              </w:rPr>
            </w:pPr>
          </w:p>
        </w:tc>
      </w:tr>
      <w:tr>
        <w:trPr>
          <w:trHeight w:val="259"/>
        </w:trPr>
        <w:tc>
          <w:tcPr>
            <w:tcW w:w="2680" w:type="dxa"/>
            <w:vAlign w:val="bottom"/>
            <w:tcBorders>
              <w:top w:val="single" w:sz="8" w:color="E9E9E9"/>
            </w:tcBorders>
          </w:tcPr>
          <w:p>
            <w:pPr>
              <w:ind w:left="60"/>
              <w:spacing w:after="0"/>
              <w:rPr>
                <w:sz w:val="20"/>
                <w:szCs w:val="20"/>
                <w:color w:val="auto"/>
              </w:rPr>
            </w:pPr>
            <w:r>
              <w:rPr>
                <w:rFonts w:ascii="Times New Roman" w:cs="Times New Roman" w:eastAsia="Times New Roman" w:hAnsi="Times New Roman"/>
                <w:sz w:val="20"/>
                <w:szCs w:val="20"/>
                <w:color w:val="auto"/>
              </w:rPr>
              <w:t>Operating expenses</w:t>
            </w:r>
          </w:p>
        </w:tc>
        <w:tc>
          <w:tcPr>
            <w:tcW w:w="24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80" w:type="dxa"/>
            <w:vAlign w:val="bottom"/>
            <w:tcBorders>
              <w:top w:val="single" w:sz="8" w:color="E9E9E9"/>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80" w:type="dxa"/>
            <w:vAlign w:val="bottom"/>
            <w:tcBorders>
              <w:top w:val="single" w:sz="8" w:color="E9E9E9"/>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80" w:type="dxa"/>
            <w:vAlign w:val="bottom"/>
            <w:tcBorders>
              <w:top w:val="single" w:sz="8" w:color="E9E9E9"/>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80" w:type="dxa"/>
            <w:vAlign w:val="bottom"/>
            <w:tcBorders>
              <w:top w:val="single" w:sz="8" w:color="E9E9E9"/>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60" w:type="dxa"/>
            <w:vAlign w:val="bottom"/>
            <w:tcBorders>
              <w:top w:val="single" w:sz="8" w:color="E9E9E9"/>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60" w:type="dxa"/>
            <w:vAlign w:val="bottom"/>
            <w:tcBorders>
              <w:top w:val="single" w:sz="8" w:color="E9E9E9"/>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01"/>
        </w:trPr>
        <w:tc>
          <w:tcPr>
            <w:tcW w:w="2680" w:type="dxa"/>
            <w:vAlign w:val="bottom"/>
            <w:shd w:val="clear" w:color="auto" w:fill="E9E9E9"/>
          </w:tcPr>
          <w:p>
            <w:pPr>
              <w:ind w:left="280"/>
              <w:spacing w:after="0"/>
              <w:rPr>
                <w:sz w:val="20"/>
                <w:szCs w:val="20"/>
                <w:color w:val="auto"/>
              </w:rPr>
            </w:pPr>
            <w:r>
              <w:rPr>
                <w:rFonts w:ascii="Times New Roman" w:cs="Times New Roman" w:eastAsia="Times New Roman" w:hAnsi="Times New Roman"/>
                <w:sz w:val="20"/>
                <w:szCs w:val="20"/>
                <w:color w:val="auto"/>
              </w:rPr>
              <w:t>Sales and marketing</w:t>
            </w:r>
          </w:p>
        </w:tc>
        <w:tc>
          <w:tcPr>
            <w:tcW w:w="240" w:type="dxa"/>
            <w:vAlign w:val="bottom"/>
            <w:shd w:val="clear" w:color="auto" w:fill="E9E9E9"/>
          </w:tcPr>
          <w:p>
            <w:pPr>
              <w:spacing w:after="0"/>
              <w:rPr>
                <w:sz w:val="24"/>
                <w:szCs w:val="24"/>
                <w:color w:val="auto"/>
              </w:rPr>
            </w:pPr>
          </w:p>
        </w:tc>
        <w:tc>
          <w:tcPr>
            <w:tcW w:w="9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177,940</w:t>
            </w:r>
          </w:p>
        </w:tc>
        <w:tc>
          <w:tcPr>
            <w:tcW w:w="80" w:type="dxa"/>
            <w:vAlign w:val="bottom"/>
            <w:shd w:val="clear" w:color="auto" w:fill="E9E9E9"/>
          </w:tcPr>
          <w:p>
            <w:pPr>
              <w:spacing w:after="0"/>
              <w:rPr>
                <w:sz w:val="24"/>
                <w:szCs w:val="24"/>
                <w:color w:val="auto"/>
              </w:rPr>
            </w:pPr>
          </w:p>
        </w:tc>
        <w:tc>
          <w:tcPr>
            <w:tcW w:w="220" w:type="dxa"/>
            <w:vAlign w:val="bottom"/>
            <w:shd w:val="clear" w:color="auto" w:fill="E9E9E9"/>
          </w:tcPr>
          <w:p>
            <w:pPr>
              <w:spacing w:after="0"/>
              <w:rPr>
                <w:sz w:val="24"/>
                <w:szCs w:val="24"/>
                <w:color w:val="auto"/>
              </w:rPr>
            </w:pPr>
          </w:p>
        </w:tc>
        <w:tc>
          <w:tcPr>
            <w:tcW w:w="9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141,736</w:t>
            </w:r>
          </w:p>
        </w:tc>
        <w:tc>
          <w:tcPr>
            <w:tcW w:w="80" w:type="dxa"/>
            <w:vAlign w:val="bottom"/>
            <w:shd w:val="clear" w:color="auto" w:fill="E9E9E9"/>
          </w:tcPr>
          <w:p>
            <w:pPr>
              <w:spacing w:after="0"/>
              <w:rPr>
                <w:sz w:val="24"/>
                <w:szCs w:val="24"/>
                <w:color w:val="auto"/>
              </w:rPr>
            </w:pPr>
          </w:p>
        </w:tc>
        <w:tc>
          <w:tcPr>
            <w:tcW w:w="280" w:type="dxa"/>
            <w:vAlign w:val="bottom"/>
            <w:shd w:val="clear" w:color="auto" w:fill="E9E9E9"/>
          </w:tcPr>
          <w:p>
            <w:pPr>
              <w:spacing w:after="0"/>
              <w:rPr>
                <w:sz w:val="24"/>
                <w:szCs w:val="24"/>
                <w:color w:val="auto"/>
              </w:rPr>
            </w:pPr>
          </w:p>
        </w:tc>
        <w:tc>
          <w:tcPr>
            <w:tcW w:w="9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100,243</w:t>
            </w:r>
          </w:p>
        </w:tc>
        <w:tc>
          <w:tcPr>
            <w:tcW w:w="80" w:type="dxa"/>
            <w:vAlign w:val="bottom"/>
            <w:shd w:val="clear" w:color="auto" w:fill="E9E9E9"/>
          </w:tcPr>
          <w:p>
            <w:pPr>
              <w:spacing w:after="0"/>
              <w:rPr>
                <w:sz w:val="24"/>
                <w:szCs w:val="24"/>
                <w:color w:val="auto"/>
              </w:rPr>
            </w:pPr>
          </w:p>
        </w:tc>
        <w:tc>
          <w:tcPr>
            <w:tcW w:w="160" w:type="dxa"/>
            <w:vAlign w:val="bottom"/>
            <w:shd w:val="clear" w:color="auto" w:fill="E9E9E9"/>
          </w:tcPr>
          <w:p>
            <w:pPr>
              <w:spacing w:after="0"/>
              <w:rPr>
                <w:sz w:val="24"/>
                <w:szCs w:val="24"/>
                <w:color w:val="auto"/>
              </w:rPr>
            </w:pPr>
          </w:p>
        </w:tc>
        <w:tc>
          <w:tcPr>
            <w:tcW w:w="8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36,204</w:t>
            </w:r>
          </w:p>
        </w:tc>
        <w:tc>
          <w:tcPr>
            <w:tcW w:w="106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25.5 %</w:t>
            </w:r>
          </w:p>
        </w:tc>
        <w:tc>
          <w:tcPr>
            <w:tcW w:w="60" w:type="dxa"/>
            <w:vAlign w:val="bottom"/>
            <w:shd w:val="clear" w:color="auto" w:fill="E9E9E9"/>
          </w:tcPr>
          <w:p>
            <w:pPr>
              <w:spacing w:after="0"/>
              <w:rPr>
                <w:sz w:val="24"/>
                <w:szCs w:val="24"/>
                <w:color w:val="auto"/>
              </w:rPr>
            </w:pPr>
          </w:p>
        </w:tc>
        <w:tc>
          <w:tcPr>
            <w:tcW w:w="160" w:type="dxa"/>
            <w:vAlign w:val="bottom"/>
            <w:shd w:val="clear" w:color="auto" w:fill="E9E9E9"/>
          </w:tcPr>
          <w:p>
            <w:pPr>
              <w:spacing w:after="0"/>
              <w:rPr>
                <w:sz w:val="24"/>
                <w:szCs w:val="24"/>
                <w:color w:val="auto"/>
              </w:rPr>
            </w:pPr>
          </w:p>
        </w:tc>
        <w:tc>
          <w:tcPr>
            <w:tcW w:w="8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41,493</w:t>
            </w:r>
          </w:p>
        </w:tc>
        <w:tc>
          <w:tcPr>
            <w:tcW w:w="106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41.4 %</w:t>
            </w:r>
          </w:p>
        </w:tc>
        <w:tc>
          <w:tcPr>
            <w:tcW w:w="0" w:type="dxa"/>
            <w:vAlign w:val="bottom"/>
          </w:tcPr>
          <w:p>
            <w:pPr>
              <w:spacing w:after="0"/>
              <w:rPr>
                <w:sz w:val="1"/>
                <w:szCs w:val="1"/>
                <w:color w:val="auto"/>
              </w:rPr>
            </w:pPr>
          </w:p>
        </w:tc>
      </w:tr>
      <w:tr>
        <w:trPr>
          <w:trHeight w:val="287"/>
        </w:trPr>
        <w:tc>
          <w:tcPr>
            <w:tcW w:w="2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193,689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125,458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133,584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68,231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54.4 %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(8,126)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0" w:type="dxa"/>
            <w:vAlign w:val="bottom"/>
          </w:tcPr>
          <w:p>
            <w:pPr>
              <w:spacing w:after="0"/>
              <w:rPr>
                <w:sz w:val="1"/>
                <w:szCs w:val="1"/>
                <w:color w:val="auto"/>
              </w:rPr>
            </w:pPr>
          </w:p>
        </w:tc>
      </w:tr>
      <w:tr>
        <w:trPr>
          <w:trHeight w:val="291"/>
        </w:trPr>
        <w:tc>
          <w:tcPr>
            <w:tcW w:w="2680" w:type="dxa"/>
            <w:vAlign w:val="bottom"/>
            <w:tcBorders>
              <w:bottom w:val="single" w:sz="8" w:color="E9E9E9"/>
            </w:tcBorders>
            <w:shd w:val="clear" w:color="auto" w:fill="E9E9E9"/>
          </w:tcPr>
          <w:p>
            <w:pPr>
              <w:ind w:left="280"/>
              <w:spacing w:after="0"/>
              <w:rPr>
                <w:sz w:val="20"/>
                <w:szCs w:val="20"/>
                <w:color w:val="auto"/>
              </w:rPr>
            </w:pPr>
            <w:r>
              <w:rPr>
                <w:rFonts w:ascii="Times New Roman" w:cs="Times New Roman" w:eastAsia="Times New Roman" w:hAnsi="Times New Roman"/>
                <w:sz w:val="20"/>
                <w:szCs w:val="20"/>
                <w:color w:val="auto"/>
              </w:rPr>
              <w:t>Research and development</w:t>
            </w:r>
          </w:p>
        </w:tc>
        <w:tc>
          <w:tcPr>
            <w:tcW w:w="240" w:type="dxa"/>
            <w:vAlign w:val="bottom"/>
            <w:tcBorders>
              <w:bottom w:val="single" w:sz="8" w:color="auto"/>
            </w:tcBorders>
            <w:shd w:val="clear" w:color="auto" w:fill="E9E9E9"/>
          </w:tcPr>
          <w:p>
            <w:pPr>
              <w:spacing w:after="0"/>
              <w:rPr>
                <w:sz w:val="24"/>
                <w:szCs w:val="24"/>
                <w:color w:val="auto"/>
              </w:rPr>
            </w:pPr>
          </w:p>
        </w:tc>
        <w:tc>
          <w:tcPr>
            <w:tcW w:w="94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168,098</w:t>
            </w:r>
          </w:p>
        </w:tc>
        <w:tc>
          <w:tcPr>
            <w:tcW w:w="80" w:type="dxa"/>
            <w:vAlign w:val="bottom"/>
            <w:tcBorders>
              <w:bottom w:val="single" w:sz="8" w:color="E9E9E9"/>
            </w:tcBorders>
            <w:shd w:val="clear" w:color="auto" w:fill="E9E9E9"/>
          </w:tcPr>
          <w:p>
            <w:pPr>
              <w:spacing w:after="0"/>
              <w:rPr>
                <w:sz w:val="24"/>
                <w:szCs w:val="24"/>
                <w:color w:val="auto"/>
              </w:rPr>
            </w:pPr>
          </w:p>
        </w:tc>
        <w:tc>
          <w:tcPr>
            <w:tcW w:w="220" w:type="dxa"/>
            <w:vAlign w:val="bottom"/>
            <w:tcBorders>
              <w:bottom w:val="single" w:sz="8" w:color="auto"/>
            </w:tcBorders>
            <w:shd w:val="clear" w:color="auto" w:fill="E9E9E9"/>
          </w:tcPr>
          <w:p>
            <w:pPr>
              <w:spacing w:after="0"/>
              <w:rPr>
                <w:sz w:val="24"/>
                <w:szCs w:val="24"/>
                <w:color w:val="auto"/>
              </w:rPr>
            </w:pPr>
          </w:p>
        </w:tc>
        <w:tc>
          <w:tcPr>
            <w:tcW w:w="94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77,707</w:t>
            </w:r>
          </w:p>
        </w:tc>
        <w:tc>
          <w:tcPr>
            <w:tcW w:w="80" w:type="dxa"/>
            <w:vAlign w:val="bottom"/>
            <w:tcBorders>
              <w:bottom w:val="single" w:sz="8" w:color="E9E9E9"/>
            </w:tcBorders>
            <w:shd w:val="clear" w:color="auto" w:fill="E9E9E9"/>
          </w:tcPr>
          <w:p>
            <w:pPr>
              <w:spacing w:after="0"/>
              <w:rPr>
                <w:sz w:val="24"/>
                <w:szCs w:val="24"/>
                <w:color w:val="auto"/>
              </w:rPr>
            </w:pPr>
          </w:p>
        </w:tc>
        <w:tc>
          <w:tcPr>
            <w:tcW w:w="280" w:type="dxa"/>
            <w:vAlign w:val="bottom"/>
            <w:tcBorders>
              <w:bottom w:val="single" w:sz="8" w:color="auto"/>
            </w:tcBorders>
            <w:shd w:val="clear" w:color="auto" w:fill="E9E9E9"/>
          </w:tcPr>
          <w:p>
            <w:pPr>
              <w:spacing w:after="0"/>
              <w:rPr>
                <w:sz w:val="24"/>
                <w:szCs w:val="24"/>
                <w:color w:val="auto"/>
              </w:rPr>
            </w:pPr>
          </w:p>
        </w:tc>
        <w:tc>
          <w:tcPr>
            <w:tcW w:w="90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311,681</w:t>
            </w:r>
          </w:p>
        </w:tc>
        <w:tc>
          <w:tcPr>
            <w:tcW w:w="80" w:type="dxa"/>
            <w:vAlign w:val="bottom"/>
            <w:tcBorders>
              <w:bottom w:val="single" w:sz="8" w:color="E9E9E9"/>
            </w:tcBorders>
            <w:shd w:val="clear" w:color="auto" w:fill="E9E9E9"/>
          </w:tcPr>
          <w:p>
            <w:pPr>
              <w:spacing w:after="0"/>
              <w:rPr>
                <w:sz w:val="24"/>
                <w:szCs w:val="24"/>
                <w:color w:val="auto"/>
              </w:rPr>
            </w:pPr>
          </w:p>
        </w:tc>
        <w:tc>
          <w:tcPr>
            <w:tcW w:w="160" w:type="dxa"/>
            <w:vAlign w:val="bottom"/>
            <w:tcBorders>
              <w:bottom w:val="single" w:sz="8" w:color="auto"/>
            </w:tcBorders>
            <w:shd w:val="clear" w:color="auto" w:fill="E9E9E9"/>
          </w:tcPr>
          <w:p>
            <w:pPr>
              <w:spacing w:after="0"/>
              <w:rPr>
                <w:sz w:val="24"/>
                <w:szCs w:val="24"/>
                <w:color w:val="auto"/>
              </w:rPr>
            </w:pPr>
          </w:p>
        </w:tc>
        <w:tc>
          <w:tcPr>
            <w:tcW w:w="82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90,391</w:t>
            </w:r>
          </w:p>
        </w:tc>
        <w:tc>
          <w:tcPr>
            <w:tcW w:w="80" w:type="dxa"/>
            <w:vAlign w:val="bottom"/>
            <w:tcBorders>
              <w:bottom w:val="single" w:sz="8" w:color="E9E9E9"/>
            </w:tcBorders>
            <w:shd w:val="clear" w:color="auto" w:fill="E9E9E9"/>
          </w:tcPr>
          <w:p>
            <w:pPr>
              <w:spacing w:after="0"/>
              <w:rPr>
                <w:sz w:val="24"/>
                <w:szCs w:val="24"/>
                <w:color w:val="auto"/>
              </w:rPr>
            </w:pPr>
          </w:p>
        </w:tc>
        <w:tc>
          <w:tcPr>
            <w:tcW w:w="9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116.3 %</w:t>
            </w:r>
          </w:p>
        </w:tc>
        <w:tc>
          <w:tcPr>
            <w:tcW w:w="60" w:type="dxa"/>
            <w:vAlign w:val="bottom"/>
            <w:tcBorders>
              <w:bottom w:val="single" w:sz="8" w:color="E9E9E9"/>
            </w:tcBorders>
            <w:shd w:val="clear" w:color="auto" w:fill="E9E9E9"/>
          </w:tcPr>
          <w:p>
            <w:pPr>
              <w:spacing w:after="0"/>
              <w:rPr>
                <w:sz w:val="24"/>
                <w:szCs w:val="24"/>
                <w:color w:val="auto"/>
              </w:rPr>
            </w:pPr>
          </w:p>
        </w:tc>
        <w:tc>
          <w:tcPr>
            <w:tcW w:w="160" w:type="dxa"/>
            <w:vAlign w:val="bottom"/>
            <w:tcBorders>
              <w:bottom w:val="single" w:sz="8" w:color="auto"/>
            </w:tcBorders>
            <w:shd w:val="clear" w:color="auto" w:fill="E9E9E9"/>
          </w:tcPr>
          <w:p>
            <w:pPr>
              <w:spacing w:after="0"/>
              <w:rPr>
                <w:sz w:val="24"/>
                <w:szCs w:val="24"/>
                <w:color w:val="auto"/>
              </w:rPr>
            </w:pPr>
          </w:p>
        </w:tc>
        <w:tc>
          <w:tcPr>
            <w:tcW w:w="84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(233,974)</w:t>
            </w:r>
          </w:p>
        </w:tc>
        <w:tc>
          <w:tcPr>
            <w:tcW w:w="60" w:type="dxa"/>
            <w:vAlign w:val="bottom"/>
            <w:tcBorders>
              <w:bottom w:val="single" w:sz="8" w:color="E9E9E9"/>
            </w:tcBorders>
            <w:shd w:val="clear" w:color="auto" w:fill="E9E9E9"/>
          </w:tcPr>
          <w:p>
            <w:pPr>
              <w:spacing w:after="0"/>
              <w:rPr>
                <w:sz w:val="24"/>
                <w:szCs w:val="24"/>
                <w:color w:val="auto"/>
              </w:rPr>
            </w:pPr>
          </w:p>
        </w:tc>
        <w:tc>
          <w:tcPr>
            <w:tcW w:w="100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(75.1)%</w:t>
            </w:r>
          </w:p>
        </w:tc>
        <w:tc>
          <w:tcPr>
            <w:tcW w:w="0" w:type="dxa"/>
            <w:vAlign w:val="bottom"/>
          </w:tcPr>
          <w:p>
            <w:pPr>
              <w:spacing w:after="0"/>
              <w:rPr>
                <w:sz w:val="1"/>
                <w:szCs w:val="1"/>
                <w:color w:val="auto"/>
              </w:rPr>
            </w:pPr>
          </w:p>
        </w:tc>
      </w:tr>
      <w:tr>
        <w:trPr>
          <w:trHeight w:val="277"/>
        </w:trPr>
        <w:tc>
          <w:tcPr>
            <w:tcW w:w="26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Total operating expenses</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539,727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344,901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545,508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194,826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56.5 %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(200,607)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(36.8)%</w:t>
            </w:r>
          </w:p>
        </w:tc>
        <w:tc>
          <w:tcPr>
            <w:tcW w:w="0" w:type="dxa"/>
            <w:vAlign w:val="bottom"/>
          </w:tcPr>
          <w:p>
            <w:pPr>
              <w:spacing w:after="0"/>
              <w:rPr>
                <w:sz w:val="1"/>
                <w:szCs w:val="1"/>
                <w:color w:val="auto"/>
              </w:rPr>
            </w:pPr>
          </w:p>
        </w:tc>
      </w:tr>
      <w:tr>
        <w:trPr>
          <w:trHeight w:val="291"/>
        </w:trPr>
        <w:tc>
          <w:tcPr>
            <w:tcW w:w="2680" w:type="dxa"/>
            <w:vAlign w:val="bottom"/>
            <w:tcBorders>
              <w:bottom w:val="single" w:sz="8" w:color="E9E9E9"/>
            </w:tcBorders>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Gain on sale of assets</w:t>
            </w:r>
          </w:p>
        </w:tc>
        <w:tc>
          <w:tcPr>
            <w:tcW w:w="240" w:type="dxa"/>
            <w:vAlign w:val="bottom"/>
            <w:tcBorders>
              <w:bottom w:val="single" w:sz="8" w:color="auto"/>
            </w:tcBorders>
            <w:shd w:val="clear" w:color="auto" w:fill="E9E9E9"/>
          </w:tcPr>
          <w:p>
            <w:pPr>
              <w:spacing w:after="0"/>
              <w:rPr>
                <w:sz w:val="24"/>
                <w:szCs w:val="24"/>
                <w:color w:val="auto"/>
              </w:rPr>
            </w:pPr>
          </w:p>
        </w:tc>
        <w:tc>
          <w:tcPr>
            <w:tcW w:w="94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8,415</w:t>
            </w:r>
          </w:p>
        </w:tc>
        <w:tc>
          <w:tcPr>
            <w:tcW w:w="80" w:type="dxa"/>
            <w:vAlign w:val="bottom"/>
            <w:tcBorders>
              <w:bottom w:val="single" w:sz="8" w:color="E9E9E9"/>
            </w:tcBorders>
            <w:shd w:val="clear" w:color="auto" w:fill="E9E9E9"/>
          </w:tcPr>
          <w:p>
            <w:pPr>
              <w:spacing w:after="0"/>
              <w:rPr>
                <w:sz w:val="24"/>
                <w:szCs w:val="24"/>
                <w:color w:val="auto"/>
              </w:rPr>
            </w:pPr>
          </w:p>
        </w:tc>
        <w:tc>
          <w:tcPr>
            <w:tcW w:w="220" w:type="dxa"/>
            <w:vAlign w:val="bottom"/>
            <w:tcBorders>
              <w:bottom w:val="single" w:sz="8" w:color="auto"/>
            </w:tcBorders>
            <w:shd w:val="clear" w:color="auto" w:fill="E9E9E9"/>
          </w:tcPr>
          <w:p>
            <w:pPr>
              <w:spacing w:after="0"/>
              <w:rPr>
                <w:sz w:val="24"/>
                <w:szCs w:val="24"/>
                <w:color w:val="auto"/>
              </w:rPr>
            </w:pPr>
          </w:p>
        </w:tc>
        <w:tc>
          <w:tcPr>
            <w:tcW w:w="94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9E9E9"/>
            </w:tcBorders>
            <w:shd w:val="clear" w:color="auto" w:fill="E9E9E9"/>
          </w:tcPr>
          <w:p>
            <w:pPr>
              <w:spacing w:after="0"/>
              <w:rPr>
                <w:sz w:val="24"/>
                <w:szCs w:val="24"/>
                <w:color w:val="auto"/>
              </w:rPr>
            </w:pPr>
          </w:p>
        </w:tc>
        <w:tc>
          <w:tcPr>
            <w:tcW w:w="280" w:type="dxa"/>
            <w:vAlign w:val="bottom"/>
            <w:tcBorders>
              <w:bottom w:val="single" w:sz="8" w:color="auto"/>
            </w:tcBorders>
            <w:shd w:val="clear" w:color="auto" w:fill="E9E9E9"/>
          </w:tcPr>
          <w:p>
            <w:pPr>
              <w:spacing w:after="0"/>
              <w:rPr>
                <w:sz w:val="24"/>
                <w:szCs w:val="24"/>
                <w:color w:val="auto"/>
              </w:rPr>
            </w:pPr>
          </w:p>
        </w:tc>
        <w:tc>
          <w:tcPr>
            <w:tcW w:w="90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9E9E9"/>
            </w:tcBorders>
            <w:shd w:val="clear" w:color="auto" w:fill="E9E9E9"/>
          </w:tcPr>
          <w:p>
            <w:pPr>
              <w:spacing w:after="0"/>
              <w:rPr>
                <w:sz w:val="24"/>
                <w:szCs w:val="24"/>
                <w:color w:val="auto"/>
              </w:rPr>
            </w:pPr>
          </w:p>
        </w:tc>
        <w:tc>
          <w:tcPr>
            <w:tcW w:w="160" w:type="dxa"/>
            <w:vAlign w:val="bottom"/>
            <w:tcBorders>
              <w:bottom w:val="single" w:sz="8" w:color="auto"/>
            </w:tcBorders>
            <w:shd w:val="clear" w:color="auto" w:fill="E9E9E9"/>
          </w:tcPr>
          <w:p>
            <w:pPr>
              <w:spacing w:after="0"/>
              <w:rPr>
                <w:sz w:val="24"/>
                <w:szCs w:val="24"/>
                <w:color w:val="auto"/>
              </w:rPr>
            </w:pPr>
          </w:p>
        </w:tc>
        <w:tc>
          <w:tcPr>
            <w:tcW w:w="82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8,415</w:t>
            </w:r>
          </w:p>
        </w:tc>
        <w:tc>
          <w:tcPr>
            <w:tcW w:w="80" w:type="dxa"/>
            <w:vAlign w:val="bottom"/>
            <w:tcBorders>
              <w:bottom w:val="single" w:sz="8" w:color="E9E9E9"/>
            </w:tcBorders>
            <w:shd w:val="clear" w:color="auto" w:fill="E9E9E9"/>
          </w:tcPr>
          <w:p>
            <w:pPr>
              <w:spacing w:after="0"/>
              <w:rPr>
                <w:sz w:val="24"/>
                <w:szCs w:val="24"/>
                <w:color w:val="auto"/>
              </w:rPr>
            </w:pPr>
          </w:p>
        </w:tc>
        <w:tc>
          <w:tcPr>
            <w:tcW w:w="9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60" w:type="dxa"/>
            <w:vAlign w:val="bottom"/>
            <w:tcBorders>
              <w:bottom w:val="single" w:sz="8" w:color="E9E9E9"/>
            </w:tcBorders>
            <w:shd w:val="clear" w:color="auto" w:fill="E9E9E9"/>
          </w:tcPr>
          <w:p>
            <w:pPr>
              <w:spacing w:after="0"/>
              <w:rPr>
                <w:sz w:val="24"/>
                <w:szCs w:val="24"/>
                <w:color w:val="auto"/>
              </w:rPr>
            </w:pPr>
          </w:p>
        </w:tc>
        <w:tc>
          <w:tcPr>
            <w:tcW w:w="160" w:type="dxa"/>
            <w:vAlign w:val="bottom"/>
            <w:tcBorders>
              <w:bottom w:val="single" w:sz="8" w:color="auto"/>
            </w:tcBorders>
            <w:shd w:val="clear" w:color="auto" w:fill="E9E9E9"/>
          </w:tcPr>
          <w:p>
            <w:pPr>
              <w:spacing w:after="0"/>
              <w:rPr>
                <w:sz w:val="24"/>
                <w:szCs w:val="24"/>
                <w:color w:val="auto"/>
              </w:rPr>
            </w:pPr>
          </w:p>
        </w:tc>
        <w:tc>
          <w:tcPr>
            <w:tcW w:w="84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9E9E9"/>
            </w:tcBorders>
            <w:shd w:val="clear" w:color="auto" w:fill="E9E9E9"/>
          </w:tcPr>
          <w:p>
            <w:pPr>
              <w:spacing w:after="0"/>
              <w:rPr>
                <w:sz w:val="24"/>
                <w:szCs w:val="24"/>
                <w:color w:val="auto"/>
              </w:rPr>
            </w:pPr>
          </w:p>
        </w:tc>
        <w:tc>
          <w:tcPr>
            <w:tcW w:w="1000" w:type="dxa"/>
            <w:vAlign w:val="bottom"/>
            <w:tcBorders>
              <w:bottom w:val="single" w:sz="8" w:color="E9E9E9"/>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322"/>
        </w:trPr>
        <w:tc>
          <w:tcPr>
            <w:tcW w:w="26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Operating income</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456,979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364,642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36,195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92,337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25.3 %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328,447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907.4 %</w:t>
            </w:r>
          </w:p>
        </w:tc>
        <w:tc>
          <w:tcPr>
            <w:tcW w:w="0" w:type="dxa"/>
            <w:vAlign w:val="bottom"/>
          </w:tcPr>
          <w:p>
            <w:pPr>
              <w:spacing w:after="0"/>
              <w:rPr>
                <w:sz w:val="1"/>
                <w:szCs w:val="1"/>
                <w:color w:val="auto"/>
              </w:rPr>
            </w:pPr>
          </w:p>
        </w:tc>
      </w:tr>
      <w:tr>
        <w:trPr>
          <w:trHeight w:val="301"/>
        </w:trPr>
        <w:tc>
          <w:tcPr>
            <w:tcW w:w="268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Interest expense</w:t>
            </w:r>
          </w:p>
        </w:tc>
        <w:tc>
          <w:tcPr>
            <w:tcW w:w="240" w:type="dxa"/>
            <w:vAlign w:val="bottom"/>
            <w:shd w:val="clear" w:color="auto" w:fill="E9E9E9"/>
          </w:tcPr>
          <w:p>
            <w:pPr>
              <w:spacing w:after="0"/>
              <w:rPr>
                <w:sz w:val="24"/>
                <w:szCs w:val="24"/>
                <w:color w:val="auto"/>
              </w:rPr>
            </w:pPr>
          </w:p>
        </w:tc>
        <w:tc>
          <w:tcPr>
            <w:tcW w:w="9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19,669</w:t>
            </w:r>
          </w:p>
        </w:tc>
        <w:tc>
          <w:tcPr>
            <w:tcW w:w="80" w:type="dxa"/>
            <w:vAlign w:val="bottom"/>
            <w:shd w:val="clear" w:color="auto" w:fill="E9E9E9"/>
          </w:tcPr>
          <w:p>
            <w:pPr>
              <w:spacing w:after="0"/>
              <w:rPr>
                <w:sz w:val="24"/>
                <w:szCs w:val="24"/>
                <w:color w:val="auto"/>
              </w:rPr>
            </w:pPr>
          </w:p>
        </w:tc>
        <w:tc>
          <w:tcPr>
            <w:tcW w:w="220" w:type="dxa"/>
            <w:vAlign w:val="bottom"/>
            <w:shd w:val="clear" w:color="auto" w:fill="E9E9E9"/>
          </w:tcPr>
          <w:p>
            <w:pPr>
              <w:spacing w:after="0"/>
              <w:rPr>
                <w:sz w:val="24"/>
                <w:szCs w:val="24"/>
                <w:color w:val="auto"/>
              </w:rPr>
            </w:pPr>
          </w:p>
        </w:tc>
        <w:tc>
          <w:tcPr>
            <w:tcW w:w="9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20,019</w:t>
            </w:r>
          </w:p>
        </w:tc>
        <w:tc>
          <w:tcPr>
            <w:tcW w:w="80" w:type="dxa"/>
            <w:vAlign w:val="bottom"/>
            <w:shd w:val="clear" w:color="auto" w:fill="E9E9E9"/>
          </w:tcPr>
          <w:p>
            <w:pPr>
              <w:spacing w:after="0"/>
              <w:rPr>
                <w:sz w:val="24"/>
                <w:szCs w:val="24"/>
                <w:color w:val="auto"/>
              </w:rPr>
            </w:pPr>
          </w:p>
        </w:tc>
        <w:tc>
          <w:tcPr>
            <w:tcW w:w="280" w:type="dxa"/>
            <w:vAlign w:val="bottom"/>
            <w:shd w:val="clear" w:color="auto" w:fill="E9E9E9"/>
          </w:tcPr>
          <w:p>
            <w:pPr>
              <w:spacing w:after="0"/>
              <w:rPr>
                <w:sz w:val="24"/>
                <w:szCs w:val="24"/>
                <w:color w:val="auto"/>
              </w:rPr>
            </w:pPr>
          </w:p>
        </w:tc>
        <w:tc>
          <w:tcPr>
            <w:tcW w:w="9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7,185</w:t>
            </w:r>
          </w:p>
        </w:tc>
        <w:tc>
          <w:tcPr>
            <w:tcW w:w="80" w:type="dxa"/>
            <w:vAlign w:val="bottom"/>
            <w:shd w:val="clear" w:color="auto" w:fill="E9E9E9"/>
          </w:tcPr>
          <w:p>
            <w:pPr>
              <w:spacing w:after="0"/>
              <w:rPr>
                <w:sz w:val="24"/>
                <w:szCs w:val="24"/>
                <w:color w:val="auto"/>
              </w:rPr>
            </w:pPr>
          </w:p>
        </w:tc>
        <w:tc>
          <w:tcPr>
            <w:tcW w:w="160" w:type="dxa"/>
            <w:vAlign w:val="bottom"/>
            <w:shd w:val="clear" w:color="auto" w:fill="E9E9E9"/>
          </w:tcPr>
          <w:p>
            <w:pPr>
              <w:spacing w:after="0"/>
              <w:rPr>
                <w:sz w:val="24"/>
                <w:szCs w:val="24"/>
                <w:color w:val="auto"/>
              </w:rPr>
            </w:pPr>
          </w:p>
        </w:tc>
        <w:tc>
          <w:tcPr>
            <w:tcW w:w="8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(350)</w:t>
            </w:r>
          </w:p>
        </w:tc>
        <w:tc>
          <w:tcPr>
            <w:tcW w:w="106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60" w:type="dxa"/>
            <w:vAlign w:val="bottom"/>
            <w:shd w:val="clear" w:color="auto" w:fill="E9E9E9"/>
          </w:tcPr>
          <w:p>
            <w:pPr>
              <w:spacing w:after="0"/>
              <w:rPr>
                <w:sz w:val="24"/>
                <w:szCs w:val="24"/>
                <w:color w:val="auto"/>
              </w:rPr>
            </w:pPr>
          </w:p>
        </w:tc>
        <w:tc>
          <w:tcPr>
            <w:tcW w:w="160" w:type="dxa"/>
            <w:vAlign w:val="bottom"/>
            <w:shd w:val="clear" w:color="auto" w:fill="E9E9E9"/>
          </w:tcPr>
          <w:p>
            <w:pPr>
              <w:spacing w:after="0"/>
              <w:rPr>
                <w:sz w:val="24"/>
                <w:szCs w:val="24"/>
                <w:color w:val="auto"/>
              </w:rPr>
            </w:pPr>
          </w:p>
        </w:tc>
        <w:tc>
          <w:tcPr>
            <w:tcW w:w="8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12,834</w:t>
            </w:r>
          </w:p>
        </w:tc>
        <w:tc>
          <w:tcPr>
            <w:tcW w:w="106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178.6 %</w:t>
            </w:r>
          </w:p>
        </w:tc>
        <w:tc>
          <w:tcPr>
            <w:tcW w:w="0" w:type="dxa"/>
            <w:vAlign w:val="bottom"/>
          </w:tcPr>
          <w:p>
            <w:pPr>
              <w:spacing w:after="0"/>
              <w:rPr>
                <w:sz w:val="1"/>
                <w:szCs w:val="1"/>
                <w:color w:val="auto"/>
              </w:rPr>
            </w:pPr>
          </w:p>
        </w:tc>
      </w:tr>
      <w:tr>
        <w:trPr>
          <w:trHeight w:val="306"/>
        </w:trPr>
        <w:tc>
          <w:tcPr>
            <w:tcW w:w="26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Investment in equity securities -</w:t>
            </w:r>
          </w:p>
        </w:tc>
        <w:tc>
          <w:tcPr>
            <w:tcW w:w="24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43,564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43,564</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61"/>
        </w:trPr>
        <w:tc>
          <w:tcPr>
            <w:tcW w:w="26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net unrealized loss</w:t>
            </w:r>
          </w:p>
        </w:tc>
        <w:tc>
          <w:tcPr>
            <w:tcW w:w="24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268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Loss on extinguishment of debt</w:t>
            </w:r>
          </w:p>
        </w:tc>
        <w:tc>
          <w:tcPr>
            <w:tcW w:w="240" w:type="dxa"/>
            <w:vAlign w:val="bottom"/>
            <w:shd w:val="clear" w:color="auto" w:fill="E9E9E9"/>
          </w:tcPr>
          <w:p>
            <w:pPr>
              <w:spacing w:after="0"/>
              <w:rPr>
                <w:sz w:val="24"/>
                <w:szCs w:val="24"/>
                <w:color w:val="auto"/>
              </w:rPr>
            </w:pPr>
          </w:p>
        </w:tc>
        <w:tc>
          <w:tcPr>
            <w:tcW w:w="9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9E9E9"/>
          </w:tcPr>
          <w:p>
            <w:pPr>
              <w:spacing w:after="0"/>
              <w:rPr>
                <w:sz w:val="24"/>
                <w:szCs w:val="24"/>
                <w:color w:val="auto"/>
              </w:rPr>
            </w:pPr>
          </w:p>
        </w:tc>
        <w:tc>
          <w:tcPr>
            <w:tcW w:w="220" w:type="dxa"/>
            <w:vAlign w:val="bottom"/>
            <w:shd w:val="clear" w:color="auto" w:fill="E9E9E9"/>
          </w:tcPr>
          <w:p>
            <w:pPr>
              <w:spacing w:after="0"/>
              <w:rPr>
                <w:sz w:val="24"/>
                <w:szCs w:val="24"/>
                <w:color w:val="auto"/>
              </w:rPr>
            </w:pPr>
          </w:p>
        </w:tc>
        <w:tc>
          <w:tcPr>
            <w:tcW w:w="9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9E9E9"/>
          </w:tcPr>
          <w:p>
            <w:pPr>
              <w:spacing w:after="0"/>
              <w:rPr>
                <w:sz w:val="24"/>
                <w:szCs w:val="24"/>
                <w:color w:val="auto"/>
              </w:rPr>
            </w:pPr>
          </w:p>
        </w:tc>
        <w:tc>
          <w:tcPr>
            <w:tcW w:w="280" w:type="dxa"/>
            <w:vAlign w:val="bottom"/>
            <w:shd w:val="clear" w:color="auto" w:fill="E9E9E9"/>
          </w:tcPr>
          <w:p>
            <w:pPr>
              <w:spacing w:after="0"/>
              <w:rPr>
                <w:sz w:val="24"/>
                <w:szCs w:val="24"/>
                <w:color w:val="auto"/>
              </w:rPr>
            </w:pPr>
          </w:p>
        </w:tc>
        <w:tc>
          <w:tcPr>
            <w:tcW w:w="9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588</w:t>
            </w:r>
          </w:p>
        </w:tc>
        <w:tc>
          <w:tcPr>
            <w:tcW w:w="80" w:type="dxa"/>
            <w:vAlign w:val="bottom"/>
            <w:shd w:val="clear" w:color="auto" w:fill="E9E9E9"/>
          </w:tcPr>
          <w:p>
            <w:pPr>
              <w:spacing w:after="0"/>
              <w:rPr>
                <w:sz w:val="24"/>
                <w:szCs w:val="24"/>
                <w:color w:val="auto"/>
              </w:rPr>
            </w:pPr>
          </w:p>
        </w:tc>
        <w:tc>
          <w:tcPr>
            <w:tcW w:w="160" w:type="dxa"/>
            <w:vAlign w:val="bottom"/>
            <w:shd w:val="clear" w:color="auto" w:fill="E9E9E9"/>
          </w:tcPr>
          <w:p>
            <w:pPr>
              <w:spacing w:after="0"/>
              <w:rPr>
                <w:sz w:val="24"/>
                <w:szCs w:val="24"/>
                <w:color w:val="auto"/>
              </w:rPr>
            </w:pPr>
          </w:p>
        </w:tc>
        <w:tc>
          <w:tcPr>
            <w:tcW w:w="8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9E9E9"/>
          </w:tcPr>
          <w:p>
            <w:pPr>
              <w:spacing w:after="0"/>
              <w:rPr>
                <w:sz w:val="24"/>
                <w:szCs w:val="24"/>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60" w:type="dxa"/>
            <w:vAlign w:val="bottom"/>
            <w:shd w:val="clear" w:color="auto" w:fill="E9E9E9"/>
          </w:tcPr>
          <w:p>
            <w:pPr>
              <w:spacing w:after="0"/>
              <w:rPr>
                <w:sz w:val="24"/>
                <w:szCs w:val="24"/>
                <w:color w:val="auto"/>
              </w:rPr>
            </w:pPr>
          </w:p>
        </w:tc>
        <w:tc>
          <w:tcPr>
            <w:tcW w:w="160" w:type="dxa"/>
            <w:vAlign w:val="bottom"/>
            <w:shd w:val="clear" w:color="auto" w:fill="E9E9E9"/>
          </w:tcPr>
          <w:p>
            <w:pPr>
              <w:spacing w:after="0"/>
              <w:rPr>
                <w:sz w:val="24"/>
                <w:szCs w:val="24"/>
                <w:color w:val="auto"/>
              </w:rPr>
            </w:pPr>
          </w:p>
        </w:tc>
        <w:tc>
          <w:tcPr>
            <w:tcW w:w="8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(588)</w:t>
            </w:r>
          </w:p>
        </w:tc>
        <w:tc>
          <w:tcPr>
            <w:tcW w:w="106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0" w:type="dxa"/>
            <w:vAlign w:val="bottom"/>
          </w:tcPr>
          <w:p>
            <w:pPr>
              <w:spacing w:after="0"/>
              <w:rPr>
                <w:sz w:val="1"/>
                <w:szCs w:val="1"/>
                <w:color w:val="auto"/>
              </w:rPr>
            </w:pPr>
          </w:p>
        </w:tc>
      </w:tr>
      <w:tr>
        <w:trPr>
          <w:trHeight w:val="284"/>
        </w:trPr>
        <w:tc>
          <w:tcPr>
            <w:tcW w:w="2680" w:type="dxa"/>
            <w:vAlign w:val="bottom"/>
            <w:tcBorders>
              <w:bottom w:val="single" w:sz="8" w:color="E9E9E9"/>
            </w:tcBorders>
          </w:tcPr>
          <w:p>
            <w:pPr>
              <w:ind w:left="60"/>
              <w:spacing w:after="0"/>
              <w:rPr>
                <w:sz w:val="20"/>
                <w:szCs w:val="20"/>
                <w:color w:val="auto"/>
              </w:rPr>
            </w:pPr>
            <w:r>
              <w:rPr>
                <w:rFonts w:ascii="Times New Roman" w:cs="Times New Roman" w:eastAsia="Times New Roman" w:hAnsi="Times New Roman"/>
                <w:sz w:val="20"/>
                <w:szCs w:val="20"/>
                <w:color w:val="auto"/>
              </w:rPr>
              <w:t>Other (income) loss, net</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(37,231)</w:t>
            </w:r>
          </w:p>
        </w:tc>
        <w:tc>
          <w:tcPr>
            <w:tcW w:w="80" w:type="dxa"/>
            <w:vAlign w:val="bottom"/>
            <w:tcBorders>
              <w:bottom w:val="single" w:sz="8" w:color="E9E9E9"/>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(66,320)</w:t>
            </w:r>
          </w:p>
        </w:tc>
        <w:tc>
          <w:tcPr>
            <w:tcW w:w="80" w:type="dxa"/>
            <w:vAlign w:val="bottom"/>
            <w:tcBorders>
              <w:bottom w:val="single" w:sz="8" w:color="E9E9E9"/>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1,703</w:t>
            </w:r>
          </w:p>
        </w:tc>
        <w:tc>
          <w:tcPr>
            <w:tcW w:w="80" w:type="dxa"/>
            <w:vAlign w:val="bottom"/>
            <w:tcBorders>
              <w:bottom w:val="single" w:sz="8" w:color="E9E9E9"/>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29,089</w:t>
            </w:r>
          </w:p>
        </w:tc>
        <w:tc>
          <w:tcPr>
            <w:tcW w:w="80" w:type="dxa"/>
            <w:vAlign w:val="bottom"/>
            <w:tcBorders>
              <w:bottom w:val="single" w:sz="8" w:color="E9E9E9"/>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(43.9)%</w:t>
            </w:r>
          </w:p>
        </w:tc>
        <w:tc>
          <w:tcPr>
            <w:tcW w:w="60" w:type="dxa"/>
            <w:vAlign w:val="bottom"/>
            <w:tcBorders>
              <w:bottom w:val="single" w:sz="8" w:color="E9E9E9"/>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(68,023)</w:t>
            </w:r>
          </w:p>
        </w:tc>
        <w:tc>
          <w:tcPr>
            <w:tcW w:w="60" w:type="dxa"/>
            <w:vAlign w:val="bottom"/>
            <w:tcBorders>
              <w:bottom w:val="single" w:sz="8" w:color="E9E9E9"/>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(3,994.3)%</w:t>
            </w:r>
          </w:p>
        </w:tc>
        <w:tc>
          <w:tcPr>
            <w:tcW w:w="0" w:type="dxa"/>
            <w:vAlign w:val="bottom"/>
          </w:tcPr>
          <w:p>
            <w:pPr>
              <w:spacing w:after="0"/>
              <w:rPr>
                <w:sz w:val="1"/>
                <w:szCs w:val="1"/>
                <w:color w:val="auto"/>
              </w:rPr>
            </w:pPr>
          </w:p>
        </w:tc>
      </w:tr>
      <w:tr>
        <w:trPr>
          <w:trHeight w:val="208"/>
        </w:trPr>
        <w:tc>
          <w:tcPr>
            <w:tcW w:w="2680" w:type="dxa"/>
            <w:vAlign w:val="bottom"/>
            <w:shd w:val="clear" w:color="auto" w:fill="E9E9E9"/>
          </w:tcPr>
          <w:p>
            <w:pPr>
              <w:ind w:left="540"/>
              <w:spacing w:after="0" w:line="207" w:lineRule="exact"/>
              <w:rPr>
                <w:sz w:val="20"/>
                <w:szCs w:val="20"/>
                <w:color w:val="auto"/>
              </w:rPr>
            </w:pPr>
            <w:r>
              <w:rPr>
                <w:rFonts w:ascii="Times New Roman" w:cs="Times New Roman" w:eastAsia="Times New Roman" w:hAnsi="Times New Roman"/>
                <w:sz w:val="20"/>
                <w:szCs w:val="20"/>
                <w:color w:val="auto"/>
              </w:rPr>
              <w:t>Income before income</w:t>
            </w:r>
          </w:p>
        </w:tc>
        <w:tc>
          <w:tcPr>
            <w:tcW w:w="240" w:type="dxa"/>
            <w:vAlign w:val="bottom"/>
            <w:shd w:val="clear" w:color="auto" w:fill="E9E9E9"/>
          </w:tcPr>
          <w:p>
            <w:pPr>
              <w:spacing w:after="0"/>
              <w:rPr>
                <w:sz w:val="18"/>
                <w:szCs w:val="18"/>
                <w:color w:val="auto"/>
              </w:rPr>
            </w:pPr>
          </w:p>
        </w:tc>
        <w:tc>
          <w:tcPr>
            <w:tcW w:w="940" w:type="dxa"/>
            <w:vAlign w:val="bottom"/>
            <w:vMerge w:val="restart"/>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430,977</w:t>
            </w:r>
          </w:p>
        </w:tc>
        <w:tc>
          <w:tcPr>
            <w:tcW w:w="80" w:type="dxa"/>
            <w:vAlign w:val="bottom"/>
            <w:shd w:val="clear" w:color="auto" w:fill="E9E9E9"/>
          </w:tcPr>
          <w:p>
            <w:pPr>
              <w:spacing w:after="0"/>
              <w:rPr>
                <w:sz w:val="18"/>
                <w:szCs w:val="18"/>
                <w:color w:val="auto"/>
              </w:rPr>
            </w:pPr>
          </w:p>
        </w:tc>
        <w:tc>
          <w:tcPr>
            <w:tcW w:w="220" w:type="dxa"/>
            <w:vAlign w:val="bottom"/>
            <w:shd w:val="clear" w:color="auto" w:fill="E9E9E9"/>
          </w:tcPr>
          <w:p>
            <w:pPr>
              <w:spacing w:after="0"/>
              <w:rPr>
                <w:sz w:val="18"/>
                <w:szCs w:val="18"/>
                <w:color w:val="auto"/>
              </w:rPr>
            </w:pPr>
          </w:p>
        </w:tc>
        <w:tc>
          <w:tcPr>
            <w:tcW w:w="940" w:type="dxa"/>
            <w:vAlign w:val="bottom"/>
            <w:vMerge w:val="restart"/>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410,943</w:t>
            </w:r>
          </w:p>
        </w:tc>
        <w:tc>
          <w:tcPr>
            <w:tcW w:w="80" w:type="dxa"/>
            <w:vAlign w:val="bottom"/>
            <w:shd w:val="clear" w:color="auto" w:fill="E9E9E9"/>
          </w:tcPr>
          <w:p>
            <w:pPr>
              <w:spacing w:after="0"/>
              <w:rPr>
                <w:sz w:val="18"/>
                <w:szCs w:val="18"/>
                <w:color w:val="auto"/>
              </w:rPr>
            </w:pPr>
          </w:p>
        </w:tc>
        <w:tc>
          <w:tcPr>
            <w:tcW w:w="280" w:type="dxa"/>
            <w:vAlign w:val="bottom"/>
            <w:shd w:val="clear" w:color="auto" w:fill="E9E9E9"/>
          </w:tcPr>
          <w:p>
            <w:pPr>
              <w:spacing w:after="0"/>
              <w:rPr>
                <w:sz w:val="18"/>
                <w:szCs w:val="18"/>
                <w:color w:val="auto"/>
              </w:rPr>
            </w:pPr>
          </w:p>
        </w:tc>
        <w:tc>
          <w:tcPr>
            <w:tcW w:w="900" w:type="dxa"/>
            <w:vAlign w:val="bottom"/>
            <w:vMerge w:val="restart"/>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26,719</w:t>
            </w:r>
          </w:p>
        </w:tc>
        <w:tc>
          <w:tcPr>
            <w:tcW w:w="80" w:type="dxa"/>
            <w:vAlign w:val="bottom"/>
            <w:shd w:val="clear" w:color="auto" w:fill="E9E9E9"/>
          </w:tcPr>
          <w:p>
            <w:pPr>
              <w:spacing w:after="0"/>
              <w:rPr>
                <w:sz w:val="18"/>
                <w:szCs w:val="18"/>
                <w:color w:val="auto"/>
              </w:rPr>
            </w:pPr>
          </w:p>
        </w:tc>
        <w:tc>
          <w:tcPr>
            <w:tcW w:w="160" w:type="dxa"/>
            <w:vAlign w:val="bottom"/>
            <w:shd w:val="clear" w:color="auto" w:fill="E9E9E9"/>
          </w:tcPr>
          <w:p>
            <w:pPr>
              <w:spacing w:after="0"/>
              <w:rPr>
                <w:sz w:val="18"/>
                <w:szCs w:val="18"/>
                <w:color w:val="auto"/>
              </w:rPr>
            </w:pPr>
          </w:p>
        </w:tc>
        <w:tc>
          <w:tcPr>
            <w:tcW w:w="820" w:type="dxa"/>
            <w:vAlign w:val="bottom"/>
            <w:vMerge w:val="restart"/>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20,034</w:t>
            </w:r>
          </w:p>
        </w:tc>
        <w:tc>
          <w:tcPr>
            <w:tcW w:w="80" w:type="dxa"/>
            <w:vAlign w:val="bottom"/>
            <w:vMerge w:val="restart"/>
            <w:shd w:val="clear" w:color="auto" w:fill="E9E9E9"/>
          </w:tcPr>
          <w:p>
            <w:pPr>
              <w:spacing w:after="0"/>
              <w:rPr>
                <w:sz w:val="18"/>
                <w:szCs w:val="18"/>
                <w:color w:val="auto"/>
              </w:rPr>
            </w:pPr>
          </w:p>
        </w:tc>
        <w:tc>
          <w:tcPr>
            <w:tcW w:w="980" w:type="dxa"/>
            <w:vAlign w:val="bottom"/>
            <w:vMerge w:val="restart"/>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4.9 %</w:t>
            </w:r>
          </w:p>
        </w:tc>
        <w:tc>
          <w:tcPr>
            <w:tcW w:w="60" w:type="dxa"/>
            <w:vAlign w:val="bottom"/>
            <w:shd w:val="clear" w:color="auto" w:fill="E9E9E9"/>
          </w:tcPr>
          <w:p>
            <w:pPr>
              <w:spacing w:after="0"/>
              <w:rPr>
                <w:sz w:val="18"/>
                <w:szCs w:val="18"/>
                <w:color w:val="auto"/>
              </w:rPr>
            </w:pPr>
          </w:p>
        </w:tc>
        <w:tc>
          <w:tcPr>
            <w:tcW w:w="160" w:type="dxa"/>
            <w:vAlign w:val="bottom"/>
            <w:shd w:val="clear" w:color="auto" w:fill="E9E9E9"/>
          </w:tcPr>
          <w:p>
            <w:pPr>
              <w:spacing w:after="0"/>
              <w:rPr>
                <w:sz w:val="18"/>
                <w:szCs w:val="18"/>
                <w:color w:val="auto"/>
              </w:rPr>
            </w:pPr>
          </w:p>
        </w:tc>
        <w:tc>
          <w:tcPr>
            <w:tcW w:w="840" w:type="dxa"/>
            <w:vAlign w:val="bottom"/>
            <w:vMerge w:val="restart"/>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384,224</w:t>
            </w:r>
          </w:p>
        </w:tc>
        <w:tc>
          <w:tcPr>
            <w:tcW w:w="60" w:type="dxa"/>
            <w:vAlign w:val="bottom"/>
            <w:vMerge w:val="restart"/>
            <w:shd w:val="clear" w:color="auto" w:fill="E9E9E9"/>
          </w:tcPr>
          <w:p>
            <w:pPr>
              <w:spacing w:after="0"/>
              <w:rPr>
                <w:sz w:val="18"/>
                <w:szCs w:val="18"/>
                <w:color w:val="auto"/>
              </w:rPr>
            </w:pPr>
          </w:p>
        </w:tc>
        <w:tc>
          <w:tcPr>
            <w:tcW w:w="1000" w:type="dxa"/>
            <w:vAlign w:val="bottom"/>
            <w:vMerge w:val="restart"/>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1,438.0 %</w:t>
            </w:r>
          </w:p>
        </w:tc>
        <w:tc>
          <w:tcPr>
            <w:tcW w:w="0" w:type="dxa"/>
            <w:vAlign w:val="bottom"/>
          </w:tcPr>
          <w:p>
            <w:pPr>
              <w:spacing w:after="0"/>
              <w:rPr>
                <w:sz w:val="1"/>
                <w:szCs w:val="1"/>
                <w:color w:val="auto"/>
              </w:rPr>
            </w:pPr>
          </w:p>
        </w:tc>
      </w:tr>
      <w:tr>
        <w:trPr>
          <w:trHeight w:val="257"/>
        </w:trPr>
        <w:tc>
          <w:tcPr>
            <w:tcW w:w="2680" w:type="dxa"/>
            <w:vAlign w:val="bottom"/>
            <w:tcBorders>
              <w:bottom w:val="single" w:sz="8" w:color="E9E9E9"/>
            </w:tcBorders>
            <w:shd w:val="clear" w:color="auto" w:fill="E9E9E9"/>
          </w:tcPr>
          <w:p>
            <w:pPr>
              <w:ind w:left="540"/>
              <w:spacing w:after="0"/>
              <w:rPr>
                <w:sz w:val="20"/>
                <w:szCs w:val="20"/>
                <w:color w:val="auto"/>
              </w:rPr>
            </w:pPr>
            <w:r>
              <w:rPr>
                <w:rFonts w:ascii="Times New Roman" w:cs="Times New Roman" w:eastAsia="Times New Roman" w:hAnsi="Times New Roman"/>
                <w:sz w:val="20"/>
                <w:szCs w:val="20"/>
                <w:color w:val="auto"/>
              </w:rPr>
              <w:t>taxes</w:t>
            </w:r>
          </w:p>
        </w:tc>
        <w:tc>
          <w:tcPr>
            <w:tcW w:w="240" w:type="dxa"/>
            <w:vAlign w:val="bottom"/>
            <w:tcBorders>
              <w:bottom w:val="single" w:sz="8" w:color="auto"/>
            </w:tcBorders>
            <w:shd w:val="clear" w:color="auto" w:fill="E9E9E9"/>
          </w:tcPr>
          <w:p>
            <w:pPr>
              <w:spacing w:after="0"/>
              <w:rPr>
                <w:sz w:val="22"/>
                <w:szCs w:val="22"/>
                <w:color w:val="auto"/>
              </w:rPr>
            </w:pPr>
          </w:p>
        </w:tc>
        <w:tc>
          <w:tcPr>
            <w:tcW w:w="940" w:type="dxa"/>
            <w:vAlign w:val="bottom"/>
            <w:tcBorders>
              <w:bottom w:val="single" w:sz="8" w:color="auto"/>
            </w:tcBorders>
            <w:vMerge w:val="continue"/>
            <w:shd w:val="clear" w:color="auto" w:fill="E9E9E9"/>
          </w:tcPr>
          <w:p>
            <w:pPr>
              <w:spacing w:after="0"/>
              <w:rPr>
                <w:sz w:val="22"/>
                <w:szCs w:val="22"/>
                <w:color w:val="auto"/>
              </w:rPr>
            </w:pPr>
          </w:p>
        </w:tc>
        <w:tc>
          <w:tcPr>
            <w:tcW w:w="80" w:type="dxa"/>
            <w:vAlign w:val="bottom"/>
            <w:tcBorders>
              <w:bottom w:val="single" w:sz="8" w:color="E9E9E9"/>
            </w:tcBorders>
            <w:shd w:val="clear" w:color="auto" w:fill="E9E9E9"/>
          </w:tcPr>
          <w:p>
            <w:pPr>
              <w:spacing w:after="0"/>
              <w:rPr>
                <w:sz w:val="22"/>
                <w:szCs w:val="22"/>
                <w:color w:val="auto"/>
              </w:rPr>
            </w:pPr>
          </w:p>
        </w:tc>
        <w:tc>
          <w:tcPr>
            <w:tcW w:w="220" w:type="dxa"/>
            <w:vAlign w:val="bottom"/>
            <w:tcBorders>
              <w:bottom w:val="single" w:sz="8" w:color="auto"/>
            </w:tcBorders>
            <w:shd w:val="clear" w:color="auto" w:fill="E9E9E9"/>
          </w:tcPr>
          <w:p>
            <w:pPr>
              <w:spacing w:after="0"/>
              <w:rPr>
                <w:sz w:val="22"/>
                <w:szCs w:val="22"/>
                <w:color w:val="auto"/>
              </w:rPr>
            </w:pPr>
          </w:p>
        </w:tc>
        <w:tc>
          <w:tcPr>
            <w:tcW w:w="940" w:type="dxa"/>
            <w:vAlign w:val="bottom"/>
            <w:tcBorders>
              <w:bottom w:val="single" w:sz="8" w:color="auto"/>
            </w:tcBorders>
            <w:vMerge w:val="continue"/>
            <w:shd w:val="clear" w:color="auto" w:fill="E9E9E9"/>
          </w:tcPr>
          <w:p>
            <w:pPr>
              <w:spacing w:after="0"/>
              <w:rPr>
                <w:sz w:val="22"/>
                <w:szCs w:val="22"/>
                <w:color w:val="auto"/>
              </w:rPr>
            </w:pPr>
          </w:p>
        </w:tc>
        <w:tc>
          <w:tcPr>
            <w:tcW w:w="80" w:type="dxa"/>
            <w:vAlign w:val="bottom"/>
            <w:tcBorders>
              <w:bottom w:val="single" w:sz="8" w:color="E9E9E9"/>
            </w:tcBorders>
            <w:shd w:val="clear" w:color="auto" w:fill="E9E9E9"/>
          </w:tcPr>
          <w:p>
            <w:pPr>
              <w:spacing w:after="0"/>
              <w:rPr>
                <w:sz w:val="22"/>
                <w:szCs w:val="22"/>
                <w:color w:val="auto"/>
              </w:rPr>
            </w:pPr>
          </w:p>
        </w:tc>
        <w:tc>
          <w:tcPr>
            <w:tcW w:w="280" w:type="dxa"/>
            <w:vAlign w:val="bottom"/>
            <w:tcBorders>
              <w:bottom w:val="single" w:sz="8" w:color="auto"/>
            </w:tcBorders>
            <w:shd w:val="clear" w:color="auto" w:fill="E9E9E9"/>
          </w:tcPr>
          <w:p>
            <w:pPr>
              <w:spacing w:after="0"/>
              <w:rPr>
                <w:sz w:val="22"/>
                <w:szCs w:val="22"/>
                <w:color w:val="auto"/>
              </w:rPr>
            </w:pPr>
          </w:p>
        </w:tc>
        <w:tc>
          <w:tcPr>
            <w:tcW w:w="900" w:type="dxa"/>
            <w:vAlign w:val="bottom"/>
            <w:tcBorders>
              <w:bottom w:val="single" w:sz="8" w:color="auto"/>
            </w:tcBorders>
            <w:vMerge w:val="continue"/>
            <w:shd w:val="clear" w:color="auto" w:fill="E9E9E9"/>
          </w:tcPr>
          <w:p>
            <w:pPr>
              <w:spacing w:after="0"/>
              <w:rPr>
                <w:sz w:val="22"/>
                <w:szCs w:val="22"/>
                <w:color w:val="auto"/>
              </w:rPr>
            </w:pPr>
          </w:p>
        </w:tc>
        <w:tc>
          <w:tcPr>
            <w:tcW w:w="80" w:type="dxa"/>
            <w:vAlign w:val="bottom"/>
            <w:tcBorders>
              <w:bottom w:val="single" w:sz="8" w:color="E9E9E9"/>
            </w:tcBorders>
            <w:shd w:val="clear" w:color="auto" w:fill="E9E9E9"/>
          </w:tcPr>
          <w:p>
            <w:pPr>
              <w:spacing w:after="0"/>
              <w:rPr>
                <w:sz w:val="22"/>
                <w:szCs w:val="22"/>
                <w:color w:val="auto"/>
              </w:rPr>
            </w:pPr>
          </w:p>
        </w:tc>
        <w:tc>
          <w:tcPr>
            <w:tcW w:w="160" w:type="dxa"/>
            <w:vAlign w:val="bottom"/>
            <w:tcBorders>
              <w:bottom w:val="single" w:sz="8" w:color="auto"/>
            </w:tcBorders>
            <w:shd w:val="clear" w:color="auto" w:fill="E9E9E9"/>
          </w:tcPr>
          <w:p>
            <w:pPr>
              <w:spacing w:after="0"/>
              <w:rPr>
                <w:sz w:val="22"/>
                <w:szCs w:val="22"/>
                <w:color w:val="auto"/>
              </w:rPr>
            </w:pPr>
          </w:p>
        </w:tc>
        <w:tc>
          <w:tcPr>
            <w:tcW w:w="820" w:type="dxa"/>
            <w:vAlign w:val="bottom"/>
            <w:tcBorders>
              <w:bottom w:val="single" w:sz="8" w:color="auto"/>
            </w:tcBorders>
            <w:vMerge w:val="continue"/>
            <w:shd w:val="clear" w:color="auto" w:fill="E9E9E9"/>
          </w:tcPr>
          <w:p>
            <w:pPr>
              <w:spacing w:after="0"/>
              <w:rPr>
                <w:sz w:val="22"/>
                <w:szCs w:val="22"/>
                <w:color w:val="auto"/>
              </w:rPr>
            </w:pPr>
          </w:p>
        </w:tc>
        <w:tc>
          <w:tcPr>
            <w:tcW w:w="80" w:type="dxa"/>
            <w:vAlign w:val="bottom"/>
            <w:tcBorders>
              <w:bottom w:val="single" w:sz="8" w:color="E9E9E9"/>
            </w:tcBorders>
            <w:vMerge w:val="continue"/>
            <w:shd w:val="clear" w:color="auto" w:fill="E9E9E9"/>
          </w:tcPr>
          <w:p>
            <w:pPr>
              <w:spacing w:after="0"/>
              <w:rPr>
                <w:sz w:val="22"/>
                <w:szCs w:val="22"/>
                <w:color w:val="auto"/>
              </w:rPr>
            </w:pPr>
          </w:p>
        </w:tc>
        <w:tc>
          <w:tcPr>
            <w:tcW w:w="980" w:type="dxa"/>
            <w:vAlign w:val="bottom"/>
            <w:tcBorders>
              <w:bottom w:val="single" w:sz="8" w:color="auto"/>
            </w:tcBorders>
            <w:vMerge w:val="continue"/>
            <w:shd w:val="clear" w:color="auto" w:fill="E9E9E9"/>
          </w:tcPr>
          <w:p>
            <w:pPr>
              <w:spacing w:after="0"/>
              <w:rPr>
                <w:sz w:val="22"/>
                <w:szCs w:val="22"/>
                <w:color w:val="auto"/>
              </w:rPr>
            </w:pPr>
          </w:p>
        </w:tc>
        <w:tc>
          <w:tcPr>
            <w:tcW w:w="60" w:type="dxa"/>
            <w:vAlign w:val="bottom"/>
            <w:tcBorders>
              <w:bottom w:val="single" w:sz="8" w:color="E9E9E9"/>
            </w:tcBorders>
            <w:shd w:val="clear" w:color="auto" w:fill="E9E9E9"/>
          </w:tcPr>
          <w:p>
            <w:pPr>
              <w:spacing w:after="0"/>
              <w:rPr>
                <w:sz w:val="22"/>
                <w:szCs w:val="22"/>
                <w:color w:val="auto"/>
              </w:rPr>
            </w:pPr>
          </w:p>
        </w:tc>
        <w:tc>
          <w:tcPr>
            <w:tcW w:w="160" w:type="dxa"/>
            <w:vAlign w:val="bottom"/>
            <w:tcBorders>
              <w:bottom w:val="single" w:sz="8" w:color="auto"/>
            </w:tcBorders>
            <w:shd w:val="clear" w:color="auto" w:fill="E9E9E9"/>
          </w:tcPr>
          <w:p>
            <w:pPr>
              <w:spacing w:after="0"/>
              <w:rPr>
                <w:sz w:val="22"/>
                <w:szCs w:val="22"/>
                <w:color w:val="auto"/>
              </w:rPr>
            </w:pPr>
          </w:p>
        </w:tc>
        <w:tc>
          <w:tcPr>
            <w:tcW w:w="840" w:type="dxa"/>
            <w:vAlign w:val="bottom"/>
            <w:tcBorders>
              <w:bottom w:val="single" w:sz="8" w:color="auto"/>
            </w:tcBorders>
            <w:vMerge w:val="continue"/>
            <w:shd w:val="clear" w:color="auto" w:fill="E9E9E9"/>
          </w:tcPr>
          <w:p>
            <w:pPr>
              <w:spacing w:after="0"/>
              <w:rPr>
                <w:sz w:val="22"/>
                <w:szCs w:val="22"/>
                <w:color w:val="auto"/>
              </w:rPr>
            </w:pPr>
          </w:p>
        </w:tc>
        <w:tc>
          <w:tcPr>
            <w:tcW w:w="60" w:type="dxa"/>
            <w:vAlign w:val="bottom"/>
            <w:tcBorders>
              <w:bottom w:val="single" w:sz="8" w:color="E9E9E9"/>
            </w:tcBorders>
            <w:vMerge w:val="continue"/>
            <w:shd w:val="clear" w:color="auto" w:fill="E9E9E9"/>
          </w:tcPr>
          <w:p>
            <w:pPr>
              <w:spacing w:after="0"/>
              <w:rPr>
                <w:sz w:val="22"/>
                <w:szCs w:val="22"/>
                <w:color w:val="auto"/>
              </w:rPr>
            </w:pPr>
          </w:p>
        </w:tc>
        <w:tc>
          <w:tcPr>
            <w:tcW w:w="1000" w:type="dxa"/>
            <w:vAlign w:val="bottom"/>
            <w:tcBorders>
              <w:bottom w:val="single" w:sz="8" w:color="auto"/>
            </w:tcBorders>
            <w:vMerge w:val="continue"/>
            <w:shd w:val="clear" w:color="auto" w:fill="E9E9E9"/>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2680" w:type="dxa"/>
            <w:vAlign w:val="bottom"/>
            <w:tcBorders>
              <w:bottom w:val="single" w:sz="8" w:color="E9E9E9"/>
            </w:tcBorders>
          </w:tcPr>
          <w:p>
            <w:pPr>
              <w:ind w:left="60"/>
              <w:spacing w:after="0"/>
              <w:rPr>
                <w:sz w:val="20"/>
                <w:szCs w:val="20"/>
                <w:color w:val="auto"/>
              </w:rPr>
            </w:pPr>
            <w:r>
              <w:rPr>
                <w:rFonts w:ascii="Times New Roman" w:cs="Times New Roman" w:eastAsia="Times New Roman" w:hAnsi="Times New Roman"/>
                <w:sz w:val="20"/>
                <w:szCs w:val="20"/>
                <w:color w:val="auto"/>
              </w:rPr>
              <w:t>Income tax expense (benefit)</w:t>
            </w: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118,535</w:t>
            </w:r>
          </w:p>
        </w:tc>
        <w:tc>
          <w:tcPr>
            <w:tcW w:w="80" w:type="dxa"/>
            <w:vAlign w:val="bottom"/>
            <w:tcBorders>
              <w:bottom w:val="single" w:sz="8" w:color="E9E9E9"/>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84,282</w:t>
            </w:r>
          </w:p>
        </w:tc>
        <w:tc>
          <w:tcPr>
            <w:tcW w:w="80" w:type="dxa"/>
            <w:vAlign w:val="bottom"/>
            <w:tcBorders>
              <w:bottom w:val="single" w:sz="8" w:color="E9E9E9"/>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(1,348)</w:t>
            </w:r>
          </w:p>
        </w:tc>
        <w:tc>
          <w:tcPr>
            <w:tcW w:w="80" w:type="dxa"/>
            <w:vAlign w:val="bottom"/>
            <w:tcBorders>
              <w:bottom w:val="single" w:sz="8" w:color="E9E9E9"/>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34,253</w:t>
            </w:r>
          </w:p>
        </w:tc>
        <w:tc>
          <w:tcPr>
            <w:tcW w:w="80" w:type="dxa"/>
            <w:vAlign w:val="bottom"/>
            <w:tcBorders>
              <w:bottom w:val="single" w:sz="8" w:color="E9E9E9"/>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40.6 %</w:t>
            </w:r>
          </w:p>
        </w:tc>
        <w:tc>
          <w:tcPr>
            <w:tcW w:w="60" w:type="dxa"/>
            <w:vAlign w:val="bottom"/>
            <w:tcBorders>
              <w:bottom w:val="single" w:sz="8" w:color="E9E9E9"/>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85,630</w:t>
            </w:r>
          </w:p>
        </w:tc>
        <w:tc>
          <w:tcPr>
            <w:tcW w:w="60" w:type="dxa"/>
            <w:vAlign w:val="bottom"/>
            <w:tcBorders>
              <w:bottom w:val="single" w:sz="8" w:color="E9E9E9"/>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(6,352.4)%</w:t>
            </w:r>
          </w:p>
        </w:tc>
        <w:tc>
          <w:tcPr>
            <w:tcW w:w="0" w:type="dxa"/>
            <w:vAlign w:val="bottom"/>
          </w:tcPr>
          <w:p>
            <w:pPr>
              <w:spacing w:after="0"/>
              <w:rPr>
                <w:sz w:val="1"/>
                <w:szCs w:val="1"/>
                <w:color w:val="auto"/>
              </w:rPr>
            </w:pPr>
          </w:p>
        </w:tc>
      </w:tr>
      <w:tr>
        <w:trPr>
          <w:trHeight w:val="294"/>
        </w:trPr>
        <w:tc>
          <w:tcPr>
            <w:tcW w:w="2680" w:type="dxa"/>
            <w:vAlign w:val="bottom"/>
            <w:tcBorders>
              <w:bottom w:val="single" w:sz="8" w:color="E9E9E9"/>
            </w:tcBorders>
            <w:shd w:val="clear" w:color="auto" w:fill="E9E9E9"/>
          </w:tcPr>
          <w:p>
            <w:pPr>
              <w:ind w:left="540"/>
              <w:spacing w:after="0"/>
              <w:rPr>
                <w:sz w:val="20"/>
                <w:szCs w:val="20"/>
                <w:color w:val="auto"/>
              </w:rPr>
            </w:pPr>
            <w:r>
              <w:rPr>
                <w:rFonts w:ascii="Times New Roman" w:cs="Times New Roman" w:eastAsia="Times New Roman" w:hAnsi="Times New Roman"/>
                <w:sz w:val="20"/>
                <w:szCs w:val="20"/>
                <w:color w:val="auto"/>
              </w:rPr>
              <w:t>Net income</w:t>
            </w:r>
          </w:p>
        </w:tc>
        <w:tc>
          <w:tcPr>
            <w:tcW w:w="24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312,442</w:t>
            </w:r>
          </w:p>
        </w:tc>
        <w:tc>
          <w:tcPr>
            <w:tcW w:w="80" w:type="dxa"/>
            <w:vAlign w:val="bottom"/>
            <w:tcBorders>
              <w:bottom w:val="single" w:sz="8" w:color="E9E9E9"/>
            </w:tcBorders>
            <w:shd w:val="clear" w:color="auto" w:fill="E9E9E9"/>
          </w:tcPr>
          <w:p>
            <w:pPr>
              <w:spacing w:after="0"/>
              <w:rPr>
                <w:sz w:val="24"/>
                <w:szCs w:val="24"/>
                <w:color w:val="auto"/>
              </w:rPr>
            </w:pPr>
          </w:p>
        </w:tc>
        <w:tc>
          <w:tcPr>
            <w:tcW w:w="22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326,661</w:t>
            </w:r>
          </w:p>
        </w:tc>
        <w:tc>
          <w:tcPr>
            <w:tcW w:w="80" w:type="dxa"/>
            <w:vAlign w:val="bottom"/>
            <w:tcBorders>
              <w:bottom w:val="single" w:sz="8" w:color="E9E9E9"/>
            </w:tcBorders>
            <w:shd w:val="clear" w:color="auto" w:fill="E9E9E9"/>
          </w:tcPr>
          <w:p>
            <w:pPr>
              <w:spacing w:after="0"/>
              <w:rPr>
                <w:sz w:val="24"/>
                <w:szCs w:val="24"/>
                <w:color w:val="auto"/>
              </w:rPr>
            </w:pPr>
          </w:p>
        </w:tc>
        <w:tc>
          <w:tcPr>
            <w:tcW w:w="280" w:type="dxa"/>
            <w:vAlign w:val="bottom"/>
            <w:tcBorders>
              <w:bottom w:val="single" w:sz="8" w:color="auto"/>
            </w:tcBorders>
            <w:shd w:val="clear" w:color="auto" w:fill="E9E9E9"/>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28,067</w:t>
            </w:r>
          </w:p>
        </w:tc>
        <w:tc>
          <w:tcPr>
            <w:tcW w:w="80" w:type="dxa"/>
            <w:vAlign w:val="bottom"/>
            <w:tcBorders>
              <w:bottom w:val="single" w:sz="8" w:color="E9E9E9"/>
            </w:tcBorders>
            <w:shd w:val="clear" w:color="auto" w:fill="E9E9E9"/>
          </w:tcPr>
          <w:p>
            <w:pPr>
              <w:spacing w:after="0"/>
              <w:rPr>
                <w:sz w:val="24"/>
                <w:szCs w:val="24"/>
                <w:color w:val="auto"/>
              </w:rPr>
            </w:pPr>
          </w:p>
        </w:tc>
        <w:tc>
          <w:tcPr>
            <w:tcW w:w="16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(14,219)</w:t>
            </w:r>
          </w:p>
        </w:tc>
        <w:tc>
          <w:tcPr>
            <w:tcW w:w="80" w:type="dxa"/>
            <w:vAlign w:val="bottom"/>
            <w:tcBorders>
              <w:bottom w:val="single" w:sz="8" w:color="E9E9E9"/>
            </w:tcBorders>
            <w:shd w:val="clear" w:color="auto" w:fill="E9E9E9"/>
          </w:tcPr>
          <w:p>
            <w:pPr>
              <w:spacing w:after="0"/>
              <w:rPr>
                <w:sz w:val="24"/>
                <w:szCs w:val="24"/>
                <w:color w:val="auto"/>
              </w:rPr>
            </w:pPr>
          </w:p>
        </w:tc>
        <w:tc>
          <w:tcPr>
            <w:tcW w:w="9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60" w:type="dxa"/>
            <w:vAlign w:val="bottom"/>
            <w:tcBorders>
              <w:bottom w:val="single" w:sz="8" w:color="E9E9E9"/>
            </w:tcBorders>
            <w:shd w:val="clear" w:color="auto" w:fill="E9E9E9"/>
          </w:tcPr>
          <w:p>
            <w:pPr>
              <w:spacing w:after="0"/>
              <w:rPr>
                <w:sz w:val="24"/>
                <w:szCs w:val="24"/>
                <w:color w:val="auto"/>
              </w:rPr>
            </w:pPr>
          </w:p>
        </w:tc>
        <w:tc>
          <w:tcPr>
            <w:tcW w:w="16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298,594</w:t>
            </w:r>
          </w:p>
        </w:tc>
        <w:tc>
          <w:tcPr>
            <w:tcW w:w="60" w:type="dxa"/>
            <w:vAlign w:val="bottom"/>
            <w:tcBorders>
              <w:bottom w:val="single" w:sz="8" w:color="E9E9E9"/>
            </w:tcBorders>
            <w:shd w:val="clear" w:color="auto" w:fill="E9E9E9"/>
          </w:tcPr>
          <w:p>
            <w:pPr>
              <w:spacing w:after="0"/>
              <w:rPr>
                <w:sz w:val="24"/>
                <w:szCs w:val="24"/>
                <w:color w:val="auto"/>
              </w:rPr>
            </w:pPr>
          </w:p>
        </w:tc>
        <w:tc>
          <w:tcPr>
            <w:tcW w:w="100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1,063.9 %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1691005</wp:posOffset>
            </wp:positionH>
            <wp:positionV relativeFrom="paragraph">
              <wp:posOffset>-43180</wp:posOffset>
            </wp:positionV>
            <wp:extent cx="5047615" cy="501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47615" cy="50165"/>
                    </a:xfrm>
                    <a:prstGeom prst="rect">
                      <a:avLst/>
                    </a:prstGeom>
                    <a:noFill/>
                  </pic:spPr>
                </pic:pic>
              </a:graphicData>
            </a:graphic>
          </wp:anchor>
        </w:drawing>
      </w:r>
    </w:p>
    <w:p>
      <w:pPr>
        <w:sectPr>
          <w:pgSz w:w="11880" w:h="15480" w:orient="portrait"/>
          <w:cols w:equalWidth="0" w:num="1">
            <w:col w:w="10600"/>
          </w:cols>
          <w:pgMar w:left="640" w:top="615"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880" w:h="15480" w:orient="portrait"/>
          <w:cols w:equalWidth="0" w:num="1">
            <w:col w:w="10600"/>
          </w:cols>
          <w:pgMar w:left="640" w:top="615" w:right="640" w:bottom="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20"/>
          <w:szCs w:val="20"/>
          <w:b w:val="1"/>
          <w:bCs w:val="1"/>
          <w:color w:val="auto"/>
        </w:rPr>
        <w:t>Comparison of the Periods Ended December 31, 2024 and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131" w:lineRule="exact"/>
        <w:rPr>
          <w:sz w:val="20"/>
          <w:szCs w:val="20"/>
          <w:color w:val="auto"/>
        </w:rPr>
      </w:pPr>
    </w:p>
    <w:p>
      <w:pPr>
        <w:ind w:firstLine="441"/>
        <w:spacing w:after="0" w:line="250" w:lineRule="auto"/>
        <w:rPr>
          <w:sz w:val="20"/>
          <w:szCs w:val="20"/>
          <w:color w:val="auto"/>
        </w:rPr>
      </w:pPr>
      <w:r>
        <w:rPr>
          <w:rFonts w:ascii="Times New Roman" w:cs="Times New Roman" w:eastAsia="Times New Roman" w:hAnsi="Times New Roman"/>
          <w:sz w:val="20"/>
          <w:szCs w:val="20"/>
          <w:color w:val="auto"/>
        </w:rPr>
        <w:t>We classify our revenues into three product categories: Radiopharmaceutical Oncology, Precision Diagnostics, and Strategic Partnerships and Other Revenue. Radiopharmaceutical Oncology consists of PYLARIFY and AZEDRA. In 2024, we discontinued the production of AZEDRA. Precision Diagnostics includes DEFINITY, TechneLite and other diagnostic imaging products. Strategic Partnerships and Other Revenue primarily includes biomarkers and digital solutions in support of our partners’ therapeutic development, out-licensing agreements for non-core assets and optimization of our assets geographically, and includes revenue derived from the research use of MK-6420 and NAV-4694.</w:t>
      </w:r>
    </w:p>
    <w:p>
      <w:pPr>
        <w:spacing w:after="0" w:line="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Revenues are summarized by product category on a net basis as follows:</w:t>
      </w:r>
    </w:p>
    <w:p>
      <w:pPr>
        <w:spacing w:after="0" w:line="309" w:lineRule="exact"/>
        <w:rPr>
          <w:sz w:val="20"/>
          <w:szCs w:val="20"/>
          <w:color w:val="auto"/>
        </w:rPr>
      </w:pPr>
    </w:p>
    <w:tbl>
      <w:tblPr>
        <w:tblLayout w:type="fixed"/>
        <w:tblInd w:w="740" w:type="dxa"/>
        <w:tblCellMar>
          <w:top w:w="0" w:type="dxa"/>
          <w:left w:w="0" w:type="dxa"/>
          <w:bottom w:w="0" w:type="dxa"/>
          <w:right w:w="0" w:type="dxa"/>
        </w:tblCellMar>
      </w:tblPr>
      <w:tr>
        <w:trPr>
          <w:trHeight w:val="262"/>
        </w:trPr>
        <w:tc>
          <w:tcPr>
            <w:tcW w:w="3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20" w:type="dxa"/>
            <w:vAlign w:val="bottom"/>
            <w:gridSpan w:val="7"/>
          </w:tcPr>
          <w:p>
            <w:pPr>
              <w:jc w:val="right"/>
              <w:ind w:right="502"/>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140" w:type="dxa"/>
            <w:vAlign w:val="bottom"/>
            <w:gridSpan w:val="3"/>
          </w:tcPr>
          <w:p>
            <w:pPr>
              <w:jc w:val="right"/>
              <w:ind w:right="502"/>
              <w:spacing w:after="0"/>
              <w:rPr>
                <w:sz w:val="20"/>
                <w:szCs w:val="20"/>
                <w:color w:val="auto"/>
              </w:rPr>
            </w:pPr>
            <w:r>
              <w:rPr>
                <w:rFonts w:ascii="Times New Roman" w:cs="Times New Roman" w:eastAsia="Times New Roman" w:hAnsi="Times New Roman"/>
                <w:sz w:val="20"/>
                <w:szCs w:val="20"/>
                <w:b w:val="1"/>
                <w:bCs w:val="1"/>
                <w:color w:val="auto"/>
              </w:rPr>
              <w:t>2024 vs. 2023</w:t>
            </w:r>
          </w:p>
        </w:tc>
      </w:tr>
      <w:tr>
        <w:trPr>
          <w:trHeight w:val="259"/>
        </w:trPr>
        <w:tc>
          <w:tcPr>
            <w:tcW w:w="32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60" w:type="dxa"/>
            <w:vAlign w:val="bottom"/>
            <w:tcBorders>
              <w:bottom w:val="single" w:sz="8" w:color="E9E9E9"/>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Borders>
              <w:top w:val="single" w:sz="8" w:color="auto"/>
              <w:bottom w:val="single" w:sz="8" w:color="E9E9E9"/>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Borders>
              <w:top w:val="single" w:sz="8" w:color="auto"/>
              <w:bottom w:val="single" w:sz="8" w:color="E9E9E9"/>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Borders>
              <w:bottom w:val="single" w:sz="8" w:color="E9E9E9"/>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20"/>
                <w:szCs w:val="20"/>
                <w:b w:val="1"/>
                <w:bCs w:val="1"/>
                <w:color w:val="auto"/>
                <w:w w:val="96"/>
              </w:rPr>
              <w:t>Change $</w:t>
            </w:r>
          </w:p>
        </w:tc>
        <w:tc>
          <w:tcPr>
            <w:tcW w:w="60" w:type="dxa"/>
            <w:vAlign w:val="bottom"/>
            <w:tcBorders>
              <w:bottom w:val="single" w:sz="8" w:color="E9E9E9"/>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b w:val="1"/>
                <w:bCs w:val="1"/>
                <w:color w:val="auto"/>
              </w:rPr>
              <w:t>Change %</w:t>
            </w:r>
          </w:p>
        </w:tc>
      </w:tr>
      <w:tr>
        <w:trPr>
          <w:trHeight w:val="284"/>
        </w:trPr>
        <w:tc>
          <w:tcPr>
            <w:tcW w:w="3280" w:type="dxa"/>
            <w:vAlign w:val="bottom"/>
            <w:shd w:val="clear" w:color="auto" w:fill="E9E9E9"/>
          </w:tcPr>
          <w:p>
            <w:pPr>
              <w:ind w:left="240"/>
              <w:spacing w:after="0"/>
              <w:rPr>
                <w:sz w:val="20"/>
                <w:szCs w:val="20"/>
                <w:color w:val="auto"/>
              </w:rPr>
            </w:pPr>
            <w:r>
              <w:rPr>
                <w:rFonts w:ascii="Times New Roman" w:cs="Times New Roman" w:eastAsia="Times New Roman" w:hAnsi="Times New Roman"/>
                <w:sz w:val="20"/>
                <w:szCs w:val="20"/>
                <w:color w:val="auto"/>
              </w:rPr>
              <w:t>PYLARIFY</w:t>
            </w:r>
          </w:p>
        </w:tc>
        <w:tc>
          <w:tcPr>
            <w:tcW w:w="116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$ 1,057,834</w:t>
            </w:r>
          </w:p>
        </w:tc>
        <w:tc>
          <w:tcPr>
            <w:tcW w:w="26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851,303</w:t>
            </w:r>
          </w:p>
        </w:tc>
        <w:tc>
          <w:tcPr>
            <w:tcW w:w="320" w:type="dxa"/>
            <w:vAlign w:val="bottom"/>
            <w:gridSpan w:val="2"/>
            <w:shd w:val="clear" w:color="auto" w:fill="E9E9E9"/>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527,405</w:t>
            </w:r>
          </w:p>
        </w:tc>
        <w:tc>
          <w:tcPr>
            <w:tcW w:w="22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206,531</w:t>
            </w:r>
          </w:p>
        </w:tc>
        <w:tc>
          <w:tcPr>
            <w:tcW w:w="118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24.3 %</w:t>
            </w:r>
          </w:p>
        </w:tc>
      </w:tr>
      <w:tr>
        <w:trPr>
          <w:trHeight w:val="284"/>
        </w:trPr>
        <w:tc>
          <w:tcPr>
            <w:tcW w:w="3280" w:type="dxa"/>
            <w:vAlign w:val="bottom"/>
            <w:tcBorders>
              <w:bottom w:val="single" w:sz="8" w:color="E9E9E9"/>
            </w:tcBorders>
          </w:tcPr>
          <w:p>
            <w:pPr>
              <w:ind w:left="240"/>
              <w:spacing w:after="0"/>
              <w:rPr>
                <w:sz w:val="20"/>
                <w:szCs w:val="20"/>
                <w:color w:val="auto"/>
              </w:rPr>
            </w:pPr>
            <w:r>
              <w:rPr>
                <w:rFonts w:ascii="Times New Roman" w:cs="Times New Roman" w:eastAsia="Times New Roman" w:hAnsi="Times New Roman"/>
                <w:sz w:val="20"/>
                <w:szCs w:val="20"/>
                <w:color w:val="auto"/>
              </w:rPr>
              <w:t>Other radiopharmaceutical oncology</w:t>
            </w:r>
          </w:p>
        </w:tc>
        <w:tc>
          <w:tcPr>
            <w:tcW w:w="60" w:type="dxa"/>
            <w:vAlign w:val="bottom"/>
            <w:tcBorders>
              <w:bottom w:val="single" w:sz="8" w:color="E9E9E9"/>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384</w:t>
            </w:r>
          </w:p>
        </w:tc>
        <w:tc>
          <w:tcPr>
            <w:tcW w:w="60" w:type="dxa"/>
            <w:vAlign w:val="bottom"/>
            <w:tcBorders>
              <w:bottom w:val="single" w:sz="8" w:color="E9E9E9"/>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3,130</w:t>
            </w:r>
          </w:p>
        </w:tc>
        <w:tc>
          <w:tcPr>
            <w:tcW w:w="60" w:type="dxa"/>
            <w:vAlign w:val="bottom"/>
            <w:tcBorders>
              <w:bottom w:val="single" w:sz="8" w:color="E9E9E9"/>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4,102</w:t>
            </w:r>
          </w:p>
        </w:tc>
        <w:tc>
          <w:tcPr>
            <w:tcW w:w="60" w:type="dxa"/>
            <w:vAlign w:val="bottom"/>
            <w:tcBorders>
              <w:bottom w:val="single" w:sz="8" w:color="E9E9E9"/>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(2,746)</w:t>
            </w:r>
          </w:p>
        </w:tc>
        <w:tc>
          <w:tcPr>
            <w:tcW w:w="60" w:type="dxa"/>
            <w:vAlign w:val="bottom"/>
            <w:tcBorders>
              <w:bottom w:val="single" w:sz="8" w:color="E9E9E9"/>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(87.7)%</w:t>
            </w:r>
          </w:p>
        </w:tc>
      </w:tr>
      <w:tr>
        <w:trPr>
          <w:trHeight w:val="293"/>
        </w:trPr>
        <w:tc>
          <w:tcPr>
            <w:tcW w:w="3280" w:type="dxa"/>
            <w:vAlign w:val="bottom"/>
            <w:tcBorders>
              <w:bottom w:val="single" w:sz="8" w:color="E9E9E9"/>
            </w:tcBorders>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Total radiopharmaceutical oncology</w:t>
            </w:r>
          </w:p>
        </w:tc>
        <w:tc>
          <w:tcPr>
            <w:tcW w:w="60" w:type="dxa"/>
            <w:vAlign w:val="bottom"/>
            <w:tcBorders>
              <w:bottom w:val="single" w:sz="8" w:color="E9E9E9"/>
            </w:tcBorders>
            <w:shd w:val="clear" w:color="auto" w:fill="E9E9E9"/>
          </w:tcPr>
          <w:p>
            <w:pPr>
              <w:spacing w:after="0"/>
              <w:rPr>
                <w:sz w:val="24"/>
                <w:szCs w:val="24"/>
                <w:color w:val="auto"/>
              </w:rPr>
            </w:pPr>
          </w:p>
        </w:tc>
        <w:tc>
          <w:tcPr>
            <w:tcW w:w="110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1,058,218</w:t>
            </w:r>
          </w:p>
        </w:tc>
        <w:tc>
          <w:tcPr>
            <w:tcW w:w="60" w:type="dxa"/>
            <w:vAlign w:val="bottom"/>
            <w:tcBorders>
              <w:bottom w:val="single" w:sz="8" w:color="E9E9E9"/>
            </w:tcBorders>
            <w:shd w:val="clear" w:color="auto" w:fill="E9E9E9"/>
          </w:tcPr>
          <w:p>
            <w:pPr>
              <w:spacing w:after="0"/>
              <w:rPr>
                <w:sz w:val="24"/>
                <w:szCs w:val="24"/>
                <w:color w:val="auto"/>
              </w:rPr>
            </w:pPr>
          </w:p>
        </w:tc>
        <w:tc>
          <w:tcPr>
            <w:tcW w:w="200" w:type="dxa"/>
            <w:vAlign w:val="bottom"/>
            <w:tcBorders>
              <w:bottom w:val="single" w:sz="8" w:color="auto"/>
            </w:tcBorders>
            <w:shd w:val="clear" w:color="auto" w:fill="E9E9E9"/>
          </w:tcPr>
          <w:p>
            <w:pPr>
              <w:spacing w:after="0"/>
              <w:rPr>
                <w:sz w:val="24"/>
                <w:szCs w:val="24"/>
                <w:color w:val="auto"/>
              </w:rPr>
            </w:pPr>
          </w:p>
        </w:tc>
        <w:tc>
          <w:tcPr>
            <w:tcW w:w="90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854,433</w:t>
            </w:r>
          </w:p>
        </w:tc>
        <w:tc>
          <w:tcPr>
            <w:tcW w:w="60" w:type="dxa"/>
            <w:vAlign w:val="bottom"/>
            <w:tcBorders>
              <w:bottom w:val="single" w:sz="8" w:color="E9E9E9"/>
            </w:tcBorders>
            <w:shd w:val="clear" w:color="auto" w:fill="E9E9E9"/>
          </w:tcPr>
          <w:p>
            <w:pPr>
              <w:spacing w:after="0"/>
              <w:rPr>
                <w:sz w:val="24"/>
                <w:szCs w:val="24"/>
                <w:color w:val="auto"/>
              </w:rPr>
            </w:pPr>
          </w:p>
        </w:tc>
        <w:tc>
          <w:tcPr>
            <w:tcW w:w="260" w:type="dxa"/>
            <w:vAlign w:val="bottom"/>
            <w:tcBorders>
              <w:bottom w:val="single" w:sz="8" w:color="auto"/>
            </w:tcBorders>
            <w:shd w:val="clear" w:color="auto" w:fill="E9E9E9"/>
          </w:tcPr>
          <w:p>
            <w:pPr>
              <w:spacing w:after="0"/>
              <w:rPr>
                <w:sz w:val="24"/>
                <w:szCs w:val="24"/>
                <w:color w:val="auto"/>
              </w:rPr>
            </w:pPr>
          </w:p>
        </w:tc>
        <w:tc>
          <w:tcPr>
            <w:tcW w:w="84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531,507</w:t>
            </w:r>
          </w:p>
        </w:tc>
        <w:tc>
          <w:tcPr>
            <w:tcW w:w="60" w:type="dxa"/>
            <w:vAlign w:val="bottom"/>
            <w:tcBorders>
              <w:bottom w:val="single" w:sz="8" w:color="E9E9E9"/>
            </w:tcBorders>
            <w:shd w:val="clear" w:color="auto" w:fill="E9E9E9"/>
          </w:tcPr>
          <w:p>
            <w:pPr>
              <w:spacing w:after="0"/>
              <w:rPr>
                <w:sz w:val="24"/>
                <w:szCs w:val="24"/>
                <w:color w:val="auto"/>
              </w:rPr>
            </w:pPr>
          </w:p>
        </w:tc>
        <w:tc>
          <w:tcPr>
            <w:tcW w:w="160" w:type="dxa"/>
            <w:vAlign w:val="bottom"/>
            <w:tcBorders>
              <w:bottom w:val="single" w:sz="8" w:color="auto"/>
            </w:tcBorders>
            <w:shd w:val="clear" w:color="auto" w:fill="E9E9E9"/>
          </w:tcPr>
          <w:p>
            <w:pPr>
              <w:spacing w:after="0"/>
              <w:rPr>
                <w:sz w:val="24"/>
                <w:szCs w:val="24"/>
                <w:color w:val="auto"/>
              </w:rPr>
            </w:pPr>
          </w:p>
        </w:tc>
        <w:tc>
          <w:tcPr>
            <w:tcW w:w="96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203,785</w:t>
            </w:r>
          </w:p>
        </w:tc>
        <w:tc>
          <w:tcPr>
            <w:tcW w:w="60" w:type="dxa"/>
            <w:vAlign w:val="bottom"/>
            <w:tcBorders>
              <w:bottom w:val="single" w:sz="8" w:color="E9E9E9"/>
            </w:tcBorders>
            <w:shd w:val="clear" w:color="auto" w:fill="E9E9E9"/>
          </w:tcPr>
          <w:p>
            <w:pPr>
              <w:spacing w:after="0"/>
              <w:rPr>
                <w:sz w:val="24"/>
                <w:szCs w:val="24"/>
                <w:color w:val="auto"/>
              </w:rPr>
            </w:pPr>
          </w:p>
        </w:tc>
        <w:tc>
          <w:tcPr>
            <w:tcW w:w="112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23.9 %</w:t>
            </w:r>
          </w:p>
        </w:tc>
      </w:tr>
      <w:tr>
        <w:trPr>
          <w:trHeight w:val="259"/>
        </w:trPr>
        <w:tc>
          <w:tcPr>
            <w:tcW w:w="32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DEFINITY</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317,792</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279,768</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244,993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38,024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13.6 %</w:t>
            </w:r>
          </w:p>
        </w:tc>
      </w:tr>
      <w:tr>
        <w:trPr>
          <w:trHeight w:val="301"/>
        </w:trPr>
        <w:tc>
          <w:tcPr>
            <w:tcW w:w="3280" w:type="dxa"/>
            <w:vAlign w:val="bottom"/>
            <w:shd w:val="clear" w:color="auto" w:fill="E9E9E9"/>
          </w:tcPr>
          <w:p>
            <w:pPr>
              <w:ind w:left="240"/>
              <w:spacing w:after="0"/>
              <w:rPr>
                <w:sz w:val="20"/>
                <w:szCs w:val="20"/>
                <w:color w:val="auto"/>
              </w:rPr>
            </w:pPr>
            <w:r>
              <w:rPr>
                <w:rFonts w:ascii="Times New Roman" w:cs="Times New Roman" w:eastAsia="Times New Roman" w:hAnsi="Times New Roman"/>
                <w:sz w:val="20"/>
                <w:szCs w:val="20"/>
                <w:color w:val="auto"/>
              </w:rPr>
              <w:t>TechneLite</w:t>
            </w:r>
          </w:p>
        </w:tc>
        <w:tc>
          <w:tcPr>
            <w:tcW w:w="116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95,487</w:t>
            </w:r>
          </w:p>
        </w:tc>
        <w:tc>
          <w:tcPr>
            <w:tcW w:w="60" w:type="dxa"/>
            <w:vAlign w:val="bottom"/>
            <w:shd w:val="clear" w:color="auto" w:fill="E9E9E9"/>
          </w:tcPr>
          <w:p>
            <w:pPr>
              <w:spacing w:after="0"/>
              <w:rPr>
                <w:sz w:val="24"/>
                <w:szCs w:val="24"/>
                <w:color w:val="auto"/>
              </w:rPr>
            </w:pPr>
          </w:p>
        </w:tc>
        <w:tc>
          <w:tcPr>
            <w:tcW w:w="200" w:type="dxa"/>
            <w:vAlign w:val="bottom"/>
            <w:shd w:val="clear" w:color="auto" w:fill="E9E9E9"/>
          </w:tcPr>
          <w:p>
            <w:pPr>
              <w:spacing w:after="0"/>
              <w:rPr>
                <w:sz w:val="24"/>
                <w:szCs w:val="24"/>
                <w:color w:val="auto"/>
              </w:rPr>
            </w:pPr>
          </w:p>
        </w:tc>
        <w:tc>
          <w:tcPr>
            <w:tcW w:w="9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87,370</w:t>
            </w:r>
          </w:p>
        </w:tc>
        <w:tc>
          <w:tcPr>
            <w:tcW w:w="60" w:type="dxa"/>
            <w:vAlign w:val="bottom"/>
            <w:shd w:val="clear" w:color="auto" w:fill="E9E9E9"/>
          </w:tcPr>
          <w:p>
            <w:pPr>
              <w:spacing w:after="0"/>
              <w:rPr>
                <w:sz w:val="24"/>
                <w:szCs w:val="24"/>
                <w:color w:val="auto"/>
              </w:rPr>
            </w:pPr>
          </w:p>
        </w:tc>
        <w:tc>
          <w:tcPr>
            <w:tcW w:w="260" w:type="dxa"/>
            <w:vAlign w:val="bottom"/>
            <w:shd w:val="clear" w:color="auto" w:fill="E9E9E9"/>
          </w:tcPr>
          <w:p>
            <w:pPr>
              <w:spacing w:after="0"/>
              <w:rPr>
                <w:sz w:val="24"/>
                <w:szCs w:val="24"/>
                <w:color w:val="auto"/>
              </w:rPr>
            </w:pPr>
          </w:p>
        </w:tc>
        <w:tc>
          <w:tcPr>
            <w:tcW w:w="8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88,864</w:t>
            </w:r>
          </w:p>
        </w:tc>
        <w:tc>
          <w:tcPr>
            <w:tcW w:w="60" w:type="dxa"/>
            <w:vAlign w:val="bottom"/>
            <w:shd w:val="clear" w:color="auto" w:fill="E9E9E9"/>
          </w:tcPr>
          <w:p>
            <w:pPr>
              <w:spacing w:after="0"/>
              <w:rPr>
                <w:sz w:val="24"/>
                <w:szCs w:val="24"/>
                <w:color w:val="auto"/>
              </w:rPr>
            </w:pPr>
          </w:p>
        </w:tc>
        <w:tc>
          <w:tcPr>
            <w:tcW w:w="160" w:type="dxa"/>
            <w:vAlign w:val="bottom"/>
            <w:shd w:val="clear" w:color="auto" w:fill="E9E9E9"/>
          </w:tcPr>
          <w:p>
            <w:pPr>
              <w:spacing w:after="0"/>
              <w:rPr>
                <w:sz w:val="24"/>
                <w:szCs w:val="24"/>
                <w:color w:val="auto"/>
              </w:rPr>
            </w:pPr>
          </w:p>
        </w:tc>
        <w:tc>
          <w:tcPr>
            <w:tcW w:w="9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8,117</w:t>
            </w:r>
          </w:p>
        </w:tc>
        <w:tc>
          <w:tcPr>
            <w:tcW w:w="118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9.3 %</w:t>
            </w:r>
          </w:p>
        </w:tc>
      </w:tr>
      <w:tr>
        <w:trPr>
          <w:trHeight w:val="284"/>
        </w:trPr>
        <w:tc>
          <w:tcPr>
            <w:tcW w:w="3280" w:type="dxa"/>
            <w:vAlign w:val="bottom"/>
            <w:tcBorders>
              <w:bottom w:val="single" w:sz="8" w:color="E9E9E9"/>
            </w:tcBorders>
          </w:tcPr>
          <w:p>
            <w:pPr>
              <w:ind w:left="120"/>
              <w:spacing w:after="0"/>
              <w:rPr>
                <w:sz w:val="20"/>
                <w:szCs w:val="20"/>
                <w:color w:val="auto"/>
              </w:rPr>
            </w:pPr>
            <w:r>
              <w:rPr>
                <w:rFonts w:ascii="Times New Roman" w:cs="Times New Roman" w:eastAsia="Times New Roman" w:hAnsi="Times New Roman"/>
                <w:sz w:val="20"/>
                <w:szCs w:val="20"/>
                <w:color w:val="auto"/>
              </w:rPr>
              <w:t>Other precision diagnostics</w:t>
            </w:r>
          </w:p>
        </w:tc>
        <w:tc>
          <w:tcPr>
            <w:tcW w:w="60" w:type="dxa"/>
            <w:vAlign w:val="bottom"/>
            <w:tcBorders>
              <w:bottom w:val="single" w:sz="8" w:color="E9E9E9"/>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24,231</w:t>
            </w:r>
          </w:p>
        </w:tc>
        <w:tc>
          <w:tcPr>
            <w:tcW w:w="60" w:type="dxa"/>
            <w:vAlign w:val="bottom"/>
            <w:tcBorders>
              <w:bottom w:val="single" w:sz="8" w:color="E9E9E9"/>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22,980</w:t>
            </w:r>
          </w:p>
        </w:tc>
        <w:tc>
          <w:tcPr>
            <w:tcW w:w="60" w:type="dxa"/>
            <w:vAlign w:val="bottom"/>
            <w:tcBorders>
              <w:bottom w:val="single" w:sz="8" w:color="E9E9E9"/>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22,825</w:t>
            </w:r>
          </w:p>
        </w:tc>
        <w:tc>
          <w:tcPr>
            <w:tcW w:w="60" w:type="dxa"/>
            <w:vAlign w:val="bottom"/>
            <w:tcBorders>
              <w:bottom w:val="single" w:sz="8" w:color="E9E9E9"/>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1,251</w:t>
            </w:r>
          </w:p>
        </w:tc>
        <w:tc>
          <w:tcPr>
            <w:tcW w:w="60" w:type="dxa"/>
            <w:vAlign w:val="bottom"/>
            <w:tcBorders>
              <w:bottom w:val="single" w:sz="8" w:color="E9E9E9"/>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5.4 %</w:t>
            </w:r>
          </w:p>
        </w:tc>
      </w:tr>
      <w:tr>
        <w:trPr>
          <w:trHeight w:val="293"/>
        </w:trPr>
        <w:tc>
          <w:tcPr>
            <w:tcW w:w="3280" w:type="dxa"/>
            <w:vAlign w:val="bottom"/>
            <w:tcBorders>
              <w:bottom w:val="single" w:sz="8" w:color="E9E9E9"/>
            </w:tcBorders>
            <w:shd w:val="clear" w:color="auto" w:fill="E9E9E9"/>
          </w:tcPr>
          <w:p>
            <w:pPr>
              <w:ind w:left="240"/>
              <w:spacing w:after="0"/>
              <w:rPr>
                <w:sz w:val="20"/>
                <w:szCs w:val="20"/>
                <w:color w:val="auto"/>
              </w:rPr>
            </w:pPr>
            <w:r>
              <w:rPr>
                <w:rFonts w:ascii="Times New Roman" w:cs="Times New Roman" w:eastAsia="Times New Roman" w:hAnsi="Times New Roman"/>
                <w:sz w:val="20"/>
                <w:szCs w:val="20"/>
                <w:color w:val="auto"/>
              </w:rPr>
              <w:t>Total precision diagnostics</w:t>
            </w:r>
          </w:p>
        </w:tc>
        <w:tc>
          <w:tcPr>
            <w:tcW w:w="60" w:type="dxa"/>
            <w:vAlign w:val="bottom"/>
            <w:tcBorders>
              <w:bottom w:val="single" w:sz="8" w:color="E9E9E9"/>
            </w:tcBorders>
            <w:shd w:val="clear" w:color="auto" w:fill="E9E9E9"/>
          </w:tcPr>
          <w:p>
            <w:pPr>
              <w:spacing w:after="0"/>
              <w:rPr>
                <w:sz w:val="24"/>
                <w:szCs w:val="24"/>
                <w:color w:val="auto"/>
              </w:rPr>
            </w:pPr>
          </w:p>
        </w:tc>
        <w:tc>
          <w:tcPr>
            <w:tcW w:w="110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437,510</w:t>
            </w:r>
          </w:p>
        </w:tc>
        <w:tc>
          <w:tcPr>
            <w:tcW w:w="60" w:type="dxa"/>
            <w:vAlign w:val="bottom"/>
            <w:tcBorders>
              <w:bottom w:val="single" w:sz="8" w:color="E9E9E9"/>
            </w:tcBorders>
            <w:shd w:val="clear" w:color="auto" w:fill="E9E9E9"/>
          </w:tcPr>
          <w:p>
            <w:pPr>
              <w:spacing w:after="0"/>
              <w:rPr>
                <w:sz w:val="24"/>
                <w:szCs w:val="24"/>
                <w:color w:val="auto"/>
              </w:rPr>
            </w:pPr>
          </w:p>
        </w:tc>
        <w:tc>
          <w:tcPr>
            <w:tcW w:w="200" w:type="dxa"/>
            <w:vAlign w:val="bottom"/>
            <w:tcBorders>
              <w:bottom w:val="single" w:sz="8" w:color="auto"/>
            </w:tcBorders>
            <w:shd w:val="clear" w:color="auto" w:fill="E9E9E9"/>
          </w:tcPr>
          <w:p>
            <w:pPr>
              <w:spacing w:after="0"/>
              <w:rPr>
                <w:sz w:val="24"/>
                <w:szCs w:val="24"/>
                <w:color w:val="auto"/>
              </w:rPr>
            </w:pPr>
          </w:p>
        </w:tc>
        <w:tc>
          <w:tcPr>
            <w:tcW w:w="90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390,118</w:t>
            </w:r>
          </w:p>
        </w:tc>
        <w:tc>
          <w:tcPr>
            <w:tcW w:w="60" w:type="dxa"/>
            <w:vAlign w:val="bottom"/>
            <w:tcBorders>
              <w:bottom w:val="single" w:sz="8" w:color="E9E9E9"/>
            </w:tcBorders>
            <w:shd w:val="clear" w:color="auto" w:fill="E9E9E9"/>
          </w:tcPr>
          <w:p>
            <w:pPr>
              <w:spacing w:after="0"/>
              <w:rPr>
                <w:sz w:val="24"/>
                <w:szCs w:val="24"/>
                <w:color w:val="auto"/>
              </w:rPr>
            </w:pPr>
          </w:p>
        </w:tc>
        <w:tc>
          <w:tcPr>
            <w:tcW w:w="260" w:type="dxa"/>
            <w:vAlign w:val="bottom"/>
            <w:tcBorders>
              <w:bottom w:val="single" w:sz="8" w:color="auto"/>
            </w:tcBorders>
            <w:shd w:val="clear" w:color="auto" w:fill="E9E9E9"/>
          </w:tcPr>
          <w:p>
            <w:pPr>
              <w:spacing w:after="0"/>
              <w:rPr>
                <w:sz w:val="24"/>
                <w:szCs w:val="24"/>
                <w:color w:val="auto"/>
              </w:rPr>
            </w:pPr>
          </w:p>
        </w:tc>
        <w:tc>
          <w:tcPr>
            <w:tcW w:w="84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356,682</w:t>
            </w:r>
          </w:p>
        </w:tc>
        <w:tc>
          <w:tcPr>
            <w:tcW w:w="60" w:type="dxa"/>
            <w:vAlign w:val="bottom"/>
            <w:tcBorders>
              <w:bottom w:val="single" w:sz="8" w:color="E9E9E9"/>
            </w:tcBorders>
            <w:shd w:val="clear" w:color="auto" w:fill="E9E9E9"/>
          </w:tcPr>
          <w:p>
            <w:pPr>
              <w:spacing w:after="0"/>
              <w:rPr>
                <w:sz w:val="24"/>
                <w:szCs w:val="24"/>
                <w:color w:val="auto"/>
              </w:rPr>
            </w:pPr>
          </w:p>
        </w:tc>
        <w:tc>
          <w:tcPr>
            <w:tcW w:w="160" w:type="dxa"/>
            <w:vAlign w:val="bottom"/>
            <w:tcBorders>
              <w:bottom w:val="single" w:sz="8" w:color="auto"/>
            </w:tcBorders>
            <w:shd w:val="clear" w:color="auto" w:fill="E9E9E9"/>
          </w:tcPr>
          <w:p>
            <w:pPr>
              <w:spacing w:after="0"/>
              <w:rPr>
                <w:sz w:val="24"/>
                <w:szCs w:val="24"/>
                <w:color w:val="auto"/>
              </w:rPr>
            </w:pPr>
          </w:p>
        </w:tc>
        <w:tc>
          <w:tcPr>
            <w:tcW w:w="96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47,392</w:t>
            </w:r>
          </w:p>
        </w:tc>
        <w:tc>
          <w:tcPr>
            <w:tcW w:w="60" w:type="dxa"/>
            <w:vAlign w:val="bottom"/>
            <w:tcBorders>
              <w:bottom w:val="single" w:sz="8" w:color="E9E9E9"/>
            </w:tcBorders>
            <w:shd w:val="clear" w:color="auto" w:fill="E9E9E9"/>
          </w:tcPr>
          <w:p>
            <w:pPr>
              <w:spacing w:after="0"/>
              <w:rPr>
                <w:sz w:val="24"/>
                <w:szCs w:val="24"/>
                <w:color w:val="auto"/>
              </w:rPr>
            </w:pPr>
          </w:p>
        </w:tc>
        <w:tc>
          <w:tcPr>
            <w:tcW w:w="112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12.1 %</w:t>
            </w:r>
          </w:p>
        </w:tc>
      </w:tr>
      <w:tr>
        <w:trPr>
          <w:trHeight w:val="255"/>
        </w:trPr>
        <w:tc>
          <w:tcPr>
            <w:tcW w:w="3280" w:type="dxa"/>
            <w:vAlign w:val="bottom"/>
            <w:tcBorders>
              <w:bottom w:val="single" w:sz="8" w:color="E9E9E9"/>
            </w:tcBorders>
          </w:tcPr>
          <w:p>
            <w:pPr>
              <w:ind w:left="60"/>
              <w:spacing w:after="0"/>
              <w:rPr>
                <w:sz w:val="20"/>
                <w:szCs w:val="20"/>
                <w:color w:val="auto"/>
              </w:rPr>
            </w:pPr>
            <w:r>
              <w:rPr>
                <w:rFonts w:ascii="Times New Roman" w:cs="Times New Roman" w:eastAsia="Times New Roman" w:hAnsi="Times New Roman"/>
                <w:sz w:val="20"/>
                <w:szCs w:val="20"/>
                <w:color w:val="auto"/>
                <w:w w:val="98"/>
              </w:rPr>
              <w:t>Strategic Partnerships and other revenue</w:t>
            </w:r>
          </w:p>
        </w:tc>
        <w:tc>
          <w:tcPr>
            <w:tcW w:w="60" w:type="dxa"/>
            <w:vAlign w:val="bottom"/>
            <w:tcBorders>
              <w:bottom w:val="single" w:sz="8" w:color="E9E9E9"/>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38,182</w:t>
            </w:r>
          </w:p>
        </w:tc>
        <w:tc>
          <w:tcPr>
            <w:tcW w:w="60" w:type="dxa"/>
            <w:vAlign w:val="bottom"/>
            <w:tcBorders>
              <w:bottom w:val="single" w:sz="8" w:color="E9E9E9"/>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51,878</w:t>
            </w:r>
          </w:p>
        </w:tc>
        <w:tc>
          <w:tcPr>
            <w:tcW w:w="60" w:type="dxa"/>
            <w:vAlign w:val="bottom"/>
            <w:tcBorders>
              <w:bottom w:val="single" w:sz="8" w:color="E9E9E9"/>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46,872</w:t>
            </w:r>
          </w:p>
        </w:tc>
        <w:tc>
          <w:tcPr>
            <w:tcW w:w="60" w:type="dxa"/>
            <w:vAlign w:val="bottom"/>
            <w:tcBorders>
              <w:bottom w:val="single" w:sz="8" w:color="E9E9E9"/>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(13,696)</w:t>
            </w:r>
          </w:p>
        </w:tc>
        <w:tc>
          <w:tcPr>
            <w:tcW w:w="60" w:type="dxa"/>
            <w:vAlign w:val="bottom"/>
            <w:tcBorders>
              <w:bottom w:val="single" w:sz="8" w:color="E9E9E9"/>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(26.4)%</w:t>
            </w:r>
          </w:p>
        </w:tc>
      </w:tr>
      <w:tr>
        <w:trPr>
          <w:trHeight w:val="294"/>
        </w:trPr>
        <w:tc>
          <w:tcPr>
            <w:tcW w:w="3280" w:type="dxa"/>
            <w:vAlign w:val="bottom"/>
            <w:tcBorders>
              <w:bottom w:val="single" w:sz="8" w:color="E9E9E9"/>
            </w:tcBorders>
            <w:shd w:val="clear" w:color="auto" w:fill="E9E9E9"/>
          </w:tcPr>
          <w:p>
            <w:pPr>
              <w:ind w:left="400"/>
              <w:spacing w:after="0"/>
              <w:rPr>
                <w:sz w:val="20"/>
                <w:szCs w:val="20"/>
                <w:color w:val="auto"/>
              </w:rPr>
            </w:pPr>
            <w:r>
              <w:rPr>
                <w:rFonts w:ascii="Times New Roman" w:cs="Times New Roman" w:eastAsia="Times New Roman" w:hAnsi="Times New Roman"/>
                <w:sz w:val="20"/>
                <w:szCs w:val="20"/>
                <w:color w:val="auto"/>
              </w:rPr>
              <w:t>Total revenues</w:t>
            </w:r>
          </w:p>
        </w:tc>
        <w:tc>
          <w:tcPr>
            <w:tcW w:w="60" w:type="dxa"/>
            <w:vAlign w:val="bottom"/>
            <w:tcBorders>
              <w:bottom w:val="single" w:sz="8" w:color="E9E9E9"/>
            </w:tcBorders>
            <w:shd w:val="clear" w:color="auto" w:fill="E9E9E9"/>
          </w:tcPr>
          <w:p>
            <w:pPr>
              <w:spacing w:after="0"/>
              <w:rPr>
                <w:sz w:val="24"/>
                <w:szCs w:val="24"/>
                <w:color w:val="auto"/>
              </w:rPr>
            </w:pPr>
          </w:p>
        </w:tc>
        <w:tc>
          <w:tcPr>
            <w:tcW w:w="110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$ 1,533,910</w:t>
            </w:r>
          </w:p>
        </w:tc>
        <w:tc>
          <w:tcPr>
            <w:tcW w:w="60" w:type="dxa"/>
            <w:vAlign w:val="bottom"/>
            <w:tcBorders>
              <w:bottom w:val="single" w:sz="8" w:color="E9E9E9"/>
            </w:tcBorders>
            <w:shd w:val="clear" w:color="auto" w:fill="E9E9E9"/>
          </w:tcPr>
          <w:p>
            <w:pPr>
              <w:spacing w:after="0"/>
              <w:rPr>
                <w:sz w:val="24"/>
                <w:szCs w:val="24"/>
                <w:color w:val="auto"/>
              </w:rPr>
            </w:pPr>
          </w:p>
        </w:tc>
        <w:tc>
          <w:tcPr>
            <w:tcW w:w="20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w w:val="99"/>
              </w:rPr>
              <w:t>1,296,429</w:t>
            </w:r>
          </w:p>
        </w:tc>
        <w:tc>
          <w:tcPr>
            <w:tcW w:w="60" w:type="dxa"/>
            <w:vAlign w:val="bottom"/>
            <w:tcBorders>
              <w:bottom w:val="single" w:sz="8" w:color="E9E9E9"/>
            </w:tcBorders>
            <w:shd w:val="clear" w:color="auto" w:fill="E9E9E9"/>
          </w:tcPr>
          <w:p>
            <w:pPr>
              <w:spacing w:after="0"/>
              <w:rPr>
                <w:sz w:val="24"/>
                <w:szCs w:val="24"/>
                <w:color w:val="auto"/>
              </w:rPr>
            </w:pPr>
          </w:p>
        </w:tc>
        <w:tc>
          <w:tcPr>
            <w:tcW w:w="260" w:type="dxa"/>
            <w:vAlign w:val="bottom"/>
            <w:tcBorders>
              <w:bottom w:val="single" w:sz="8" w:color="auto"/>
            </w:tcBorders>
            <w:shd w:val="clear" w:color="auto" w:fill="E9E9E9"/>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935,061</w:t>
            </w:r>
          </w:p>
        </w:tc>
        <w:tc>
          <w:tcPr>
            <w:tcW w:w="60" w:type="dxa"/>
            <w:vAlign w:val="bottom"/>
            <w:tcBorders>
              <w:bottom w:val="single" w:sz="8" w:color="E9E9E9"/>
            </w:tcBorders>
            <w:shd w:val="clear" w:color="auto" w:fill="E9E9E9"/>
          </w:tcPr>
          <w:p>
            <w:pPr>
              <w:spacing w:after="0"/>
              <w:rPr>
                <w:sz w:val="24"/>
                <w:szCs w:val="24"/>
                <w:color w:val="auto"/>
              </w:rPr>
            </w:pPr>
          </w:p>
        </w:tc>
        <w:tc>
          <w:tcPr>
            <w:tcW w:w="16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237,481</w:t>
            </w:r>
          </w:p>
        </w:tc>
        <w:tc>
          <w:tcPr>
            <w:tcW w:w="60" w:type="dxa"/>
            <w:vAlign w:val="bottom"/>
            <w:tcBorders>
              <w:bottom w:val="single" w:sz="8" w:color="E9E9E9"/>
            </w:tcBorders>
            <w:shd w:val="clear" w:color="auto" w:fill="E9E9E9"/>
          </w:tcPr>
          <w:p>
            <w:pPr>
              <w:spacing w:after="0"/>
              <w:rPr>
                <w:sz w:val="24"/>
                <w:szCs w:val="24"/>
                <w:color w:val="auto"/>
              </w:rPr>
            </w:pPr>
          </w:p>
        </w:tc>
        <w:tc>
          <w:tcPr>
            <w:tcW w:w="112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18.3 %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-43180</wp:posOffset>
            </wp:positionV>
            <wp:extent cx="3693795" cy="501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93795" cy="50165"/>
                    </a:xfrm>
                    <a:prstGeom prst="rect">
                      <a:avLst/>
                    </a:prstGeom>
                    <a:noFill/>
                  </pic:spPr>
                </pic:pic>
              </a:graphicData>
            </a:graphic>
          </wp:anchor>
        </w:drawing>
      </w:r>
    </w:p>
    <w:p>
      <w:pPr>
        <w:spacing w:after="0" w:line="222" w:lineRule="exact"/>
        <w:rPr>
          <w:sz w:val="20"/>
          <w:szCs w:val="20"/>
          <w:color w:val="auto"/>
        </w:rPr>
      </w:pPr>
    </w:p>
    <w:p>
      <w:pPr>
        <w:ind w:right="40" w:firstLine="441"/>
        <w:spacing w:after="0" w:line="252" w:lineRule="auto"/>
        <w:rPr>
          <w:sz w:val="20"/>
          <w:szCs w:val="20"/>
          <w:color w:val="auto"/>
        </w:rPr>
      </w:pPr>
      <w:r>
        <w:rPr>
          <w:rFonts w:ascii="Times New Roman" w:cs="Times New Roman" w:eastAsia="Times New Roman" w:hAnsi="Times New Roman"/>
          <w:sz w:val="20"/>
          <w:szCs w:val="20"/>
          <w:color w:val="auto"/>
        </w:rPr>
        <w:t>The increase in revenues for the year ended December 31, 2024, as compared to 2023, is primarily due to increased PYLARIFY and DEFINITY sales volume, as well as revenue generated from sales for investigational use of NAV-4694 and MK-6240. The increase is offset, in part, by a decrease in net sales royalties in 2024 primarily due to the sale of the rights to our RELISTOR royalty revenue asset in 2023. Net sales royalties related to RELISTOR were recorded in Strategic Partnerships and Other Revenue prior to the sale.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Rebates and Allowances</w:t>
      </w:r>
    </w:p>
    <w:p>
      <w:pPr>
        <w:spacing w:after="0" w:line="126" w:lineRule="exact"/>
        <w:rPr>
          <w:sz w:val="20"/>
          <w:szCs w:val="20"/>
          <w:color w:val="auto"/>
        </w:rPr>
      </w:pPr>
    </w:p>
    <w:p>
      <w:pPr>
        <w:ind w:right="100" w:firstLine="441"/>
        <w:spacing w:after="0" w:line="265" w:lineRule="auto"/>
        <w:rPr>
          <w:sz w:val="20"/>
          <w:szCs w:val="20"/>
          <w:color w:val="auto"/>
        </w:rPr>
      </w:pPr>
      <w:r>
        <w:rPr>
          <w:rFonts w:ascii="Times New Roman" w:cs="Times New Roman" w:eastAsia="Times New Roman" w:hAnsi="Times New Roman"/>
          <w:sz w:val="19"/>
          <w:szCs w:val="19"/>
          <w:color w:val="auto"/>
        </w:rPr>
        <w:t>Estimates for rebates and allowances represent our estimated obligations under contractual arrangements with third parties. Rebate accruals and allowances are recorded in the same period the related revenue is recognized, resulting in a reduction to revenue and the establishment of a liability which is included in accrued expenses and other liabilities in our consolidated balance sheets. These rebates and allowances result from performance-based offers that are primarily based on attaining contractually specified sales volumes and growth, Medicaid rebate programs for our products, administrative fees of group purchasing organizations and certain distributor related commissions. The calculation of the accrual for these rebates and allowances is based on an estimate of the third-party’s expected purchases and the resulting applicable contractual rebate to be earned over a contractual period.</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An analysis of the amount of, and change in, reserves for rebates and allowances is summarized as follows:</w:t>
      </w:r>
    </w:p>
    <w:p>
      <w:pPr>
        <w:spacing w:after="0" w:line="40" w:lineRule="exact"/>
        <w:rPr>
          <w:sz w:val="20"/>
          <w:szCs w:val="20"/>
          <w:color w:val="auto"/>
        </w:rPr>
      </w:pPr>
    </w:p>
    <w:tbl>
      <w:tblPr>
        <w:tblLayout w:type="fixed"/>
        <w:tblInd w:w="1940" w:type="dxa"/>
        <w:tblCellMar>
          <w:top w:w="0" w:type="dxa"/>
          <w:left w:w="0" w:type="dxa"/>
          <w:bottom w:w="0" w:type="dxa"/>
          <w:right w:w="0" w:type="dxa"/>
        </w:tblCellMar>
      </w:tblPr>
      <w:tr>
        <w:trPr>
          <w:trHeight w:val="230"/>
        </w:trPr>
        <w:tc>
          <w:tcPr>
            <w:tcW w:w="522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180" w:type="dxa"/>
            <w:vAlign w:val="bottom"/>
          </w:tcPr>
          <w:p>
            <w:pPr>
              <w:spacing w:after="0"/>
              <w:rPr>
                <w:sz w:val="19"/>
                <w:szCs w:val="19"/>
                <w:color w:val="auto"/>
              </w:rPr>
            </w:pPr>
          </w:p>
        </w:tc>
        <w:tc>
          <w:tcPr>
            <w:tcW w:w="1320" w:type="dxa"/>
            <w:vAlign w:val="bottom"/>
          </w:tcPr>
          <w:p>
            <w:pPr>
              <w:jc w:val="right"/>
              <w:ind w:right="142"/>
              <w:spacing w:after="0"/>
              <w:rPr>
                <w:sz w:val="20"/>
                <w:szCs w:val="20"/>
                <w:color w:val="auto"/>
              </w:rPr>
            </w:pPr>
            <w:r>
              <w:rPr>
                <w:rFonts w:ascii="Times New Roman" w:cs="Times New Roman" w:eastAsia="Times New Roman" w:hAnsi="Times New Roman"/>
                <w:sz w:val="20"/>
                <w:szCs w:val="20"/>
                <w:b w:val="1"/>
                <w:bCs w:val="1"/>
                <w:color w:val="auto"/>
              </w:rPr>
              <w:t>Rebates and</w:t>
            </w:r>
          </w:p>
        </w:tc>
        <w:tc>
          <w:tcPr>
            <w:tcW w:w="0" w:type="dxa"/>
            <w:vAlign w:val="bottom"/>
          </w:tcPr>
          <w:p>
            <w:pPr>
              <w:spacing w:after="0"/>
              <w:rPr>
                <w:sz w:val="1"/>
                <w:szCs w:val="1"/>
                <w:color w:val="auto"/>
              </w:rPr>
            </w:pPr>
          </w:p>
        </w:tc>
      </w:tr>
      <w:tr>
        <w:trPr>
          <w:trHeight w:val="258"/>
        </w:trPr>
        <w:tc>
          <w:tcPr>
            <w:tcW w:w="5220" w:type="dxa"/>
            <w:vAlign w:val="bottom"/>
            <w:tcBorders>
              <w:bottom w:val="single" w:sz="8" w:color="E9E9E9"/>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20"/>
                <w:szCs w:val="20"/>
                <w:b w:val="1"/>
                <w:bCs w:val="1"/>
                <w:color w:val="auto"/>
              </w:rPr>
              <w:t>Allowances</w:t>
            </w:r>
          </w:p>
        </w:tc>
        <w:tc>
          <w:tcPr>
            <w:tcW w:w="0" w:type="dxa"/>
            <w:vAlign w:val="bottom"/>
          </w:tcPr>
          <w:p>
            <w:pPr>
              <w:spacing w:after="0"/>
              <w:rPr>
                <w:sz w:val="1"/>
                <w:szCs w:val="1"/>
                <w:color w:val="auto"/>
              </w:rPr>
            </w:pPr>
          </w:p>
        </w:tc>
      </w:tr>
      <w:tr>
        <w:trPr>
          <w:trHeight w:val="269"/>
        </w:trPr>
        <w:tc>
          <w:tcPr>
            <w:tcW w:w="522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Balance, January 1, 2023</w:t>
            </w:r>
          </w:p>
        </w:tc>
        <w:tc>
          <w:tcPr>
            <w:tcW w:w="1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13,399</w:t>
            </w:r>
          </w:p>
        </w:tc>
        <w:tc>
          <w:tcPr>
            <w:tcW w:w="0" w:type="dxa"/>
            <w:vAlign w:val="bottom"/>
          </w:tcPr>
          <w:p>
            <w:pPr>
              <w:spacing w:after="0"/>
              <w:rPr>
                <w:sz w:val="1"/>
                <w:szCs w:val="1"/>
                <w:color w:val="auto"/>
              </w:rPr>
            </w:pPr>
          </w:p>
        </w:tc>
      </w:tr>
      <w:tr>
        <w:trPr>
          <w:trHeight w:val="273"/>
        </w:trPr>
        <w:tc>
          <w:tcPr>
            <w:tcW w:w="52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Provision related to current period revenues</w:t>
            </w: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32,308</w:t>
            </w:r>
          </w:p>
        </w:tc>
        <w:tc>
          <w:tcPr>
            <w:tcW w:w="0" w:type="dxa"/>
            <w:vAlign w:val="bottom"/>
          </w:tcPr>
          <w:p>
            <w:pPr>
              <w:spacing w:after="0"/>
              <w:rPr>
                <w:sz w:val="1"/>
                <w:szCs w:val="1"/>
                <w:color w:val="auto"/>
              </w:rPr>
            </w:pPr>
          </w:p>
        </w:tc>
      </w:tr>
      <w:tr>
        <w:trPr>
          <w:trHeight w:val="285"/>
        </w:trPr>
        <w:tc>
          <w:tcPr>
            <w:tcW w:w="5220" w:type="dxa"/>
            <w:vAlign w:val="bottom"/>
            <w:shd w:val="clear" w:color="auto" w:fill="E9E9E9"/>
          </w:tcPr>
          <w:p>
            <w:pPr>
              <w:ind w:left="400"/>
              <w:spacing w:after="0"/>
              <w:rPr>
                <w:sz w:val="20"/>
                <w:szCs w:val="20"/>
                <w:color w:val="auto"/>
              </w:rPr>
            </w:pPr>
            <w:r>
              <w:rPr>
                <w:rFonts w:ascii="Times New Roman" w:cs="Times New Roman" w:eastAsia="Times New Roman" w:hAnsi="Times New Roman"/>
                <w:sz w:val="20"/>
                <w:szCs w:val="20"/>
                <w:color w:val="auto"/>
              </w:rPr>
              <w:t>Adjustments relating to prior period revenues</w:t>
            </w:r>
          </w:p>
        </w:tc>
        <w:tc>
          <w:tcPr>
            <w:tcW w:w="180" w:type="dxa"/>
            <w:vAlign w:val="bottom"/>
            <w:shd w:val="clear" w:color="auto" w:fill="E9E9E9"/>
          </w:tcPr>
          <w:p>
            <w:pPr>
              <w:spacing w:after="0"/>
              <w:rPr>
                <w:sz w:val="24"/>
                <w:szCs w:val="24"/>
                <w:color w:val="auto"/>
              </w:rPr>
            </w:pPr>
          </w:p>
        </w:tc>
        <w:tc>
          <w:tcPr>
            <w:tcW w:w="13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(453)</w:t>
            </w:r>
          </w:p>
        </w:tc>
        <w:tc>
          <w:tcPr>
            <w:tcW w:w="0" w:type="dxa"/>
            <w:vAlign w:val="bottom"/>
          </w:tcPr>
          <w:p>
            <w:pPr>
              <w:spacing w:after="0"/>
              <w:rPr>
                <w:sz w:val="1"/>
                <w:szCs w:val="1"/>
                <w:color w:val="auto"/>
              </w:rPr>
            </w:pPr>
          </w:p>
        </w:tc>
      </w:tr>
      <w:tr>
        <w:trPr>
          <w:trHeight w:val="269"/>
        </w:trPr>
        <w:tc>
          <w:tcPr>
            <w:tcW w:w="5220" w:type="dxa"/>
            <w:vAlign w:val="bottom"/>
            <w:tcBorders>
              <w:bottom w:val="single" w:sz="8" w:color="E9E9E9"/>
            </w:tcBorders>
          </w:tcPr>
          <w:p>
            <w:pPr>
              <w:ind w:left="400"/>
              <w:spacing w:after="0"/>
              <w:rPr>
                <w:sz w:val="20"/>
                <w:szCs w:val="20"/>
                <w:color w:val="auto"/>
              </w:rPr>
            </w:pPr>
            <w:r>
              <w:rPr>
                <w:rFonts w:ascii="Times New Roman" w:cs="Times New Roman" w:eastAsia="Times New Roman" w:hAnsi="Times New Roman"/>
                <w:sz w:val="20"/>
                <w:szCs w:val="20"/>
                <w:color w:val="auto"/>
              </w:rPr>
              <w:t>Payments or credits made during the period</w:t>
            </w:r>
          </w:p>
        </w:tc>
        <w:tc>
          <w:tcPr>
            <w:tcW w:w="1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(29,184)</w:t>
            </w:r>
          </w:p>
        </w:tc>
        <w:tc>
          <w:tcPr>
            <w:tcW w:w="0" w:type="dxa"/>
            <w:vAlign w:val="bottom"/>
          </w:tcPr>
          <w:p>
            <w:pPr>
              <w:spacing w:after="0"/>
              <w:rPr>
                <w:sz w:val="1"/>
                <w:szCs w:val="1"/>
                <w:color w:val="auto"/>
              </w:rPr>
            </w:pPr>
          </w:p>
        </w:tc>
      </w:tr>
      <w:tr>
        <w:trPr>
          <w:trHeight w:val="269"/>
        </w:trPr>
        <w:tc>
          <w:tcPr>
            <w:tcW w:w="522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Balance, December 31, 2023</w:t>
            </w:r>
          </w:p>
        </w:tc>
        <w:tc>
          <w:tcPr>
            <w:tcW w:w="180" w:type="dxa"/>
            <w:vAlign w:val="bottom"/>
            <w:shd w:val="clear" w:color="auto" w:fill="E9E9E9"/>
          </w:tcPr>
          <w:p>
            <w:pPr>
              <w:spacing w:after="0"/>
              <w:rPr>
                <w:sz w:val="23"/>
                <w:szCs w:val="23"/>
                <w:color w:val="auto"/>
              </w:rPr>
            </w:pPr>
          </w:p>
        </w:tc>
        <w:tc>
          <w:tcPr>
            <w:tcW w:w="13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16,070</w:t>
            </w:r>
          </w:p>
        </w:tc>
        <w:tc>
          <w:tcPr>
            <w:tcW w:w="0" w:type="dxa"/>
            <w:vAlign w:val="bottom"/>
          </w:tcPr>
          <w:p>
            <w:pPr>
              <w:spacing w:after="0"/>
              <w:rPr>
                <w:sz w:val="1"/>
                <w:szCs w:val="1"/>
                <w:color w:val="auto"/>
              </w:rPr>
            </w:pPr>
          </w:p>
        </w:tc>
      </w:tr>
      <w:tr>
        <w:trPr>
          <w:trHeight w:val="273"/>
        </w:trPr>
        <w:tc>
          <w:tcPr>
            <w:tcW w:w="52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Provision related to current period revenues</w:t>
            </w: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63,504</w:t>
            </w:r>
          </w:p>
        </w:tc>
        <w:tc>
          <w:tcPr>
            <w:tcW w:w="0" w:type="dxa"/>
            <w:vAlign w:val="bottom"/>
          </w:tcPr>
          <w:p>
            <w:pPr>
              <w:spacing w:after="0"/>
              <w:rPr>
                <w:sz w:val="1"/>
                <w:szCs w:val="1"/>
                <w:color w:val="auto"/>
              </w:rPr>
            </w:pPr>
          </w:p>
        </w:tc>
      </w:tr>
      <w:tr>
        <w:trPr>
          <w:trHeight w:val="294"/>
        </w:trPr>
        <w:tc>
          <w:tcPr>
            <w:tcW w:w="5220" w:type="dxa"/>
            <w:vAlign w:val="bottom"/>
            <w:tcBorders>
              <w:bottom w:val="single" w:sz="8" w:color="E9E9E9"/>
            </w:tcBorders>
            <w:shd w:val="clear" w:color="auto" w:fill="E9E9E9"/>
          </w:tcPr>
          <w:p>
            <w:pPr>
              <w:ind w:left="400"/>
              <w:spacing w:after="0"/>
              <w:rPr>
                <w:sz w:val="20"/>
                <w:szCs w:val="20"/>
                <w:color w:val="auto"/>
              </w:rPr>
            </w:pPr>
            <w:r>
              <w:rPr>
                <w:rFonts w:ascii="Times New Roman" w:cs="Times New Roman" w:eastAsia="Times New Roman" w:hAnsi="Times New Roman"/>
                <w:sz w:val="20"/>
                <w:szCs w:val="20"/>
                <w:color w:val="auto"/>
              </w:rPr>
              <w:t>Payments or credits made during the period</w:t>
            </w:r>
          </w:p>
        </w:tc>
        <w:tc>
          <w:tcPr>
            <w:tcW w:w="180" w:type="dxa"/>
            <w:vAlign w:val="bottom"/>
            <w:tcBorders>
              <w:bottom w:val="single" w:sz="8" w:color="auto"/>
            </w:tcBorders>
            <w:shd w:val="clear" w:color="auto" w:fill="E9E9E9"/>
          </w:tcPr>
          <w:p>
            <w:pPr>
              <w:spacing w:after="0"/>
              <w:rPr>
                <w:sz w:val="24"/>
                <w:szCs w:val="24"/>
                <w:color w:val="auto"/>
              </w:rPr>
            </w:pPr>
          </w:p>
        </w:tc>
        <w:tc>
          <w:tcPr>
            <w:tcW w:w="132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(54,326)</w:t>
            </w:r>
          </w:p>
        </w:tc>
        <w:tc>
          <w:tcPr>
            <w:tcW w:w="0" w:type="dxa"/>
            <w:vAlign w:val="bottom"/>
          </w:tcPr>
          <w:p>
            <w:pPr>
              <w:spacing w:after="0"/>
              <w:rPr>
                <w:sz w:val="1"/>
                <w:szCs w:val="1"/>
                <w:color w:val="auto"/>
              </w:rPr>
            </w:pPr>
          </w:p>
        </w:tc>
      </w:tr>
      <w:tr>
        <w:trPr>
          <w:trHeight w:val="221"/>
        </w:trPr>
        <w:tc>
          <w:tcPr>
            <w:tcW w:w="5220" w:type="dxa"/>
            <w:vAlign w:val="bottom"/>
          </w:tcPr>
          <w:p>
            <w:pPr>
              <w:ind w:left="40"/>
              <w:spacing w:after="0" w:line="221" w:lineRule="exact"/>
              <w:rPr>
                <w:sz w:val="20"/>
                <w:szCs w:val="20"/>
                <w:color w:val="auto"/>
              </w:rPr>
            </w:pPr>
            <w:r>
              <w:rPr>
                <w:rFonts w:ascii="Times New Roman" w:cs="Times New Roman" w:eastAsia="Times New Roman" w:hAnsi="Times New Roman"/>
                <w:sz w:val="20"/>
                <w:szCs w:val="20"/>
                <w:color w:val="auto"/>
              </w:rPr>
              <w:t>Balance, December 31, 2024</w:t>
            </w:r>
          </w:p>
        </w:tc>
        <w:tc>
          <w:tcPr>
            <w:tcW w:w="1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13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25,248</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4528820</wp:posOffset>
            </wp:positionH>
            <wp:positionV relativeFrom="paragraph">
              <wp:posOffset>-43180</wp:posOffset>
            </wp:positionV>
            <wp:extent cx="986790" cy="501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86790" cy="50165"/>
                    </a:xfrm>
                    <a:prstGeom prst="rect">
                      <a:avLst/>
                    </a:prstGeom>
                    <a:noFill/>
                  </pic:spPr>
                </pic:pic>
              </a:graphicData>
            </a:graphic>
          </wp:anchor>
        </w:drawing>
      </w:r>
    </w:p>
    <w:p>
      <w:pPr>
        <w:sectPr>
          <w:pgSz w:w="11880" w:h="15480" w:orient="portrait"/>
          <w:cols w:equalWidth="0" w:num="1">
            <w:col w:w="10540"/>
          </w:cols>
          <w:pgMar w:left="640" w:top="615"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67</w:t>
      </w:r>
    </w:p>
    <w:p>
      <w:pPr>
        <w:sectPr>
          <w:pgSz w:w="11880" w:h="15480" w:orient="portrait"/>
          <w:cols w:equalWidth="0" w:num="1">
            <w:col w:w="10540"/>
          </w:cols>
          <w:pgMar w:left="640" w:top="615" w:right="700" w:bottom="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20"/>
          <w:szCs w:val="20"/>
          <w:b w:val="1"/>
          <w:bCs w:val="1"/>
          <w:i w:val="1"/>
          <w:iCs w:val="1"/>
          <w:color w:val="auto"/>
        </w:rPr>
        <w:t>Gross Profit</w:t>
      </w:r>
    </w:p>
    <w:p>
      <w:pPr>
        <w:spacing w:after="0" w:line="128" w:lineRule="exact"/>
        <w:rPr>
          <w:sz w:val="20"/>
          <w:szCs w:val="20"/>
          <w:color w:val="auto"/>
        </w:rPr>
      </w:pPr>
    </w:p>
    <w:p>
      <w:pPr>
        <w:jc w:val="both"/>
        <w:ind w:right="100" w:firstLine="441"/>
        <w:spacing w:after="0" w:line="258" w:lineRule="auto"/>
        <w:rPr>
          <w:sz w:val="20"/>
          <w:szCs w:val="20"/>
          <w:color w:val="auto"/>
        </w:rPr>
      </w:pPr>
      <w:r>
        <w:rPr>
          <w:rFonts w:ascii="Times New Roman" w:cs="Times New Roman" w:eastAsia="Times New Roman" w:hAnsi="Times New Roman"/>
          <w:sz w:val="20"/>
          <w:szCs w:val="20"/>
          <w:color w:val="auto"/>
        </w:rPr>
        <w:t>The increase in gross profit for the year ended December 31, 2024, as compared to the prior year period, is primarily due to an increase in PYLARIFY and DEFINITY sales volume in 2024 and the impairment of the AZEDRA intangible asset recorded in 2023. This is partially offset by a decrease in RELISTOR net royalty sales due to the sale of the rights to the royalties in 2023.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Sales and Marketing</w:t>
      </w:r>
    </w:p>
    <w:p>
      <w:pPr>
        <w:spacing w:after="0" w:line="131" w:lineRule="exact"/>
        <w:rPr>
          <w:sz w:val="20"/>
          <w:szCs w:val="20"/>
          <w:color w:val="auto"/>
        </w:rPr>
      </w:pPr>
    </w:p>
    <w:p>
      <w:pPr>
        <w:jc w:val="both"/>
        <w:ind w:right="300" w:firstLine="441"/>
        <w:spacing w:after="0" w:line="258" w:lineRule="auto"/>
        <w:rPr>
          <w:sz w:val="20"/>
          <w:szCs w:val="20"/>
          <w:color w:val="auto"/>
        </w:rPr>
      </w:pPr>
      <w:r>
        <w:rPr>
          <w:rFonts w:ascii="Times New Roman" w:cs="Times New Roman" w:eastAsia="Times New Roman" w:hAnsi="Times New Roman"/>
          <w:sz w:val="20"/>
          <w:szCs w:val="20"/>
          <w:color w:val="auto"/>
        </w:rPr>
        <w:t>Sales and marketing expenses consist primarily of salaries and other related costs for personnel in field sales, marketing, and customer service functions. Other costs in sales and marketing expenses include the development and utilization of advertising and promotional material, professional services, market research, and sales meetings.</w:t>
      </w:r>
    </w:p>
    <w:p>
      <w:pPr>
        <w:spacing w:after="0" w:line="199"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20"/>
          <w:szCs w:val="20"/>
          <w:color w:val="auto"/>
        </w:rPr>
        <w:t>Sales and marketing expenses increased $36.2 million for the year ended December 31, 2024, as compared to the prior year period. This was primarily driven by our investment in sales and marketing efforts in support of an expansion of our PYLARIFY sales force and supporting functions intended to support and expand adoption of PYLARIFY and pre-commercialization activities for certain product candidates.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w:t>
      </w:r>
    </w:p>
    <w:p>
      <w:pPr>
        <w:spacing w:after="0" w:line="131" w:lineRule="exact"/>
        <w:rPr>
          <w:sz w:val="20"/>
          <w:szCs w:val="20"/>
          <w:color w:val="auto"/>
        </w:rPr>
      </w:pPr>
    </w:p>
    <w:p>
      <w:pPr>
        <w:ind w:right="140" w:firstLine="441"/>
        <w:spacing w:after="0" w:line="254" w:lineRule="auto"/>
        <w:rPr>
          <w:sz w:val="20"/>
          <w:szCs w:val="20"/>
          <w:color w:val="auto"/>
        </w:rPr>
      </w:pPr>
      <w:r>
        <w:rPr>
          <w:rFonts w:ascii="Times New Roman" w:cs="Times New Roman" w:eastAsia="Times New Roman" w:hAnsi="Times New Roman"/>
          <w:sz w:val="20"/>
          <w:szCs w:val="20"/>
          <w:color w:val="auto"/>
        </w:rPr>
        <w:t>General and administrative expenses consist of salaries and other related costs for personnel in executive, finance, legal, information technology, and human resource functions. Other costs included in general and administrative expenses are professional fees for information technology services, external legal fees, consulting and accounting services, as well as bad debt expense, certain facility and insurance costs, including director and officer liability insurance.</w:t>
      </w:r>
    </w:p>
    <w:p>
      <w:pPr>
        <w:spacing w:after="0" w:line="202" w:lineRule="exact"/>
        <w:rPr>
          <w:sz w:val="20"/>
          <w:szCs w:val="20"/>
          <w:color w:val="auto"/>
        </w:rPr>
      </w:pPr>
    </w:p>
    <w:p>
      <w:pPr>
        <w:ind w:right="160" w:firstLine="441"/>
        <w:spacing w:after="0" w:line="254" w:lineRule="auto"/>
        <w:rPr>
          <w:sz w:val="20"/>
          <w:szCs w:val="20"/>
          <w:color w:val="auto"/>
        </w:rPr>
      </w:pPr>
      <w:r>
        <w:rPr>
          <w:rFonts w:ascii="Times New Roman" w:cs="Times New Roman" w:eastAsia="Times New Roman" w:hAnsi="Times New Roman"/>
          <w:sz w:val="20"/>
          <w:szCs w:val="20"/>
          <w:color w:val="auto"/>
        </w:rPr>
        <w:t>General and administrative expenses increased $68.2 million for the year ended December 31, 2024 compared to the prior year period. This was primarily driven by an increase in investment in technology, primarily related to our implementation of a new enterprise resource planning system in 2024, higher stock compensation, increased employee-related costs, and higher professional fees primarily related to business development activity.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w:t>
      </w:r>
    </w:p>
    <w:p>
      <w:pPr>
        <w:spacing w:after="0" w:line="248" w:lineRule="exact"/>
        <w:rPr>
          <w:sz w:val="20"/>
          <w:szCs w:val="20"/>
          <w:color w:val="auto"/>
        </w:rPr>
      </w:pPr>
    </w:p>
    <w:p>
      <w:pPr>
        <w:ind w:right="160" w:firstLine="441"/>
        <w:spacing w:after="0" w:line="271" w:lineRule="auto"/>
        <w:rPr>
          <w:sz w:val="20"/>
          <w:szCs w:val="20"/>
          <w:color w:val="auto"/>
        </w:rPr>
      </w:pPr>
      <w:r>
        <w:rPr>
          <w:rFonts w:ascii="Times New Roman" w:cs="Times New Roman" w:eastAsia="Times New Roman" w:hAnsi="Times New Roman"/>
          <w:sz w:val="20"/>
          <w:szCs w:val="20"/>
          <w:color w:val="auto"/>
        </w:rPr>
        <w:t>Research and development expenses relate primarily to the development of product candidates and costs related to our medical affairs, medical information and regulatory functions.</w:t>
      </w:r>
    </w:p>
    <w:p>
      <w:pPr>
        <w:spacing w:after="0" w:line="186" w:lineRule="exact"/>
        <w:rPr>
          <w:sz w:val="20"/>
          <w:szCs w:val="20"/>
          <w:color w:val="auto"/>
        </w:rPr>
      </w:pPr>
    </w:p>
    <w:p>
      <w:pPr>
        <w:ind w:right="20" w:firstLine="441"/>
        <w:spacing w:after="0" w:line="249" w:lineRule="auto"/>
        <w:rPr>
          <w:sz w:val="20"/>
          <w:szCs w:val="20"/>
          <w:color w:val="auto"/>
        </w:rPr>
      </w:pPr>
      <w:r>
        <w:rPr>
          <w:rFonts w:ascii="Times New Roman" w:cs="Times New Roman" w:eastAsia="Times New Roman" w:hAnsi="Times New Roman"/>
          <w:sz w:val="20"/>
          <w:szCs w:val="20"/>
          <w:color w:val="auto"/>
        </w:rPr>
        <w:t>Research and development expenses increased $90.4 million for the year ended December 31, 2024 as compared to the prior year period. This was primarily driven by in-process research and development (“IPR&amp;D”) expense of $36.0 million related to the RM2 Asset Purchase, $2.0 million related to the Radiopharm Asset Purchase, and an upfront option payment of $28.0 million to Perspective. In addition, there was an increase in employee-related costs resulting from an increase in headcount and increased project costs, including MK-6240 research and development expenses. This increase was offset, in part, by a non-cash impairment charge in the prior year associated with an IPR&amp;D asset of $15.6 million and lower clinical expenses related to our Phase 2 study we conducted for 1095, our PSMA-targeted iodine 131-labelled small molecule product candidate.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Gain on Sale of Assets</w:t>
      </w:r>
    </w:p>
    <w:p>
      <w:pPr>
        <w:spacing w:after="0" w:line="131"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20"/>
          <w:szCs w:val="20"/>
          <w:color w:val="auto"/>
        </w:rPr>
        <w:t>Gain on sale of assets includes a $6.3 million gain resulting from the sale of the Somerset Facility to Perspective in March 2024. In addition, we recorded a $2.1 million gain on sale of assets in December 2024 related to the sale of a portion of our North Billerica campus.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 in Equity Securities - Net Unrealized Loss</w:t>
      </w:r>
    </w:p>
    <w:p>
      <w:pPr>
        <w:spacing w:after="0" w:line="131" w:lineRule="exact"/>
        <w:rPr>
          <w:sz w:val="20"/>
          <w:szCs w:val="20"/>
          <w:color w:val="auto"/>
        </w:rPr>
      </w:pPr>
    </w:p>
    <w:p>
      <w:pPr>
        <w:ind w:right="360" w:firstLine="441"/>
        <w:spacing w:after="0" w:line="254" w:lineRule="auto"/>
        <w:rPr>
          <w:sz w:val="20"/>
          <w:szCs w:val="20"/>
          <w:color w:val="auto"/>
        </w:rPr>
      </w:pPr>
      <w:r>
        <w:rPr>
          <w:rFonts w:ascii="Times New Roman" w:cs="Times New Roman" w:eastAsia="Times New Roman" w:hAnsi="Times New Roman"/>
          <w:sz w:val="20"/>
          <w:szCs w:val="20"/>
          <w:color w:val="auto"/>
        </w:rPr>
        <w:t>Investments in equity securities - net unrealized loss increased $43.6 million in 2024. Each quarter our investments in equity securities of Radiopharm Theranostics Limited (“Radiopharm”) and Perspective, which were purchased in 2024, are revalued to market price. For the year ended December 31, 2024, we recorded unrealized losses on the investments in Radiopharm and Perspective of $2.6 million and $41.0 million,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Net</w:t>
      </w:r>
    </w:p>
    <w:p>
      <w:pPr>
        <w:spacing w:after="0" w:line="131" w:lineRule="exact"/>
        <w:rPr>
          <w:sz w:val="20"/>
          <w:szCs w:val="20"/>
          <w:color w:val="auto"/>
        </w:rPr>
      </w:pPr>
    </w:p>
    <w:p>
      <w:pPr>
        <w:ind w:right="440" w:firstLine="441"/>
        <w:spacing w:after="0" w:line="254" w:lineRule="auto"/>
        <w:rPr>
          <w:sz w:val="20"/>
          <w:szCs w:val="20"/>
          <w:color w:val="auto"/>
        </w:rPr>
      </w:pPr>
      <w:r>
        <w:rPr>
          <w:rFonts w:ascii="Times New Roman" w:cs="Times New Roman" w:eastAsia="Times New Roman" w:hAnsi="Times New Roman"/>
          <w:sz w:val="20"/>
          <w:szCs w:val="20"/>
          <w:color w:val="auto"/>
        </w:rPr>
        <w:t>Other income, net decreased by $29.1 million for the year ended December 31, 2024 as compared to the prior year period primarily due to the gain on sale of the RELISTOR licensed intangible asset associated with net sales royalties of $51.8 million recorded in 2023, for which there is no comparable amount in 2024. This is partially offset by a $17.2 million increase in interest income in 2024, as compared to 2023, due to higher average cash balances in 2024.</w:t>
      </w:r>
    </w:p>
    <w:p>
      <w:pPr>
        <w:sectPr>
          <w:pgSz w:w="11880" w:h="15480" w:orient="portrait"/>
          <w:cols w:equalWidth="0" w:num="1">
            <w:col w:w="10560"/>
          </w:cols>
          <w:pgMar w:left="640" w:top="617" w:right="6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68</w:t>
      </w:r>
    </w:p>
    <w:p>
      <w:pPr>
        <w:sectPr>
          <w:pgSz w:w="11880" w:h="15480" w:orient="portrait"/>
          <w:cols w:equalWidth="0" w:num="1">
            <w:col w:w="10560"/>
          </w:cols>
          <w:pgMar w:left="640" w:top="617" w:right="680" w:bottom="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 Expense</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Our effective tax rate for each reporting period is presented as follows:</w:t>
      </w:r>
    </w:p>
    <w:p>
      <w:pPr>
        <w:spacing w:after="0" w:line="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b w:val="1"/>
          <w:bCs w:val="1"/>
          <w:color w:val="auto"/>
        </w:rPr>
        <w:t>Year Ended</w:t>
      </w:r>
    </w:p>
    <w:p>
      <w:pPr>
        <w:ind w:left="648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3824605</wp:posOffset>
            </wp:positionH>
            <wp:positionV relativeFrom="paragraph">
              <wp:posOffset>20955</wp:posOffset>
            </wp:positionV>
            <wp:extent cx="1297305" cy="12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97305" cy="12700"/>
                    </a:xfrm>
                    <a:prstGeom prst="rect">
                      <a:avLst/>
                    </a:prstGeom>
                    <a:noFill/>
                  </pic:spPr>
                </pic:pic>
              </a:graphicData>
            </a:graphic>
          </wp:anchor>
        </w:drawing>
      </w:r>
    </w:p>
    <w:p>
      <w:pPr>
        <w:spacing w:after="0" w:line="44" w:lineRule="exact"/>
        <w:rPr>
          <w:sz w:val="20"/>
          <w:szCs w:val="20"/>
          <w:color w:val="auto"/>
        </w:rPr>
      </w:pPr>
    </w:p>
    <w:p>
      <w:pPr>
        <w:ind w:left="6320"/>
        <w:spacing w:after="0"/>
        <w:tabs>
          <w:tab w:leader="none" w:pos="7360" w:val="left"/>
        </w:tabs>
        <w:rPr>
          <w:sz w:val="20"/>
          <w:szCs w:val="20"/>
          <w:color w:val="auto"/>
        </w:rPr>
      </w:pPr>
      <w:r>
        <w:rPr>
          <w:rFonts w:ascii="Times New Roman" w:cs="Times New Roman" w:eastAsia="Times New Roman" w:hAnsi="Times New Roman"/>
          <w:sz w:val="20"/>
          <w:szCs w:val="20"/>
          <w:b w:val="1"/>
          <w:bCs w:val="1"/>
          <w:color w:val="auto"/>
        </w:rPr>
        <w:t>2024</w:t>
      </w:r>
      <w:r>
        <w:rPr>
          <w:sz w:val="20"/>
          <w:szCs w:val="20"/>
          <w:color w:val="auto"/>
        </w:rPr>
        <w:tab/>
      </w:r>
      <w:r>
        <w:rPr>
          <w:rFonts w:ascii="Times New Roman" w:cs="Times New Roman" w:eastAsia="Times New Roman" w:hAnsi="Times New Roman"/>
          <w:sz w:val="20"/>
          <w:szCs w:val="20"/>
          <w:b w:val="1"/>
          <w:bCs w:val="1"/>
          <w:color w:val="auto"/>
        </w:rPr>
        <w:t>2023</w:t>
      </w:r>
    </w:p>
    <w:p>
      <w:pPr>
        <w:spacing w:after="0" w:line="4" w:lineRule="exact"/>
        <w:rPr>
          <w:sz w:val="20"/>
          <w:szCs w:val="20"/>
          <w:color w:val="auto"/>
        </w:rPr>
      </w:pPr>
    </w:p>
    <w:tbl>
      <w:tblPr>
        <w:tblLayout w:type="fixed"/>
        <w:tblInd w:w="2720" w:type="dxa"/>
        <w:tblCellMar>
          <w:top w:w="0" w:type="dxa"/>
          <w:left w:w="0" w:type="dxa"/>
          <w:bottom w:w="0" w:type="dxa"/>
          <w:right w:w="0" w:type="dxa"/>
        </w:tblCellMar>
      </w:tblPr>
      <w:tr>
        <w:trPr>
          <w:trHeight w:val="269"/>
        </w:trPr>
        <w:tc>
          <w:tcPr>
            <w:tcW w:w="3300" w:type="dxa"/>
            <w:vAlign w:val="bottom"/>
            <w:tcBorders>
              <w:top w:val="single" w:sz="8" w:color="E9E9E9"/>
            </w:tcBorders>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Effective tax rate</w:t>
            </w:r>
          </w:p>
        </w:tc>
        <w:tc>
          <w:tcPr>
            <w:tcW w:w="980" w:type="dxa"/>
            <w:vAlign w:val="bottom"/>
            <w:tcBorders>
              <w:top w:val="single" w:sz="8" w:color="auto"/>
            </w:tcBorders>
            <w:shd w:val="clear" w:color="auto" w:fill="E9E9E9"/>
          </w:tcPr>
          <w:p>
            <w:pPr>
              <w:jc w:val="right"/>
              <w:ind w:right="122"/>
              <w:spacing w:after="0"/>
              <w:rPr>
                <w:sz w:val="20"/>
                <w:szCs w:val="20"/>
                <w:color w:val="auto"/>
              </w:rPr>
            </w:pPr>
            <w:r>
              <w:rPr>
                <w:rFonts w:ascii="Times New Roman" w:cs="Times New Roman" w:eastAsia="Times New Roman" w:hAnsi="Times New Roman"/>
                <w:sz w:val="20"/>
                <w:szCs w:val="20"/>
                <w:color w:val="auto"/>
              </w:rPr>
              <w:t>27.5%</w:t>
            </w:r>
          </w:p>
        </w:tc>
        <w:tc>
          <w:tcPr>
            <w:tcW w:w="80" w:type="dxa"/>
            <w:vAlign w:val="bottom"/>
            <w:tcBorders>
              <w:top w:val="single" w:sz="8" w:color="E9E9E9"/>
            </w:tcBorders>
            <w:shd w:val="clear" w:color="auto" w:fill="E9E9E9"/>
          </w:tcPr>
          <w:p>
            <w:pPr>
              <w:spacing w:after="0"/>
              <w:rPr>
                <w:sz w:val="23"/>
                <w:szCs w:val="23"/>
                <w:color w:val="auto"/>
              </w:rPr>
            </w:pPr>
          </w:p>
        </w:tc>
        <w:tc>
          <w:tcPr>
            <w:tcW w:w="980" w:type="dxa"/>
            <w:vAlign w:val="bottom"/>
            <w:tcBorders>
              <w:top w:val="single" w:sz="8" w:color="auto"/>
            </w:tcBorders>
            <w:shd w:val="clear" w:color="auto" w:fill="E9E9E9"/>
          </w:tcPr>
          <w:p>
            <w:pPr>
              <w:jc w:val="right"/>
              <w:ind w:right="122"/>
              <w:spacing w:after="0"/>
              <w:rPr>
                <w:sz w:val="20"/>
                <w:szCs w:val="20"/>
                <w:color w:val="auto"/>
              </w:rPr>
            </w:pPr>
            <w:r>
              <w:rPr>
                <w:rFonts w:ascii="Times New Roman" w:cs="Times New Roman" w:eastAsia="Times New Roman" w:hAnsi="Times New Roman"/>
                <w:sz w:val="20"/>
                <w:szCs w:val="20"/>
                <w:color w:val="auto"/>
              </w:rPr>
              <w:t>20.5%</w:t>
            </w:r>
          </w:p>
        </w:tc>
      </w:tr>
    </w:tbl>
    <w:p>
      <w:pPr>
        <w:spacing w:after="0" w:line="273" w:lineRule="exact"/>
        <w:rPr>
          <w:sz w:val="20"/>
          <w:szCs w:val="20"/>
          <w:color w:val="auto"/>
        </w:rPr>
      </w:pPr>
    </w:p>
    <w:p>
      <w:pPr>
        <w:ind w:right="560" w:firstLine="441"/>
        <w:spacing w:after="0" w:line="271" w:lineRule="auto"/>
        <w:rPr>
          <w:sz w:val="20"/>
          <w:szCs w:val="20"/>
          <w:color w:val="auto"/>
        </w:rPr>
      </w:pPr>
      <w:r>
        <w:rPr>
          <w:rFonts w:ascii="Times New Roman" w:cs="Times New Roman" w:eastAsia="Times New Roman" w:hAnsi="Times New Roman"/>
          <w:sz w:val="20"/>
          <w:szCs w:val="20"/>
          <w:color w:val="auto"/>
        </w:rPr>
        <w:t>Our effective tax rate in fiscal 2024 differs from the U.S. statutory rate of 21% primarily due to state income taxes and the valuation allowance established on the current year net unrealized loss on our investment in equity securities.</w:t>
      </w:r>
    </w:p>
    <w:p>
      <w:pPr>
        <w:spacing w:after="0" w:line="69" w:lineRule="exact"/>
        <w:rPr>
          <w:sz w:val="20"/>
          <w:szCs w:val="20"/>
          <w:color w:val="auto"/>
        </w:rPr>
      </w:pPr>
    </w:p>
    <w:p>
      <w:pPr>
        <w:ind w:right="140" w:firstLine="441"/>
        <w:spacing w:after="0" w:line="254" w:lineRule="auto"/>
        <w:rPr>
          <w:sz w:val="20"/>
          <w:szCs w:val="20"/>
          <w:color w:val="auto"/>
        </w:rPr>
      </w:pPr>
      <w:r>
        <w:rPr>
          <w:rFonts w:ascii="Times New Roman" w:cs="Times New Roman" w:eastAsia="Times New Roman" w:hAnsi="Times New Roman"/>
          <w:sz w:val="20"/>
          <w:szCs w:val="20"/>
          <w:color w:val="auto"/>
        </w:rPr>
        <w:t>The increase in the effective tax rate in 2024 is primarily due to the valuation allowance established on the current year unrealized loss on our investment in equity securities, and a benefit recorded in 2023 related to our RELISTOR royalty asset, which resulted in additional net operating losses becoming available for utilization under Internal Revenue Code Section 382. There was no such comparable amount recorded in 2024.</w:t>
      </w:r>
    </w:p>
    <w:p>
      <w:pPr>
        <w:spacing w:after="0" w:line="85" w:lineRule="exact"/>
        <w:rPr>
          <w:sz w:val="20"/>
          <w:szCs w:val="20"/>
          <w:color w:val="auto"/>
        </w:rPr>
      </w:pPr>
    </w:p>
    <w:p>
      <w:pPr>
        <w:ind w:right="20" w:firstLine="441"/>
        <w:spacing w:after="0" w:line="248" w:lineRule="auto"/>
        <w:rPr>
          <w:sz w:val="20"/>
          <w:szCs w:val="20"/>
          <w:color w:val="auto"/>
        </w:rPr>
      </w:pPr>
      <w:r>
        <w:rPr>
          <w:rFonts w:ascii="Times New Roman" w:cs="Times New Roman" w:eastAsia="Times New Roman" w:hAnsi="Times New Roman"/>
          <w:sz w:val="20"/>
          <w:szCs w:val="20"/>
          <w:color w:val="auto"/>
        </w:rPr>
        <w:t xml:space="preserve">In accordance with our accounting policy, the change in the tax liabilities, penalties and interest associated with our uncertain tax positions (net of any offsetting federal or state benefit) is recognized within income tax expense (benefit). Our uncertain tax positions include indemnified liabilities, in accordance with the Stock and Asset Purchase Agreement entered into with Bristol Myers Squibb (“BMS”) in 2008. Changes in the liability result in offsetting changes in the indemnification receivable. As these reserves change, adjustments are included in income tax expense while the offsetting adjustment is included in other income. Assuming that the receivable from BMS continues to be considered recoverable by us, there will be no effect on net income and no net cash outflows related to these liabilities. During 2023, the Company released a significant portion of its indemnified liability due to the settlement of these positions in certain states at a cost significantly less than our accrual resulting in $5.2 million (net of federal or state benefit) income tax benefit. For more information see Note 5,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xml:space="preserve"> to our consolidated consolidated financial statements included in Part II, Item 8, </w:t>
      </w:r>
      <w:r>
        <w:rPr>
          <w:rFonts w:ascii="Times New Roman" w:cs="Times New Roman" w:eastAsia="Times New Roman" w:hAnsi="Times New Roman"/>
          <w:sz w:val="20"/>
          <w:szCs w:val="20"/>
          <w:i w:val="1"/>
          <w:iCs w:val="1"/>
          <w:color w:val="auto"/>
        </w:rPr>
        <w:t>“Financial Statements and Supplementary Data”</w:t>
      </w:r>
      <w:r>
        <w:rPr>
          <w:rFonts w:ascii="Times New Roman" w:cs="Times New Roman" w:eastAsia="Times New Roman" w:hAnsi="Times New Roman"/>
          <w:sz w:val="20"/>
          <w:szCs w:val="20"/>
          <w:color w:val="auto"/>
        </w:rPr>
        <w:t xml:space="preserve"> of this Form 10-K.</w:t>
      </w:r>
    </w:p>
    <w:p>
      <w:pPr>
        <w:spacing w:after="0" w:line="211" w:lineRule="exact"/>
        <w:rPr>
          <w:sz w:val="20"/>
          <w:szCs w:val="20"/>
          <w:color w:val="auto"/>
        </w:rPr>
      </w:pPr>
    </w:p>
    <w:p>
      <w:pPr>
        <w:ind w:right="180" w:firstLine="441"/>
        <w:spacing w:after="0" w:line="254" w:lineRule="auto"/>
        <w:rPr>
          <w:sz w:val="20"/>
          <w:szCs w:val="20"/>
          <w:color w:val="auto"/>
        </w:rPr>
      </w:pPr>
      <w:r>
        <w:rPr>
          <w:rFonts w:ascii="Times New Roman" w:cs="Times New Roman" w:eastAsia="Times New Roman" w:hAnsi="Times New Roman"/>
          <w:sz w:val="20"/>
          <w:szCs w:val="20"/>
          <w:color w:val="auto"/>
        </w:rPr>
        <w:t>Our effective tax rate in fiscal 2023 differed from the U.S. statutory rate of 21% primarily due to the income tax benefits associated with stock compensation deductions, additional net operating losses available for utilization under Internal Revenue Code Section 382 as a result of the sale of our RELISTOR royalty asset, and the release of uncertain tax positions, partially offset by state income taxes.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The following table provides information regarding our cash flows: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00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324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000" w:type="dxa"/>
            <w:vAlign w:val="bottom"/>
            <w:tcBorders>
              <w:bottom w:val="single" w:sz="8" w:color="E9E9E9"/>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62"/>
              <w:spacing w:after="0" w:line="215" w:lineRule="exact"/>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Borders>
              <w:bottom w:val="single" w:sz="8" w:color="E9E9E9"/>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62"/>
              <w:spacing w:after="0" w:line="215" w:lineRule="exact"/>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Borders>
              <w:bottom w:val="single" w:sz="8" w:color="E9E9E9"/>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62"/>
              <w:spacing w:after="0" w:line="215" w:lineRule="exact"/>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269"/>
        </w:trPr>
        <w:tc>
          <w:tcPr>
            <w:tcW w:w="5000" w:type="dxa"/>
            <w:vAlign w:val="bottom"/>
            <w:shd w:val="clear" w:color="auto" w:fill="E9E9E9"/>
          </w:tcPr>
          <w:p>
            <w:pPr>
              <w:ind w:left="540"/>
              <w:spacing w:after="0"/>
              <w:rPr>
                <w:sz w:val="20"/>
                <w:szCs w:val="20"/>
                <w:color w:val="auto"/>
              </w:rPr>
            </w:pPr>
            <w:r>
              <w:rPr>
                <w:rFonts w:ascii="Times New Roman" w:cs="Times New Roman" w:eastAsia="Times New Roman" w:hAnsi="Times New Roman"/>
                <w:sz w:val="20"/>
                <w:szCs w:val="20"/>
                <w:color w:val="auto"/>
              </w:rPr>
              <w:t>Net cash provided by operating activities</w:t>
            </w:r>
          </w:p>
        </w:tc>
        <w:tc>
          <w:tcPr>
            <w:tcW w:w="360" w:type="dxa"/>
            <w:vAlign w:val="bottom"/>
            <w:shd w:val="clear" w:color="auto" w:fill="E9E9E9"/>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544,750</w:t>
            </w:r>
          </w:p>
        </w:tc>
        <w:tc>
          <w:tcPr>
            <w:tcW w:w="420" w:type="dxa"/>
            <w:vAlign w:val="bottom"/>
            <w:gridSpan w:val="2"/>
            <w:shd w:val="clear" w:color="auto" w:fill="E9E9E9"/>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305,260</w:t>
            </w:r>
          </w:p>
        </w:tc>
        <w:tc>
          <w:tcPr>
            <w:tcW w:w="500" w:type="dxa"/>
            <w:vAlign w:val="bottom"/>
            <w:gridSpan w:val="2"/>
            <w:shd w:val="clear" w:color="auto" w:fill="E9E9E9"/>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281,781</w:t>
            </w:r>
          </w:p>
        </w:tc>
        <w:tc>
          <w:tcPr>
            <w:tcW w:w="0" w:type="dxa"/>
            <w:vAlign w:val="bottom"/>
          </w:tcPr>
          <w:p>
            <w:pPr>
              <w:spacing w:after="0"/>
              <w:rPr>
                <w:sz w:val="1"/>
                <w:szCs w:val="1"/>
                <w:color w:val="auto"/>
              </w:rPr>
            </w:pPr>
          </w:p>
        </w:tc>
      </w:tr>
      <w:tr>
        <w:trPr>
          <w:trHeight w:val="273"/>
        </w:trPr>
        <w:tc>
          <w:tcPr>
            <w:tcW w:w="50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Net cash (used in) provided by investing activities</w:t>
            </w:r>
          </w:p>
        </w:tc>
        <w:tc>
          <w:tcPr>
            <w:tcW w:w="3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(226,015)</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5,939</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(276,547)</w:t>
            </w:r>
          </w:p>
        </w:tc>
        <w:tc>
          <w:tcPr>
            <w:tcW w:w="0" w:type="dxa"/>
            <w:vAlign w:val="bottom"/>
          </w:tcPr>
          <w:p>
            <w:pPr>
              <w:spacing w:after="0"/>
              <w:rPr>
                <w:sz w:val="1"/>
                <w:szCs w:val="1"/>
                <w:color w:val="auto"/>
              </w:rPr>
            </w:pPr>
          </w:p>
        </w:tc>
      </w:tr>
      <w:tr>
        <w:trPr>
          <w:trHeight w:val="285"/>
        </w:trPr>
        <w:tc>
          <w:tcPr>
            <w:tcW w:w="5000" w:type="dxa"/>
            <w:vAlign w:val="bottom"/>
            <w:shd w:val="clear" w:color="auto" w:fill="E9E9E9"/>
          </w:tcPr>
          <w:p>
            <w:pPr>
              <w:ind w:left="540"/>
              <w:spacing w:after="0"/>
              <w:rPr>
                <w:sz w:val="20"/>
                <w:szCs w:val="20"/>
                <w:color w:val="auto"/>
              </w:rPr>
            </w:pPr>
            <w:r>
              <w:rPr>
                <w:rFonts w:ascii="Times New Roman" w:cs="Times New Roman" w:eastAsia="Times New Roman" w:hAnsi="Times New Roman"/>
                <w:sz w:val="20"/>
                <w:szCs w:val="20"/>
                <w:color w:val="auto"/>
              </w:rPr>
              <w:t>Net cash (used in) provided by financing activities</w:t>
            </w:r>
          </w:p>
        </w:tc>
        <w:tc>
          <w:tcPr>
            <w:tcW w:w="360" w:type="dxa"/>
            <w:vAlign w:val="bottom"/>
            <w:shd w:val="clear" w:color="auto" w:fill="E9E9E9"/>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(118,536)</w:t>
            </w:r>
          </w:p>
        </w:tc>
        <w:tc>
          <w:tcPr>
            <w:tcW w:w="420" w:type="dxa"/>
            <w:vAlign w:val="bottom"/>
            <w:gridSpan w:val="2"/>
            <w:shd w:val="clear" w:color="auto" w:fill="E9E9E9"/>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(13,062)</w:t>
            </w:r>
          </w:p>
        </w:tc>
        <w:tc>
          <w:tcPr>
            <w:tcW w:w="500" w:type="dxa"/>
            <w:vAlign w:val="bottom"/>
            <w:gridSpan w:val="2"/>
            <w:shd w:val="clear" w:color="auto" w:fill="E9E9E9"/>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311,691</w:t>
            </w:r>
          </w:p>
        </w:tc>
        <w:tc>
          <w:tcPr>
            <w:tcW w:w="0" w:type="dxa"/>
            <w:vAlign w:val="bottom"/>
          </w:tcPr>
          <w:p>
            <w:pPr>
              <w:spacing w:after="0"/>
              <w:rPr>
                <w:sz w:val="1"/>
                <w:szCs w:val="1"/>
                <w:color w:val="auto"/>
              </w:rPr>
            </w:pPr>
          </w:p>
        </w:tc>
      </w:tr>
    </w:tbl>
    <w:p>
      <w:pPr>
        <w:spacing w:after="0" w:line="272"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20"/>
          <w:szCs w:val="20"/>
          <w:color w:val="auto"/>
        </w:rPr>
        <w:t xml:space="preserve">For a discussion of our liquidity and capital resources related to our cash flow activities for the fiscal year ended December 31, 2022, see Part II, Item 7. </w:t>
      </w:r>
      <w:r>
        <w:rPr>
          <w:rFonts w:ascii="Times New Roman" w:cs="Times New Roman" w:eastAsia="Times New Roman" w:hAnsi="Times New Roman"/>
          <w:sz w:val="20"/>
          <w:szCs w:val="20"/>
          <w:i w:val="1"/>
          <w:iCs w:val="1"/>
          <w:color w:val="auto"/>
        </w:rPr>
        <w:t>“Management’s Discussion and Analysis of Financial Condition and Results of Operations”</w:t>
      </w:r>
      <w:r>
        <w:rPr>
          <w:rFonts w:ascii="Times New Roman" w:cs="Times New Roman" w:eastAsia="Times New Roman" w:hAnsi="Times New Roman"/>
          <w:sz w:val="20"/>
          <w:szCs w:val="20"/>
          <w:color w:val="auto"/>
        </w:rPr>
        <w:t xml:space="preserve"> of our Form 10-K for the fiscal year ended December 31, 2023, filed with the SEC on February 22, 2024.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Cash Provided by Operating Activities</w:t>
      </w:r>
    </w:p>
    <w:p>
      <w:pPr>
        <w:spacing w:after="0" w:line="126" w:lineRule="exact"/>
        <w:rPr>
          <w:sz w:val="20"/>
          <w:szCs w:val="20"/>
          <w:color w:val="auto"/>
        </w:rPr>
      </w:pPr>
    </w:p>
    <w:p>
      <w:pPr>
        <w:ind w:right="80" w:firstLine="441"/>
        <w:spacing w:after="0" w:line="249" w:lineRule="auto"/>
        <w:rPr>
          <w:sz w:val="20"/>
          <w:szCs w:val="20"/>
          <w:color w:val="auto"/>
        </w:rPr>
      </w:pPr>
      <w:r>
        <w:rPr>
          <w:rFonts w:ascii="Times New Roman" w:cs="Times New Roman" w:eastAsia="Times New Roman" w:hAnsi="Times New Roman"/>
          <w:sz w:val="20"/>
          <w:szCs w:val="20"/>
          <w:color w:val="auto"/>
        </w:rPr>
        <w:t>Net cash provided by operating activities of $544.8 million during the year ended December 31, 2024 was primarily comprised of net income adjusted for the net effect of non-cash items such as unrealized loss on investment in equity securities, charges incurred in connection with the Perspective IPR&amp;D exclusive license options, charges related to Radiopharm’s licensed assets, charges related to Life Molecular’s RM2 license, gains on disposal of our Somerset Facility and a portion of our North Billerica, Massachusetts facility, depreciation, amortization and accretion expense and stock-based compensation expense. The primary working capital sources of cash is attributable to an increase in income taxes payable in 2024. The primary working capital uses of cash were due to the timing of payments to large vendors, an increase in trade receivables associated primarily with the increase in PYLARIFY revenues, and an increase in inventory related to the timing of batch processes.</w:t>
      </w:r>
    </w:p>
    <w:p>
      <w:pPr>
        <w:spacing w:after="0" w:line="208" w:lineRule="exact"/>
        <w:rPr>
          <w:sz w:val="20"/>
          <w:szCs w:val="20"/>
          <w:color w:val="auto"/>
        </w:rPr>
      </w:pPr>
    </w:p>
    <w:p>
      <w:pPr>
        <w:jc w:val="both"/>
        <w:ind w:right="160" w:firstLine="441"/>
        <w:spacing w:after="0" w:line="298" w:lineRule="auto"/>
        <w:rPr>
          <w:sz w:val="20"/>
          <w:szCs w:val="20"/>
          <w:color w:val="auto"/>
        </w:rPr>
      </w:pPr>
      <w:r>
        <w:rPr>
          <w:rFonts w:ascii="Times New Roman" w:cs="Times New Roman" w:eastAsia="Times New Roman" w:hAnsi="Times New Roman"/>
          <w:sz w:val="19"/>
          <w:szCs w:val="19"/>
          <w:color w:val="auto"/>
        </w:rPr>
        <w:t>Net cash provided by operating activities of $305.3 million during the year ended December 31, 2023 was primarily comprised of net income adjusted for non-cash items such as impairment of long-lived assets, depreciation, amortization and accretion expense,</w:t>
      </w:r>
    </w:p>
    <w:p>
      <w:pPr>
        <w:sectPr>
          <w:pgSz w:w="11880" w:h="15480" w:orient="portrait"/>
          <w:cols w:equalWidth="0" w:num="1">
            <w:col w:w="10580"/>
          </w:cols>
          <w:pgMar w:left="640" w:top="614" w:right="660" w:bottom="0" w:gutter="0" w:footer="0" w:header="0"/>
        </w:sect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69</w:t>
      </w:r>
    </w:p>
    <w:p>
      <w:pPr>
        <w:sectPr>
          <w:pgSz w:w="11880" w:h="15480" w:orient="portrait"/>
          <w:cols w:equalWidth="0" w:num="1">
            <w:col w:w="10580"/>
          </w:cols>
          <w:pgMar w:left="640" w:top="614" w:right="660" w:bottom="0" w:gutter="0" w:footer="0" w:header="0"/>
          <w:type w:val="continuous"/>
        </w:sectPr>
      </w:pPr>
    </w:p>
    <w:bookmarkStart w:id="75" w:name="page76"/>
    <w:bookmarkEnd w:id="75"/>
    <w:p>
      <w:pPr>
        <w:ind w:right="140"/>
        <w:spacing w:after="0" w:line="254" w:lineRule="auto"/>
        <w:rPr>
          <w:sz w:val="20"/>
          <w:szCs w:val="20"/>
          <w:color w:val="auto"/>
        </w:rPr>
      </w:pPr>
      <w:r>
        <w:rPr>
          <w:rFonts w:ascii="Times New Roman" w:cs="Times New Roman" w:eastAsia="Times New Roman" w:hAnsi="Times New Roman"/>
          <w:sz w:val="20"/>
          <w:szCs w:val="20"/>
          <w:color w:val="auto"/>
        </w:rPr>
        <w:t>gain on sale of our RELISTOR royalty asset, deferred income taxes, and stock-based compensation expense. The primary working capital sources of cash were the timing of payments to large vendors. The primary working capital uses of cash were a decrease to accruals related to the CVR payment, an increase in trade receivables associated primarily with the increase in PYLARIFY revenues, and an increase in inventory related to the timing of batch processes.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Cash (Used in) Provided by Investing Activities</w:t>
      </w:r>
    </w:p>
    <w:p>
      <w:pPr>
        <w:spacing w:after="0" w:line="126" w:lineRule="exact"/>
        <w:rPr>
          <w:sz w:val="20"/>
          <w:szCs w:val="20"/>
          <w:color w:val="auto"/>
        </w:rPr>
      </w:pPr>
    </w:p>
    <w:p>
      <w:pPr>
        <w:ind w:firstLine="441"/>
        <w:spacing w:after="0" w:line="268" w:lineRule="auto"/>
        <w:rPr>
          <w:sz w:val="20"/>
          <w:szCs w:val="20"/>
          <w:color w:val="auto"/>
        </w:rPr>
      </w:pPr>
      <w:r>
        <w:rPr>
          <w:rFonts w:ascii="Times New Roman" w:cs="Times New Roman" w:eastAsia="Times New Roman" w:hAnsi="Times New Roman"/>
          <w:sz w:val="19"/>
          <w:szCs w:val="19"/>
          <w:color w:val="auto"/>
        </w:rPr>
        <w:t>Net cash used in investing activities during the year ended December 31, 2024 was driven by an upfront option payment of $28.0 million to Perspective, $36.0 million of payments for the RM2 Asset Purchase, $42.9 million payments to the Meilleur Stockholders for the acquisition of Meilleur, $2.0 million for the Radiopharm Asset Purchase, $83.2 million for the purchase of equity securities in Perspective and Radiopharm, and $51.6 million of capital expenditures, partially offset by net cash proceeds of $17.8 million from the sale of the Somerset Facility and a portion of our North Billerica, Massachusetts facility, and associated assets.</w:t>
      </w:r>
    </w:p>
    <w:p>
      <w:pPr>
        <w:spacing w:after="0" w:line="74" w:lineRule="exact"/>
        <w:rPr>
          <w:sz w:val="20"/>
          <w:szCs w:val="20"/>
          <w:color w:val="auto"/>
        </w:rPr>
      </w:pPr>
    </w:p>
    <w:p>
      <w:pPr>
        <w:ind w:right="300" w:firstLine="441"/>
        <w:spacing w:after="0" w:line="258" w:lineRule="auto"/>
        <w:rPr>
          <w:sz w:val="20"/>
          <w:szCs w:val="20"/>
          <w:color w:val="auto"/>
        </w:rPr>
      </w:pPr>
      <w:r>
        <w:rPr>
          <w:rFonts w:ascii="Times New Roman" w:cs="Times New Roman" w:eastAsia="Times New Roman" w:hAnsi="Times New Roman"/>
          <w:sz w:val="20"/>
          <w:szCs w:val="20"/>
          <w:color w:val="auto"/>
        </w:rPr>
        <w:t>Net cash provided by investing activities during the year ended December 31, 2023 was primarily due to net cash proceeds of $97.8 million from the sale of our RELISTOR royalty asset offset by $45.3 million for our asset acquisition of Cerveau and $46.6 million of capital expenditures.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Cash (Used in) Provided by Financing Activities</w:t>
      </w:r>
    </w:p>
    <w:p>
      <w:pPr>
        <w:spacing w:after="0" w:line="126" w:lineRule="exact"/>
        <w:rPr>
          <w:sz w:val="20"/>
          <w:szCs w:val="20"/>
          <w:color w:val="auto"/>
        </w:rPr>
      </w:pPr>
    </w:p>
    <w:p>
      <w:pPr>
        <w:ind w:right="140" w:firstLine="441"/>
        <w:spacing w:after="0" w:line="254" w:lineRule="auto"/>
        <w:rPr>
          <w:sz w:val="20"/>
          <w:szCs w:val="20"/>
          <w:color w:val="auto"/>
        </w:rPr>
      </w:pPr>
      <w:r>
        <w:rPr>
          <w:rFonts w:ascii="Times New Roman" w:cs="Times New Roman" w:eastAsia="Times New Roman" w:hAnsi="Times New Roman"/>
          <w:sz w:val="20"/>
          <w:szCs w:val="20"/>
          <w:color w:val="auto"/>
        </w:rPr>
        <w:t>Net cash used in financing activities during the year ended December 31, 2024 is primarily attributable to the repurchase of our common stock for approximately $100.0 million, the payments for minimum statutory tax withholding related to net share settlement of equity awards of $22.6 million and the payment of $2.3 million of financing costs related to the refinancing of our credit facility described below, offset by proceeds of $6.7 million from stock option exercises.</w:t>
      </w:r>
    </w:p>
    <w:p>
      <w:pPr>
        <w:spacing w:after="0" w:line="85" w:lineRule="exact"/>
        <w:rPr>
          <w:sz w:val="20"/>
          <w:szCs w:val="20"/>
          <w:color w:val="auto"/>
        </w:rPr>
      </w:pPr>
    </w:p>
    <w:p>
      <w:pPr>
        <w:ind w:right="160" w:firstLine="441"/>
        <w:spacing w:after="0" w:line="258" w:lineRule="auto"/>
        <w:rPr>
          <w:sz w:val="20"/>
          <w:szCs w:val="20"/>
          <w:color w:val="auto"/>
        </w:rPr>
      </w:pPr>
      <w:r>
        <w:rPr>
          <w:rFonts w:ascii="Times New Roman" w:cs="Times New Roman" w:eastAsia="Times New Roman" w:hAnsi="Times New Roman"/>
          <w:sz w:val="20"/>
          <w:szCs w:val="20"/>
          <w:color w:val="auto"/>
        </w:rPr>
        <w:t>Net cash used in financing activities during the year ended December 31, 2023 was primarily attributable to the payments for minimum statutory tax withholding related to net share settlement of equity awards of $14.4 million and the CVR initial valuation as of the acquisition date of $3.7 million, offset by proceeds of $3.8 million from stock option exercises.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External Sources of Liquidity</w:t>
      </w:r>
    </w:p>
    <w:p>
      <w:pPr>
        <w:spacing w:after="0" w:line="131" w:lineRule="exact"/>
        <w:rPr>
          <w:sz w:val="20"/>
          <w:szCs w:val="20"/>
          <w:color w:val="auto"/>
        </w:rPr>
      </w:pPr>
    </w:p>
    <w:p>
      <w:pPr>
        <w:ind w:firstLine="441"/>
        <w:spacing w:after="0" w:line="262" w:lineRule="auto"/>
        <w:rPr>
          <w:sz w:val="20"/>
          <w:szCs w:val="20"/>
          <w:color w:val="auto"/>
        </w:rPr>
      </w:pPr>
      <w:r>
        <w:rPr>
          <w:rFonts w:ascii="Times New Roman" w:cs="Times New Roman" w:eastAsia="Times New Roman" w:hAnsi="Times New Roman"/>
          <w:sz w:val="19"/>
          <w:szCs w:val="19"/>
          <w:color w:val="auto"/>
        </w:rPr>
        <w:t>In December 2024, we entered into an amendment to the 2022 Revolving Facility that, among other things, extended the maturity date from December 2, 2027 to December 19, 2029, increased the 2022 Revolving Facility from $350.0 million to $750.0 million and increased the additional amount that LMI may request to add to the increased revolving commitment by $350.0 million. The amendment also, among other things, (i) reduces the ranges of margins based on our Total Net Leverage Ratio (as defined in the 2022 Revolving Facility) used to calculate interest for the revolving loans and (ii) reduces the maximum unused commitment fee from 0.35% per annum to 0.30% per annum. The full terms of the 2022 Revolving Facility are set forth in the Credit Agreement, dated as of December 2, 2022, by and among us, the lenders from time to time party thereto and Citizens Bank, N.A., as administrative agent and collateral agent, as amended. We have the right to request an increase to the 2022 Revolving Facility or request the establishment of one or more new incremental term loan facilities, in an aggregate principal amount of up to the greater of $685.0 million (so that the total amount available is $1.44 billion) or 100% of consolidated earnings before interest, taxes, depreciation and amortization for the four consecutive fiscal quarters most recently ended, plus additional amounts, in certain circumstances.</w:t>
      </w:r>
    </w:p>
    <w:p>
      <w:pPr>
        <w:spacing w:after="0" w:line="199" w:lineRule="exact"/>
        <w:rPr>
          <w:sz w:val="20"/>
          <w:szCs w:val="20"/>
          <w:color w:val="auto"/>
        </w:rPr>
      </w:pPr>
    </w:p>
    <w:p>
      <w:pPr>
        <w:ind w:right="40" w:firstLine="441"/>
        <w:spacing w:after="0" w:line="250" w:lineRule="auto"/>
        <w:rPr>
          <w:sz w:val="20"/>
          <w:szCs w:val="20"/>
          <w:color w:val="auto"/>
        </w:rPr>
      </w:pPr>
      <w:r>
        <w:rPr>
          <w:rFonts w:ascii="Times New Roman" w:cs="Times New Roman" w:eastAsia="Times New Roman" w:hAnsi="Times New Roman"/>
          <w:sz w:val="20"/>
          <w:szCs w:val="20"/>
          <w:color w:val="auto"/>
        </w:rPr>
        <w:t>Under the terms of the 2022 Revolving Facility, the lenders thereunder agreed to extend credit to us from time to time until December 19, 2029 consisting of revolving loans in an aggregate principal amount not to exceed $750.0 million at any time. The 2022 Revolving Facility includes a $40.0 million sub-facility for the issuance of letters of credit (the “Letters of Credit”). The 2022 Revolving Facility includes a $20.0 million sub-facility for swingline loans (the “Swingline Loans”). The Letters of Credit, Swingline Loans and the borrowings under the 2022 Revolving Facility are expected to be used for working capital and other general corporate purposes.</w:t>
      </w:r>
    </w:p>
    <w:p>
      <w:pPr>
        <w:spacing w:after="0" w:line="206" w:lineRule="exact"/>
        <w:rPr>
          <w:sz w:val="20"/>
          <w:szCs w:val="20"/>
          <w:color w:val="auto"/>
        </w:rPr>
      </w:pPr>
    </w:p>
    <w:p>
      <w:pPr>
        <w:ind w:right="340" w:firstLine="441"/>
        <w:spacing w:after="0" w:line="260" w:lineRule="auto"/>
        <w:rPr>
          <w:sz w:val="20"/>
          <w:szCs w:val="20"/>
          <w:color w:val="auto"/>
        </w:rPr>
      </w:pPr>
      <w:r>
        <w:rPr>
          <w:rFonts w:ascii="Times New Roman" w:cs="Times New Roman" w:eastAsia="Times New Roman" w:hAnsi="Times New Roman"/>
          <w:sz w:val="20"/>
          <w:szCs w:val="20"/>
          <w:color w:val="auto"/>
        </w:rPr>
        <w:t xml:space="preserve">For more information on the 2022 Revolving Facility, see Note 12, </w:t>
      </w:r>
      <w:r>
        <w:rPr>
          <w:rFonts w:ascii="Times New Roman" w:cs="Times New Roman" w:eastAsia="Times New Roman" w:hAnsi="Times New Roman"/>
          <w:sz w:val="20"/>
          <w:szCs w:val="20"/>
          <w:i w:val="1"/>
          <w:iCs w:val="1"/>
          <w:color w:val="auto"/>
        </w:rPr>
        <w:t>“Long-Term Debt, Net, and Other Borrowings”</w:t>
      </w:r>
      <w:r>
        <w:rPr>
          <w:rFonts w:ascii="Times New Roman" w:cs="Times New Roman" w:eastAsia="Times New Roman" w:hAnsi="Times New Roman"/>
          <w:sz w:val="20"/>
          <w:szCs w:val="20"/>
          <w:color w:val="auto"/>
        </w:rPr>
        <w:t xml:space="preserve"> to our consolidated consolidated financial statements included in Part II, Item 8, </w:t>
      </w:r>
      <w:r>
        <w:rPr>
          <w:rFonts w:ascii="Times New Roman" w:cs="Times New Roman" w:eastAsia="Times New Roman" w:hAnsi="Times New Roman"/>
          <w:sz w:val="20"/>
          <w:szCs w:val="20"/>
          <w:i w:val="1"/>
          <w:iCs w:val="1"/>
          <w:color w:val="auto"/>
        </w:rPr>
        <w:t>“Financial Statements and Supplementary Data”</w:t>
      </w:r>
      <w:r>
        <w:rPr>
          <w:rFonts w:ascii="Times New Roman" w:cs="Times New Roman" w:eastAsia="Times New Roman" w:hAnsi="Times New Roman"/>
          <w:sz w:val="20"/>
          <w:szCs w:val="20"/>
          <w:color w:val="auto"/>
        </w:rPr>
        <w:t xml:space="preserve"> of this Form 10-K.</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As of December 31, 2024, we were in compliance with all financial and other covenants under the 2022 Credit Agreement.</w:t>
      </w:r>
    </w:p>
    <w:p>
      <w:pPr>
        <w:spacing w:after="0" w:line="123" w:lineRule="exact"/>
        <w:rPr>
          <w:sz w:val="20"/>
          <w:szCs w:val="20"/>
          <w:color w:val="auto"/>
        </w:rPr>
      </w:pPr>
    </w:p>
    <w:p>
      <w:pPr>
        <w:ind w:right="260" w:firstLine="441"/>
        <w:spacing w:after="0" w:line="250" w:lineRule="auto"/>
        <w:rPr>
          <w:sz w:val="20"/>
          <w:szCs w:val="20"/>
          <w:color w:val="auto"/>
        </w:rPr>
      </w:pPr>
      <w:r>
        <w:rPr>
          <w:rFonts w:ascii="Times New Roman" w:cs="Times New Roman" w:eastAsia="Times New Roman" w:hAnsi="Times New Roman"/>
          <w:sz w:val="20"/>
          <w:szCs w:val="20"/>
          <w:color w:val="auto"/>
        </w:rPr>
        <w:t>On December 8, 2022, we issued $575.0 million in aggregate principal amount of 2.625% Convertible Senior Notes due 2027 (the “Notes”), which includes $75.0 million in aggregate principal amount of Notes sold pursuant to the full exercise of the initial purchasers’ option to purchase additional Notes. The Notes were issued under an indenture, dated as of December 8, 2022 (the “Indenture”), among the Company, LMI, as Guarantor, and U.S. Bank Trust Company, National Association (“U.S. Bank”), as Trustee. The net proceeds from the issuance of the Notes were approximately $557.8 million, after deducting the initial purchasers’ discounts and offering expenses payable by us.</w:t>
      </w:r>
    </w:p>
    <w:p>
      <w:pPr>
        <w:sectPr>
          <w:pgSz w:w="11880" w:h="15480" w:orient="portrait"/>
          <w:cols w:equalWidth="0" w:num="1">
            <w:col w:w="10580"/>
          </w:cols>
          <w:pgMar w:left="640" w:top="622"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70</w:t>
      </w:r>
    </w:p>
    <w:p>
      <w:pPr>
        <w:sectPr>
          <w:pgSz w:w="11880" w:h="15480" w:orient="portrait"/>
          <w:cols w:equalWidth="0" w:num="1">
            <w:col w:w="10580"/>
          </w:cols>
          <w:pgMar w:left="640" w:top="622" w:right="660" w:bottom="0" w:gutter="0" w:footer="0" w:header="0"/>
          <w:type w:val="continuous"/>
        </w:sectPr>
      </w:pPr>
    </w:p>
    <w:bookmarkStart w:id="76" w:name="page77"/>
    <w:bookmarkEnd w:id="76"/>
    <w:p>
      <w:pPr>
        <w:ind w:right="20" w:firstLine="441"/>
        <w:spacing w:after="0" w:line="250" w:lineRule="auto"/>
        <w:rPr>
          <w:sz w:val="20"/>
          <w:szCs w:val="20"/>
          <w:color w:val="auto"/>
        </w:rPr>
      </w:pPr>
      <w:r>
        <w:rPr>
          <w:rFonts w:ascii="Times New Roman" w:cs="Times New Roman" w:eastAsia="Times New Roman" w:hAnsi="Times New Roman"/>
          <w:sz w:val="20"/>
          <w:szCs w:val="20"/>
          <w:color w:val="auto"/>
        </w:rPr>
        <w:t>On August 2, 2023, we sold the right to our RELISTOR royalty asset under our license agreement with Bausch; we retained the rights to future sales-based milestone payments. We received an initial payment of approximately $98.0 million in connection with the sale and have the right to receive an additional $5.0 million payment if worldwide net sales of RELISTOR in 2025 exceed a specified threshold. The additional payment would be recognized upon achievement of the specified threshold. Following such sale, we no longer receive tiered, sales-based royalties on worldwide net sales of RELISTOR related to the second quarter of 2023 and subsequent quarters.</w:t>
      </w:r>
    </w:p>
    <w:p>
      <w:pPr>
        <w:spacing w:after="0" w:line="91" w:lineRule="exact"/>
        <w:rPr>
          <w:sz w:val="20"/>
          <w:szCs w:val="20"/>
          <w:color w:val="auto"/>
        </w:rPr>
      </w:pPr>
    </w:p>
    <w:p>
      <w:pPr>
        <w:ind w:right="40" w:firstLine="441"/>
        <w:spacing w:after="0" w:line="249" w:lineRule="auto"/>
        <w:rPr>
          <w:sz w:val="20"/>
          <w:szCs w:val="20"/>
          <w:color w:val="auto"/>
        </w:rPr>
      </w:pPr>
      <w:r>
        <w:rPr>
          <w:rFonts w:ascii="Times New Roman" w:cs="Times New Roman" w:eastAsia="Times New Roman" w:hAnsi="Times New Roman"/>
          <w:sz w:val="20"/>
          <w:szCs w:val="20"/>
          <w:color w:val="auto"/>
        </w:rPr>
        <w:t>In November 2024, our Board authorized a program to repurchase up to $250 million of our common stock during the next twelve months (the “2024 Program”). Such repurchases may be made from time to time via open market purchases at prevailing market prices, in privately negotiated transactions, block trades, or pursuant to trades intending to comply with Rule 10b5-1 under the Securities Exchange Act of 1934, as amended or through other legally permissible means, depending on market conditions and in accordance with applicable rules and regulations. The actual timing, number and dollar amount of repurchase transactions will be determined by our management, in its discretion and will depend on a number of factors, including but not limited to, the market price of our common stock. As of December 31, 2024, cumulative shares purchased under the 2024 Program were approximately 1.1 million shares for approximately $100.0 million.</w:t>
      </w:r>
    </w:p>
    <w:p>
      <w:pPr>
        <w:spacing w:after="0" w:line="208" w:lineRule="exact"/>
        <w:rPr>
          <w:sz w:val="20"/>
          <w:szCs w:val="20"/>
          <w:color w:val="auto"/>
        </w:rPr>
      </w:pPr>
    </w:p>
    <w:p>
      <w:pPr>
        <w:jc w:val="both"/>
        <w:ind w:right="160" w:firstLine="441"/>
        <w:spacing w:after="0" w:line="258" w:lineRule="auto"/>
        <w:rPr>
          <w:sz w:val="20"/>
          <w:szCs w:val="20"/>
          <w:color w:val="auto"/>
        </w:rPr>
      </w:pPr>
      <w:r>
        <w:rPr>
          <w:rFonts w:ascii="Times New Roman" w:cs="Times New Roman" w:eastAsia="Times New Roman" w:hAnsi="Times New Roman"/>
          <w:sz w:val="20"/>
          <w:szCs w:val="20"/>
          <w:color w:val="auto"/>
        </w:rPr>
        <w:t>Our ability to fund our future capital needs will be affected by our ability to continue to generate cash from operations and may be affected by our ability to access the capital markets, money markets or other sources of funding, as well as the capacity and terms of our financing arrangements.</w:t>
      </w:r>
    </w:p>
    <w:p>
      <w:pPr>
        <w:spacing w:after="0" w:line="199" w:lineRule="exact"/>
        <w:rPr>
          <w:sz w:val="20"/>
          <w:szCs w:val="20"/>
          <w:color w:val="auto"/>
        </w:rPr>
      </w:pPr>
    </w:p>
    <w:p>
      <w:pPr>
        <w:ind w:right="80" w:firstLine="441"/>
        <w:spacing w:after="0" w:line="271" w:lineRule="auto"/>
        <w:rPr>
          <w:sz w:val="20"/>
          <w:szCs w:val="20"/>
          <w:color w:val="auto"/>
        </w:rPr>
      </w:pPr>
      <w:r>
        <w:rPr>
          <w:rFonts w:ascii="Times New Roman" w:cs="Times New Roman" w:eastAsia="Times New Roman" w:hAnsi="Times New Roman"/>
          <w:sz w:val="19"/>
          <w:szCs w:val="19"/>
          <w:color w:val="auto"/>
        </w:rPr>
        <w:t>We may from time to time repurchase or otherwise retire our debt and take other steps to reduce our debt or otherwise improve our balance sheet. These actions may include prepayments of our term loans or other retirements or refinancing of outstanding debt, privately negotiated transactions or otherwise. The amount of debt that may be retired, if any, could be material and would be decided at the sole discretion of our Board and will depend on market conditions, our cash position and other considerations.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Funding Requirements</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Our future capital requirements will depend on many factors, including:</w:t>
      </w:r>
    </w:p>
    <w:p>
      <w:pPr>
        <w:spacing w:after="0" w:line="123" w:lineRule="exact"/>
        <w:rPr>
          <w:sz w:val="20"/>
          <w:szCs w:val="20"/>
          <w:color w:val="auto"/>
        </w:rPr>
      </w:pPr>
    </w:p>
    <w:p>
      <w:pPr>
        <w:ind w:left="1060" w:right="120" w:hanging="346"/>
        <w:spacing w:after="0" w:line="271" w:lineRule="auto"/>
        <w:tabs>
          <w:tab w:leader="none" w:pos="10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level of product sales and the pricing environment of our currently marketed products, particularly PYLARIFY and DEFINITY, as well as any additional products that we may market in the future;</w:t>
      </w:r>
    </w:p>
    <w:p>
      <w:pPr>
        <w:spacing w:after="0" w:line="68" w:lineRule="exact"/>
        <w:rPr>
          <w:rFonts w:ascii="Times New Roman" w:cs="Times New Roman" w:eastAsia="Times New Roman" w:hAnsi="Times New Roman"/>
          <w:sz w:val="20"/>
          <w:szCs w:val="20"/>
          <w:color w:val="auto"/>
        </w:rPr>
      </w:pPr>
    </w:p>
    <w:p>
      <w:pPr>
        <w:ind w:left="1060" w:right="380" w:hanging="346"/>
        <w:spacing w:after="0" w:line="271" w:lineRule="auto"/>
        <w:tabs>
          <w:tab w:leader="none" w:pos="10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mix shifts and associated volume and selling price changes that could result from additional competition or changes in customers’ product demand;</w:t>
      </w:r>
    </w:p>
    <w:p>
      <w:pPr>
        <w:spacing w:after="0" w:line="68"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continued costs of the ongoing commercialization of our products;</w:t>
      </w:r>
    </w:p>
    <w:p>
      <w:pPr>
        <w:spacing w:after="0" w:line="122" w:lineRule="exact"/>
        <w:rPr>
          <w:rFonts w:ascii="Times New Roman" w:cs="Times New Roman" w:eastAsia="Times New Roman" w:hAnsi="Times New Roman"/>
          <w:sz w:val="20"/>
          <w:szCs w:val="20"/>
          <w:color w:val="auto"/>
        </w:rPr>
      </w:pPr>
    </w:p>
    <w:p>
      <w:pPr>
        <w:ind w:left="1060" w:right="240" w:hanging="346"/>
        <w:spacing w:after="0" w:line="271" w:lineRule="auto"/>
        <w:tabs>
          <w:tab w:leader="none" w:pos="10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investment in the further clinical development and commercialization of products and development candidates, as well as whether we exercise our option and co-development rights under the Perspective agreements;</w:t>
      </w:r>
    </w:p>
    <w:p>
      <w:pPr>
        <w:spacing w:after="0" w:line="68" w:lineRule="exact"/>
        <w:rPr>
          <w:rFonts w:ascii="Times New Roman" w:cs="Times New Roman" w:eastAsia="Times New Roman" w:hAnsi="Times New Roman"/>
          <w:sz w:val="20"/>
          <w:szCs w:val="20"/>
          <w:color w:val="auto"/>
        </w:rPr>
      </w:pPr>
    </w:p>
    <w:p>
      <w:pPr>
        <w:ind w:left="1060" w:right="320" w:hanging="346"/>
        <w:spacing w:after="0" w:line="258" w:lineRule="auto"/>
        <w:tabs>
          <w:tab w:leader="none" w:pos="10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acquiring or in-licensing, developing, obtaining regulatory approval for, and commercializing, new products, businesses or technologies, including any potential related milestone or royalty payments, together with the costs of pursuing opportunities that are not eventually consummated;</w:t>
      </w:r>
    </w:p>
    <w:p>
      <w:pPr>
        <w:spacing w:after="0" w:line="81"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investing in our facilities, equipment, and technology infrastructure;</w:t>
      </w:r>
    </w:p>
    <w:p>
      <w:pPr>
        <w:spacing w:after="0" w:line="122" w:lineRule="exact"/>
        <w:rPr>
          <w:rFonts w:ascii="Times New Roman" w:cs="Times New Roman" w:eastAsia="Times New Roman" w:hAnsi="Times New Roman"/>
          <w:sz w:val="20"/>
          <w:szCs w:val="20"/>
          <w:color w:val="auto"/>
        </w:rPr>
      </w:pPr>
    </w:p>
    <w:p>
      <w:pPr>
        <w:ind w:left="1060" w:right="300" w:hanging="346"/>
        <w:spacing w:after="0" w:line="271" w:lineRule="auto"/>
        <w:tabs>
          <w:tab w:leader="none" w:pos="10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and timing of establishing or amending manufacturing and supply arrangements for commercial supplies of our products and raw materials and components;</w:t>
      </w:r>
    </w:p>
    <w:p>
      <w:pPr>
        <w:spacing w:after="0" w:line="68" w:lineRule="exact"/>
        <w:rPr>
          <w:rFonts w:ascii="Times New Roman" w:cs="Times New Roman" w:eastAsia="Times New Roman" w:hAnsi="Times New Roman"/>
          <w:sz w:val="20"/>
          <w:szCs w:val="20"/>
          <w:color w:val="auto"/>
        </w:rPr>
      </w:pPr>
    </w:p>
    <w:p>
      <w:pPr>
        <w:ind w:left="1060" w:right="160" w:hanging="346"/>
        <w:spacing w:after="0" w:line="271" w:lineRule="auto"/>
        <w:tabs>
          <w:tab w:leader="none" w:pos="10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have products manufactured and released from manufacturing sites in a timely manner in the future, or to manufacture products at our in-house manufacturing facilities in amounts sufficient to meet our supply needs;</w:t>
      </w:r>
    </w:p>
    <w:p>
      <w:pPr>
        <w:spacing w:after="0" w:line="68" w:lineRule="exact"/>
        <w:rPr>
          <w:rFonts w:ascii="Times New Roman" w:cs="Times New Roman" w:eastAsia="Times New Roman" w:hAnsi="Times New Roman"/>
          <w:sz w:val="20"/>
          <w:szCs w:val="20"/>
          <w:color w:val="auto"/>
        </w:rPr>
      </w:pPr>
    </w:p>
    <w:p>
      <w:pPr>
        <w:ind w:left="1060" w:right="160" w:hanging="346"/>
        <w:spacing w:after="0" w:line="298" w:lineRule="auto"/>
        <w:tabs>
          <w:tab w:leader="none" w:pos="106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costs of further commercialization of our existing products, particularly in international markets, including product marketing, sales and distribution and whether we obtain local partners to help share such commercialization costs;</w:t>
      </w:r>
    </w:p>
    <w:p>
      <w:pPr>
        <w:spacing w:after="0" w:line="45" w:lineRule="exact"/>
        <w:rPr>
          <w:rFonts w:ascii="Times New Roman" w:cs="Times New Roman" w:eastAsia="Times New Roman" w:hAnsi="Times New Roman"/>
          <w:sz w:val="19"/>
          <w:szCs w:val="19"/>
          <w:color w:val="auto"/>
        </w:rPr>
      </w:pPr>
    </w:p>
    <w:p>
      <w:pPr>
        <w:ind w:left="1060" w:hanging="346"/>
        <w:spacing w:after="0" w:line="258" w:lineRule="auto"/>
        <w:tabs>
          <w:tab w:leader="none" w:pos="10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legal costs relating to maintaining, expanding and enforcing our intellectual property portfolio, pursuing insurance or other claims and defending against product liability, regulatory compliance, intellectual property or other claims, including the patent infringement claim related to the filing of our ANDA for PNT2003;</w:t>
      </w:r>
    </w:p>
    <w:p>
      <w:pPr>
        <w:spacing w:after="0" w:line="81"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interest on any additional borrowings which we may incur under our financing arrangements; and</w:t>
      </w:r>
    </w:p>
    <w:p>
      <w:pPr>
        <w:spacing w:after="0" w:line="122" w:lineRule="exact"/>
        <w:rPr>
          <w:rFonts w:ascii="Times New Roman" w:cs="Times New Roman" w:eastAsia="Times New Roman" w:hAnsi="Times New Roman"/>
          <w:sz w:val="20"/>
          <w:szCs w:val="20"/>
          <w:color w:val="auto"/>
        </w:rPr>
      </w:pPr>
    </w:p>
    <w:p>
      <w:pPr>
        <w:ind w:left="1060" w:hanging="346"/>
        <w:spacing w:after="0"/>
        <w:tabs>
          <w:tab w:leader="none" w:pos="10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sustained inflation on our costs of goods sold and operating expenses.</w:t>
      </w:r>
    </w:p>
    <w:p>
      <w:pPr>
        <w:sectPr>
          <w:pgSz w:w="11880" w:h="15480" w:orient="portrait"/>
          <w:cols w:equalWidth="0" w:num="1">
            <w:col w:w="10580"/>
          </w:cols>
          <w:pgMar w:left="640" w:top="622"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71</w:t>
      </w:r>
    </w:p>
    <w:p>
      <w:pPr>
        <w:sectPr>
          <w:pgSz w:w="11880" w:h="15480" w:orient="portrait"/>
          <w:cols w:equalWidth="0" w:num="1">
            <w:col w:w="10580"/>
          </w:cols>
          <w:pgMar w:left="640" w:top="622" w:right="660" w:bottom="0" w:gutter="0" w:footer="0" w:header="0"/>
          <w:type w:val="continuous"/>
        </w:sectPr>
      </w:pPr>
    </w:p>
    <w:bookmarkStart w:id="77" w:name="page78"/>
    <w:bookmarkEnd w:id="77"/>
    <w:p>
      <w:pPr>
        <w:ind w:right="240" w:firstLine="441"/>
        <w:spacing w:after="0" w:line="252" w:lineRule="auto"/>
        <w:rPr>
          <w:sz w:val="20"/>
          <w:szCs w:val="20"/>
          <w:color w:val="auto"/>
        </w:rPr>
      </w:pPr>
      <w:r>
        <w:rPr>
          <w:rFonts w:ascii="Times New Roman" w:cs="Times New Roman" w:eastAsia="Times New Roman" w:hAnsi="Times New Roman"/>
          <w:sz w:val="20"/>
          <w:szCs w:val="20"/>
          <w:color w:val="auto"/>
        </w:rPr>
        <w:t>Disruption in our financial performance could occur if we experience significant adverse changes in product or customer mix, broad economic downturns, sustained inflation, adverse industry or company conditions or catastrophic external events, including pandemics, natural disasters and political or military conflict. If we experience one or more of these events in the future, we may be required to further implement expense reductions, such as a delay or elimination of discretionary spending in all functional areas, as well as scaling back select operating and strategic initiatives.</w:t>
      </w:r>
    </w:p>
    <w:p>
      <w:pPr>
        <w:spacing w:after="0" w:line="204" w:lineRule="exact"/>
        <w:rPr>
          <w:sz w:val="20"/>
          <w:szCs w:val="20"/>
          <w:color w:val="auto"/>
        </w:rPr>
      </w:pPr>
    </w:p>
    <w:p>
      <w:pPr>
        <w:ind w:right="100" w:firstLine="441"/>
        <w:spacing w:after="0" w:line="249" w:lineRule="auto"/>
        <w:rPr>
          <w:sz w:val="20"/>
          <w:szCs w:val="20"/>
          <w:color w:val="auto"/>
        </w:rPr>
      </w:pPr>
      <w:r>
        <w:rPr>
          <w:rFonts w:ascii="Times New Roman" w:cs="Times New Roman" w:eastAsia="Times New Roman" w:hAnsi="Times New Roman"/>
          <w:sz w:val="20"/>
          <w:szCs w:val="20"/>
          <w:color w:val="auto"/>
        </w:rPr>
        <w:t>If our capital resources become insufficient to meet our future capital requirements, we would need to finance our cash needs through public or private equity offerings, debt financings, assets securitizations, sale-leasebacks or other financing or strategic alternatives, to the extent such transactions are permissible under the covenants of our 2022 Credit Agreement. Additional equity or debt financing, or other transactions, may not be available on acceptable terms, if at all. If any of these transactions require an amendment or waiver under the covenants in our 2022 Credit Agreement, which could result in additional expenses associated with obtaining the amendment or waiver, we will seek to obtain such an amendment or waiver to remain in compliance with those covenants. However, we cannot provide assurance that such an amendment or waiver would be granted, or that additional capital will be available on acceptable terms, if at all.</w:t>
      </w:r>
    </w:p>
    <w:p>
      <w:pPr>
        <w:spacing w:after="0" w:line="208" w:lineRule="exact"/>
        <w:rPr>
          <w:sz w:val="20"/>
          <w:szCs w:val="20"/>
          <w:color w:val="auto"/>
        </w:rPr>
      </w:pPr>
    </w:p>
    <w:p>
      <w:pPr>
        <w:ind w:right="60" w:firstLine="441"/>
        <w:spacing w:after="0" w:line="250" w:lineRule="auto"/>
        <w:rPr>
          <w:sz w:val="20"/>
          <w:szCs w:val="20"/>
          <w:color w:val="auto"/>
        </w:rPr>
      </w:pPr>
      <w:r>
        <w:rPr>
          <w:rFonts w:ascii="Times New Roman" w:cs="Times New Roman" w:eastAsia="Times New Roman" w:hAnsi="Times New Roman"/>
          <w:sz w:val="20"/>
          <w:szCs w:val="20"/>
          <w:color w:val="auto"/>
        </w:rPr>
        <w:t>At December 31, 2024, our only current committed external source of funds is our borrowing availability under our 2022 Revolving Facility. We had $912.8 million of cash and cash equivalents as of December 31, 2024. Our 2022 Revolving Facility contains a number of affirmative, negative, reporting and financial covenants, in each case subject to certain exceptions and materiality thresholds. Incremental borrowings under the 2022 Revolving Facility may affect our ability to comply with the covenants including the financial covenants restricting consolidated net leverage and interest coverage. Accordingly, we may be limited in utilizing the full amount of our 2022 Revolving Facility as a source of liquidity.</w:t>
      </w:r>
    </w:p>
    <w:p>
      <w:pPr>
        <w:spacing w:after="0" w:line="209" w:lineRule="exact"/>
        <w:rPr>
          <w:sz w:val="20"/>
          <w:szCs w:val="20"/>
          <w:color w:val="auto"/>
        </w:rPr>
      </w:pPr>
    </w:p>
    <w:p>
      <w:pPr>
        <w:ind w:right="280" w:firstLine="441"/>
        <w:spacing w:after="0" w:line="254" w:lineRule="auto"/>
        <w:rPr>
          <w:sz w:val="20"/>
          <w:szCs w:val="20"/>
          <w:color w:val="auto"/>
        </w:rPr>
      </w:pPr>
      <w:r>
        <w:rPr>
          <w:rFonts w:ascii="Times New Roman" w:cs="Times New Roman" w:eastAsia="Times New Roman" w:hAnsi="Times New Roman"/>
          <w:sz w:val="20"/>
          <w:szCs w:val="20"/>
          <w:color w:val="auto"/>
        </w:rPr>
        <w:t>Based on our current operating plans, we believe our balance of cash and cash equivalents, which totaled $912.8 million as of December 31, 2024, along with cash generated by ongoing operations and continued access to our 2022 Revolving Facility, will be sufficient to satisfy our cash requirements over the next twelve months and beyond. Our material cash requirements include the following contractual and other obligations.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Debt</w:t>
      </w:r>
    </w:p>
    <w:p>
      <w:pPr>
        <w:spacing w:after="0" w:line="126" w:lineRule="exact"/>
        <w:rPr>
          <w:sz w:val="20"/>
          <w:szCs w:val="20"/>
          <w:color w:val="auto"/>
        </w:rPr>
      </w:pPr>
    </w:p>
    <w:p>
      <w:pPr>
        <w:ind w:firstLine="441"/>
        <w:spacing w:after="0" w:line="249" w:lineRule="auto"/>
        <w:rPr>
          <w:sz w:val="20"/>
          <w:szCs w:val="20"/>
          <w:color w:val="auto"/>
        </w:rPr>
      </w:pPr>
      <w:r>
        <w:rPr>
          <w:rFonts w:ascii="Times New Roman" w:cs="Times New Roman" w:eastAsia="Times New Roman" w:hAnsi="Times New Roman"/>
          <w:sz w:val="20"/>
          <w:szCs w:val="20"/>
          <w:color w:val="auto"/>
        </w:rPr>
        <w:t xml:space="preserve">We completed a sale of $575.0 million in aggregate principal amount of the Notes due in 2027. As of December 31, 2024, we had no amounts of principal due within the next twelve months. Future interest payments associated with the Notes total $44.6 million, with $15.1 million payable within twelve months. We may redeem for cash all or any portion of the Notes, at our option, on or after December 22, 2025 if the closing sale price per share of our common stock exceeds 130% of the conversion price of the Notes for a specified period of time. For more information on our cash requirements under the Notes, see Note 12, </w:t>
      </w:r>
      <w:r>
        <w:rPr>
          <w:rFonts w:ascii="Times New Roman" w:cs="Times New Roman" w:eastAsia="Times New Roman" w:hAnsi="Times New Roman"/>
          <w:sz w:val="20"/>
          <w:szCs w:val="20"/>
          <w:i w:val="1"/>
          <w:iCs w:val="1"/>
          <w:color w:val="auto"/>
        </w:rPr>
        <w:t>“Long-Term Debt, Net,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Other Borrowings” </w:t>
      </w:r>
      <w:r>
        <w:rPr>
          <w:rFonts w:ascii="Times New Roman" w:cs="Times New Roman" w:eastAsia="Times New Roman" w:hAnsi="Times New Roman"/>
          <w:sz w:val="20"/>
          <w:szCs w:val="20"/>
          <w:color w:val="auto"/>
        </w:rPr>
        <w:t>to our consolidated consolidated financial statements included in Part II, Item 8,</w:t>
      </w:r>
      <w:r>
        <w:rPr>
          <w:rFonts w:ascii="Times New Roman" w:cs="Times New Roman" w:eastAsia="Times New Roman" w:hAnsi="Times New Roman"/>
          <w:sz w:val="20"/>
          <w:szCs w:val="20"/>
          <w:i w:val="1"/>
          <w:iCs w:val="1"/>
          <w:color w:val="auto"/>
        </w:rPr>
        <w:t xml:space="preserve"> “Financial Statements and Supplementary Data” </w:t>
      </w:r>
      <w:r>
        <w:rPr>
          <w:rFonts w:ascii="Times New Roman" w:cs="Times New Roman" w:eastAsia="Times New Roman" w:hAnsi="Times New Roman"/>
          <w:sz w:val="20"/>
          <w:szCs w:val="20"/>
          <w:color w:val="auto"/>
        </w:rPr>
        <w:t>of this Form 10-K.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Leases</w:t>
      </w:r>
    </w:p>
    <w:p>
      <w:pPr>
        <w:spacing w:after="0" w:line="126" w:lineRule="exact"/>
        <w:rPr>
          <w:sz w:val="20"/>
          <w:szCs w:val="20"/>
          <w:color w:val="auto"/>
        </w:rPr>
      </w:pPr>
    </w:p>
    <w:p>
      <w:pPr>
        <w:ind w:right="220" w:firstLine="441"/>
        <w:spacing w:after="0" w:line="271" w:lineRule="auto"/>
        <w:rPr>
          <w:sz w:val="20"/>
          <w:szCs w:val="20"/>
          <w:color w:val="auto"/>
        </w:rPr>
      </w:pPr>
      <w:r>
        <w:rPr>
          <w:rFonts w:ascii="Times New Roman" w:cs="Times New Roman" w:eastAsia="Times New Roman" w:hAnsi="Times New Roman"/>
          <w:sz w:val="20"/>
          <w:szCs w:val="20"/>
          <w:color w:val="auto"/>
        </w:rPr>
        <w:t>We have operating lease arrangements for certain facilities, including corporate and manufacturing space. As of December 31, 2024, we had fixed operating lease payment obligations of $94.9 million, with $5.4 million payable within twelve months.</w:t>
      </w:r>
    </w:p>
    <w:p>
      <w:pPr>
        <w:spacing w:after="0" w:line="69" w:lineRule="exact"/>
        <w:rPr>
          <w:sz w:val="20"/>
          <w:szCs w:val="20"/>
          <w:color w:val="auto"/>
        </w:rPr>
      </w:pPr>
    </w:p>
    <w:p>
      <w:pPr>
        <w:ind w:right="20" w:firstLine="441"/>
        <w:spacing w:after="0" w:line="271" w:lineRule="auto"/>
        <w:rPr>
          <w:sz w:val="20"/>
          <w:szCs w:val="20"/>
          <w:color w:val="auto"/>
        </w:rPr>
      </w:pPr>
      <w:r>
        <w:rPr>
          <w:rFonts w:ascii="Times New Roman" w:cs="Times New Roman" w:eastAsia="Times New Roman" w:hAnsi="Times New Roman"/>
          <w:sz w:val="20"/>
          <w:szCs w:val="20"/>
          <w:color w:val="auto"/>
        </w:rPr>
        <w:t>We have lease arrangements for certain equipment. As of December 31, 2024, we had fixed finance lease payment obligations of $1.8 million, with $1.0 million payable within twelve months.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Purchase Obligations</w:t>
      </w:r>
    </w:p>
    <w:p>
      <w:pPr>
        <w:spacing w:after="0" w:line="126" w:lineRule="exact"/>
        <w:rPr>
          <w:sz w:val="20"/>
          <w:szCs w:val="20"/>
          <w:color w:val="auto"/>
        </w:rPr>
      </w:pPr>
    </w:p>
    <w:p>
      <w:pPr>
        <w:ind w:right="420" w:firstLine="441"/>
        <w:spacing w:after="0" w:line="258" w:lineRule="auto"/>
        <w:rPr>
          <w:sz w:val="20"/>
          <w:szCs w:val="20"/>
          <w:color w:val="auto"/>
        </w:rPr>
      </w:pPr>
      <w:r>
        <w:rPr>
          <w:rFonts w:ascii="Times New Roman" w:cs="Times New Roman" w:eastAsia="Times New Roman" w:hAnsi="Times New Roman"/>
          <w:sz w:val="20"/>
          <w:szCs w:val="20"/>
          <w:color w:val="auto"/>
        </w:rPr>
        <w:t>We have purchase obligations that primarily consist of noncancelable obligations related to minimum quantities of goods or services that have been committed to be purchased on an annual basis. As of December 31, 2024, we had minimum purchase obligations of $11.3 million, with $5.9 million due within twelve months.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License Agreements</w:t>
      </w:r>
    </w:p>
    <w:p>
      <w:pPr>
        <w:spacing w:after="0" w:line="126" w:lineRule="exact"/>
        <w:rPr>
          <w:sz w:val="20"/>
          <w:szCs w:val="20"/>
          <w:color w:val="auto"/>
        </w:rPr>
      </w:pPr>
    </w:p>
    <w:p>
      <w:pPr>
        <w:ind w:right="100" w:firstLine="441"/>
        <w:spacing w:after="0" w:line="268" w:lineRule="auto"/>
        <w:rPr>
          <w:sz w:val="20"/>
          <w:szCs w:val="20"/>
          <w:color w:val="auto"/>
        </w:rPr>
      </w:pPr>
      <w:r>
        <w:rPr>
          <w:rFonts w:ascii="Times New Roman" w:cs="Times New Roman" w:eastAsia="Times New Roman" w:hAnsi="Times New Roman"/>
          <w:sz w:val="19"/>
          <w:szCs w:val="19"/>
          <w:color w:val="auto"/>
        </w:rPr>
        <w:t>We have entered into license agreements in which fixed payments have been committed to be paid on an annual basis. As of December 31, 2024, we had no amount of fixed license payments due within twelve months. These amounts do not include potential milestone or contractual payment obligations contingent upon the achievement or occurrence of future milestones or events under our license agreements, because they are contingent and the amounts and timing of such potential obligations are unknown or uncertain. We may be required to pay approximately $3.7 billion in contingent payments under our license agreements.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Asset Acquisitions</w:t>
      </w:r>
    </w:p>
    <w:p>
      <w:pPr>
        <w:spacing w:after="0" w:line="126" w:lineRule="exact"/>
        <w:rPr>
          <w:sz w:val="20"/>
          <w:szCs w:val="20"/>
          <w:color w:val="auto"/>
        </w:rPr>
      </w:pPr>
    </w:p>
    <w:p>
      <w:pPr>
        <w:ind w:right="20" w:firstLine="441"/>
        <w:spacing w:after="0" w:line="298" w:lineRule="auto"/>
        <w:rPr>
          <w:sz w:val="20"/>
          <w:szCs w:val="20"/>
          <w:color w:val="auto"/>
        </w:rPr>
      </w:pPr>
      <w:r>
        <w:rPr>
          <w:rFonts w:ascii="Times New Roman" w:cs="Times New Roman" w:eastAsia="Times New Roman" w:hAnsi="Times New Roman"/>
          <w:sz w:val="19"/>
          <w:szCs w:val="19"/>
          <w:color w:val="auto"/>
        </w:rPr>
        <w:t>During 2022, we entered into the POINT License Agreements, in which we made upfront payments of $260.0 million, and under which we may make additional milestone payments. The additional milestone payments are based on FDA approval and net sales and</w:t>
      </w:r>
    </w:p>
    <w:p>
      <w:pPr>
        <w:sectPr>
          <w:pgSz w:w="11880" w:h="15480" w:orient="portrait"/>
          <w:cols w:equalWidth="0" w:num="1">
            <w:col w:w="10580"/>
          </w:cols>
          <w:pgMar w:left="640" w:top="622" w:right="660" w:bottom="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72</w:t>
      </w:r>
    </w:p>
    <w:p>
      <w:pPr>
        <w:sectPr>
          <w:pgSz w:w="11880" w:h="15480" w:orient="portrait"/>
          <w:cols w:equalWidth="0" w:num="1">
            <w:col w:w="10580"/>
          </w:cols>
          <w:pgMar w:left="640" w:top="622" w:right="660" w:bottom="0" w:gutter="0" w:footer="0" w:header="0"/>
          <w:type w:val="continuous"/>
        </w:sectPr>
      </w:pPr>
    </w:p>
    <w:bookmarkStart w:id="78" w:name="page79"/>
    <w:bookmarkEnd w:id="78"/>
    <w:p>
      <w:pPr>
        <w:ind w:right="20"/>
        <w:spacing w:after="0" w:line="250" w:lineRule="auto"/>
        <w:rPr>
          <w:sz w:val="20"/>
          <w:szCs w:val="20"/>
          <w:color w:val="auto"/>
        </w:rPr>
      </w:pPr>
      <w:r>
        <w:rPr>
          <w:rFonts w:ascii="Times New Roman" w:cs="Times New Roman" w:eastAsia="Times New Roman" w:hAnsi="Times New Roman"/>
          <w:sz w:val="20"/>
          <w:szCs w:val="20"/>
          <w:color w:val="auto"/>
        </w:rPr>
        <w:t>commercial milestones. Under the terms of the PNT2002 License Agreement, we have the potential to pay up to an additional $281.0 million in milestone payments and up to $1.3 billion in sales milestone payments upon the achievement of specified annual sales thresholds. Under the terms of the PNT2003 License Agreement, we have the potential to pay an additional $34.5 million in milestone payments and up to $275.0 million in sales milestone payments upon the achievement of specified annual sales thresholds. In total, we may be required to pay up to approximately $1.8 billion related to the asset acquisition. As of December 31, 2024, these contingent payments were not expected to be payable due to the uncertainty around the timing of the future cash flows.</w:t>
      </w:r>
    </w:p>
    <w:p>
      <w:pPr>
        <w:spacing w:after="0" w:line="91" w:lineRule="exact"/>
        <w:rPr>
          <w:sz w:val="20"/>
          <w:szCs w:val="20"/>
          <w:color w:val="auto"/>
        </w:rPr>
      </w:pPr>
    </w:p>
    <w:p>
      <w:pPr>
        <w:ind w:right="160" w:firstLine="441"/>
        <w:spacing w:after="0" w:line="264" w:lineRule="auto"/>
        <w:rPr>
          <w:sz w:val="20"/>
          <w:szCs w:val="20"/>
          <w:color w:val="auto"/>
        </w:rPr>
      </w:pPr>
      <w:r>
        <w:rPr>
          <w:rFonts w:ascii="Times New Roman" w:cs="Times New Roman" w:eastAsia="Times New Roman" w:hAnsi="Times New Roman"/>
          <w:sz w:val="19"/>
          <w:szCs w:val="19"/>
          <w:color w:val="auto"/>
        </w:rPr>
        <w:t>On February 6, 2023, we acquired Cerveau and made an upfront payment of approximately $35.3 million to the Cerveau Stockholders. We paid the Cerveau Stockholders an additional $10.0 million in May 2023 upon the successful completion of a technology transfer. We could pay up to an additional $51.0 million in milestone payments upon achievement of specified U.S. regulatory milestones related to MK-6240. The Cerveau Stockholders are also eligible to receive up to $1.2 billion in sales milestone payments upon the achievement of specified annual commercial sales thresholds of MK-6240, as well as up to $13.5 million in research revenue milestones upon achievement of specified annual research revenue thresholds. Finally, we will pay to the Cerveau Stockholders up to double-digit royalty payments for research revenue and commercial sales. As of December 31, 2024, these contingent payments were not expected to be payable due to the uncertainty around the timing of the future cash flows.</w:t>
      </w:r>
    </w:p>
    <w:p>
      <w:pPr>
        <w:spacing w:after="0" w:line="135" w:lineRule="exact"/>
        <w:rPr>
          <w:sz w:val="20"/>
          <w:szCs w:val="20"/>
          <w:color w:val="auto"/>
        </w:rPr>
      </w:pPr>
    </w:p>
    <w:p>
      <w:pPr>
        <w:ind w:firstLine="441"/>
        <w:spacing w:after="0" w:line="263" w:lineRule="auto"/>
        <w:rPr>
          <w:sz w:val="20"/>
          <w:szCs w:val="20"/>
          <w:color w:val="auto"/>
        </w:rPr>
      </w:pPr>
      <w:r>
        <w:rPr>
          <w:rFonts w:ascii="Times New Roman" w:cs="Times New Roman" w:eastAsia="Times New Roman" w:hAnsi="Times New Roman"/>
          <w:sz w:val="19"/>
          <w:szCs w:val="19"/>
          <w:color w:val="auto"/>
        </w:rPr>
        <w:t>On June 18, 2024, we acquired Meilleur, including its asset NAV-4694, an investigational F-18-labeled PET imaging agent that targets beta amyloids in Alzheimer’s disease. We made an upfront payment of approximately $32.9 million to the Meilleur Stockholders on June 18, 2024 and paid an additional $10.0 million in August 2024 after the successful completion of a technology transfer. We could pay up to an additional $43.0 million in milestone payments upon achievement of specified U.S. regulatory milestones related to NAV-4694. The Meilleur Stockholders are also eligible to receive up to $830.0 million in sales milestone payments upon the achievement of specified annual commercial sales thresholds of NAV-4694 as well as up to $4.0 million in remaining research milestones upon achievement of specified clinical studies at academic institutions thresholds. Additionally, we could pay the Meilleur Stockholders up to double-digit royalty payments for research revenue and commercial sales. As of December 31, 2024, these contingent payments were not expected to be payable due to the uncertainty around the timing of the future cash flows.</w:t>
      </w:r>
    </w:p>
    <w:p>
      <w:pPr>
        <w:spacing w:after="0" w:line="77" w:lineRule="exact"/>
        <w:rPr>
          <w:sz w:val="20"/>
          <w:szCs w:val="20"/>
          <w:color w:val="auto"/>
        </w:rPr>
      </w:pPr>
    </w:p>
    <w:p>
      <w:pPr>
        <w:ind w:right="300" w:firstLine="441"/>
        <w:spacing w:after="0" w:line="243" w:lineRule="auto"/>
        <w:rPr>
          <w:sz w:val="20"/>
          <w:szCs w:val="20"/>
          <w:color w:val="auto"/>
        </w:rPr>
      </w:pPr>
      <w:r>
        <w:rPr>
          <w:rFonts w:ascii="Times New Roman" w:cs="Times New Roman" w:eastAsia="Times New Roman" w:hAnsi="Times New Roman"/>
          <w:sz w:val="20"/>
          <w:szCs w:val="20"/>
          <w:color w:val="auto"/>
        </w:rPr>
        <w:t xml:space="preserve">For further information on possible funding requirements resulting from our asset acquisitions, see Note 21, </w:t>
      </w:r>
      <w:r>
        <w:rPr>
          <w:rFonts w:ascii="Times New Roman" w:cs="Times New Roman" w:eastAsia="Times New Roman" w:hAnsi="Times New Roman"/>
          <w:sz w:val="20"/>
          <w:szCs w:val="20"/>
          <w:i w:val="1"/>
          <w:iCs w:val="1"/>
          <w:color w:val="auto"/>
        </w:rPr>
        <w:t>"Acquisition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Assets" </w:t>
      </w:r>
      <w:r>
        <w:rPr>
          <w:rFonts w:ascii="Times New Roman" w:cs="Times New Roman" w:eastAsia="Times New Roman" w:hAnsi="Times New Roman"/>
          <w:sz w:val="20"/>
          <w:szCs w:val="20"/>
          <w:color w:val="auto"/>
        </w:rPr>
        <w:t>to our consolidated consolidated financial statements included in Part II, Item 8,</w:t>
      </w:r>
      <w:r>
        <w:rPr>
          <w:rFonts w:ascii="Times New Roman" w:cs="Times New Roman" w:eastAsia="Times New Roman" w:hAnsi="Times New Roman"/>
          <w:sz w:val="20"/>
          <w:szCs w:val="20"/>
          <w:i w:val="1"/>
          <w:iCs w:val="1"/>
          <w:color w:val="auto"/>
        </w:rPr>
        <w:t xml:space="preserve"> “Financial Statements and Supplementary Data” </w:t>
      </w:r>
      <w:r>
        <w:rPr>
          <w:rFonts w:ascii="Times New Roman" w:cs="Times New Roman" w:eastAsia="Times New Roman" w:hAnsi="Times New Roman"/>
          <w:sz w:val="20"/>
          <w:szCs w:val="20"/>
          <w:color w:val="auto"/>
        </w:rPr>
        <w:t>of this Form 10-K.</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Long-Term Liabilities</w:t>
      </w:r>
    </w:p>
    <w:p>
      <w:pPr>
        <w:spacing w:after="0" w:line="126" w:lineRule="exact"/>
        <w:rPr>
          <w:sz w:val="20"/>
          <w:szCs w:val="20"/>
          <w:color w:val="auto"/>
        </w:rPr>
      </w:pPr>
    </w:p>
    <w:p>
      <w:pPr>
        <w:ind w:right="60" w:firstLine="441"/>
        <w:spacing w:after="0" w:line="271" w:lineRule="auto"/>
        <w:rPr>
          <w:sz w:val="20"/>
          <w:szCs w:val="20"/>
          <w:color w:val="auto"/>
        </w:rPr>
      </w:pPr>
      <w:r>
        <w:rPr>
          <w:rFonts w:ascii="Times New Roman" w:cs="Times New Roman" w:eastAsia="Times New Roman" w:hAnsi="Times New Roman"/>
          <w:sz w:val="19"/>
          <w:szCs w:val="19"/>
          <w:color w:val="auto"/>
        </w:rPr>
        <w:t>Our other long-term liabilities in the consolidated balance sheet include the fair values of contingent consideration liabilities including contingent consideration liabilities related to a previous acquisition completed by Progenics in 2013. We may be required to pay up to approximately $85.0 million related to the contingent consideration. As of December 31, 2024, these contingent payments were not expected to be payable within twelve months due to the uncertainty around the timing of the future cash flows.</w:t>
      </w:r>
    </w:p>
    <w:p>
      <w:pPr>
        <w:spacing w:after="0" w:line="189" w:lineRule="exact"/>
        <w:rPr>
          <w:sz w:val="20"/>
          <w:szCs w:val="20"/>
          <w:color w:val="auto"/>
        </w:rPr>
      </w:pPr>
    </w:p>
    <w:p>
      <w:pPr>
        <w:ind w:right="420" w:firstLine="441"/>
        <w:spacing w:after="0" w:line="254" w:lineRule="auto"/>
        <w:rPr>
          <w:sz w:val="20"/>
          <w:szCs w:val="20"/>
          <w:color w:val="auto"/>
        </w:rPr>
      </w:pPr>
      <w:r>
        <w:rPr>
          <w:rFonts w:ascii="Times New Roman" w:cs="Times New Roman" w:eastAsia="Times New Roman" w:hAnsi="Times New Roman"/>
          <w:sz w:val="20"/>
          <w:szCs w:val="20"/>
          <w:color w:val="auto"/>
        </w:rPr>
        <w:t>Our other long-term liabilities in the consolidated balance sheet include unrecognized tax benefits and related interest and penalties. As of December 31, 2024, we had unrecognized tax benefits of $7.3 million, which included interest and penalties, classified as noncurrent liabilities. At this time, we are unable to make a reasonably reliable estimate of the timing of payments in individual years in connection with these tax liabilities.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Asset Retirement Obligation</w:t>
      </w:r>
    </w:p>
    <w:p>
      <w:pPr>
        <w:spacing w:after="0" w:line="126" w:lineRule="exact"/>
        <w:rPr>
          <w:sz w:val="20"/>
          <w:szCs w:val="20"/>
          <w:color w:val="auto"/>
        </w:rPr>
      </w:pPr>
    </w:p>
    <w:p>
      <w:pPr>
        <w:ind w:right="60" w:firstLine="441"/>
        <w:spacing w:after="0" w:line="250" w:lineRule="auto"/>
        <w:rPr>
          <w:sz w:val="20"/>
          <w:szCs w:val="20"/>
          <w:color w:val="auto"/>
        </w:rPr>
      </w:pPr>
      <w:r>
        <w:rPr>
          <w:rFonts w:ascii="Times New Roman" w:cs="Times New Roman" w:eastAsia="Times New Roman" w:hAnsi="Times New Roman"/>
          <w:sz w:val="20"/>
          <w:szCs w:val="20"/>
          <w:color w:val="auto"/>
        </w:rPr>
        <w:t>We are required to provide the Massachusetts Department of Public Health financial assurance demonstrating our ability to fund the decommissioning of our North Billerica, Massachusetts production facility, upon closure. We have provided this financial assurance in the form of a $30.3 million surety bond (the “Surety Bond”). As of December 31, 2024, the liability for this decommissioning obligation, which was approximately $23.3 million, was measured at the present value of the obligation expected to be incurred of approximately $25.1 million. These contingent payments are not expected to be payable within twelve months due to the uncertainty around the timing of the future cash flows related to the decommissioning of our radioactive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As noted above, we have provided the Surety Bond to the Massachusetts Department of Public Health.</w:t>
      </w:r>
    </w:p>
    <w:p>
      <w:pPr>
        <w:spacing w:after="0" w:line="240" w:lineRule="exact"/>
        <w:rPr>
          <w:sz w:val="20"/>
          <w:szCs w:val="20"/>
          <w:color w:val="auto"/>
        </w:rPr>
      </w:pPr>
    </w:p>
    <w:p>
      <w:pPr>
        <w:ind w:right="80" w:firstLine="441"/>
        <w:spacing w:after="0" w:line="271" w:lineRule="auto"/>
        <w:rPr>
          <w:sz w:val="20"/>
          <w:szCs w:val="20"/>
          <w:color w:val="auto"/>
        </w:rPr>
      </w:pPr>
      <w:r>
        <w:rPr>
          <w:rFonts w:ascii="Times New Roman" w:cs="Times New Roman" w:eastAsia="Times New Roman" w:hAnsi="Times New Roman"/>
          <w:sz w:val="20"/>
          <w:szCs w:val="20"/>
          <w:color w:val="auto"/>
        </w:rPr>
        <w:t>Since inception, we have not engaged in any other off-balance sheet arrangements, including structured finance, special purpose entities, or variable interest entities.</w:t>
      </w:r>
    </w:p>
    <w:p>
      <w:pPr>
        <w:sectPr>
          <w:pgSz w:w="11880" w:h="15480" w:orient="portrait"/>
          <w:cols w:equalWidth="0" w:num="1">
            <w:col w:w="10580"/>
          </w:cols>
          <w:pgMar w:left="640" w:top="622"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73</w:t>
      </w:r>
    </w:p>
    <w:p>
      <w:pPr>
        <w:sectPr>
          <w:pgSz w:w="11880" w:h="15480" w:orient="portrait"/>
          <w:cols w:equalWidth="0" w:num="1">
            <w:col w:w="10580"/>
          </w:cols>
          <w:pgMar w:left="640" w:top="622" w:right="660" w:bottom="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20"/>
          <w:szCs w:val="20"/>
          <w:b w:val="1"/>
          <w:bCs w:val="1"/>
          <w:color w:val="auto"/>
        </w:rPr>
        <w:t>Effects of Inflation</w:t>
      </w:r>
    </w:p>
    <w:p>
      <w:pPr>
        <w:spacing w:after="0" w:line="130" w:lineRule="exact"/>
        <w:rPr>
          <w:sz w:val="20"/>
          <w:szCs w:val="20"/>
          <w:color w:val="auto"/>
        </w:rPr>
      </w:pPr>
    </w:p>
    <w:p>
      <w:pPr>
        <w:ind w:right="20" w:firstLine="441"/>
        <w:spacing w:after="0" w:line="249" w:lineRule="auto"/>
        <w:rPr>
          <w:sz w:val="20"/>
          <w:szCs w:val="20"/>
          <w:color w:val="auto"/>
        </w:rPr>
      </w:pPr>
      <w:r>
        <w:rPr>
          <w:rFonts w:ascii="Times New Roman" w:cs="Times New Roman" w:eastAsia="Times New Roman" w:hAnsi="Times New Roman"/>
          <w:sz w:val="20"/>
          <w:szCs w:val="20"/>
          <w:color w:val="auto"/>
        </w:rPr>
        <w:t>We do not believe that inflation has had a significant impact on our results of operations. We expect our cost of product sales and other operating expenses will change in the future in line with periodic inflationary changes in price levels. Because we intend to retain and continue to use our property and equipment, we believe that the incremental inflation related to the replacement costs of those items will not materially affect our operations. However, the rate of inflation affects our expenses, such as those for employee compensation and contract services, which could increase our level of expenses and the rate at which we use our resources. While we generally believe that we will be able to offset some of the effect of price-level changes by adjusting our product prices and implementing operating efficiencies, any material unfavorable changes in price levels could have a material adverse effect on our financial condition, results of operations and cash flows.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Standards</w:t>
      </w:r>
    </w:p>
    <w:p>
      <w:pPr>
        <w:spacing w:after="0" w:line="127" w:lineRule="exact"/>
        <w:rPr>
          <w:sz w:val="20"/>
          <w:szCs w:val="20"/>
          <w:color w:val="auto"/>
        </w:rPr>
      </w:pPr>
    </w:p>
    <w:p>
      <w:pPr>
        <w:jc w:val="both"/>
        <w:ind w:right="180" w:firstLine="441"/>
        <w:spacing w:after="0" w:line="260" w:lineRule="auto"/>
        <w:rPr>
          <w:sz w:val="20"/>
          <w:szCs w:val="20"/>
          <w:color w:val="auto"/>
        </w:rPr>
      </w:pPr>
      <w:r>
        <w:rPr>
          <w:rFonts w:ascii="Times New Roman" w:cs="Times New Roman" w:eastAsia="Times New Roman" w:hAnsi="Times New Roman"/>
          <w:sz w:val="20"/>
          <w:szCs w:val="20"/>
          <w:color w:val="auto"/>
        </w:rPr>
        <w:t xml:space="preserve">Refer to Note 2, </w:t>
      </w:r>
      <w:r>
        <w:rPr>
          <w:rFonts w:ascii="Times New Roman" w:cs="Times New Roman" w:eastAsia="Times New Roman" w:hAnsi="Times New Roman"/>
          <w:sz w:val="20"/>
          <w:szCs w:val="20"/>
          <w:i w:val="1"/>
          <w:iCs w:val="1"/>
          <w:color w:val="auto"/>
        </w:rPr>
        <w:t>“Summary of Significant Accounting Policies,”</w:t>
      </w:r>
      <w:r>
        <w:rPr>
          <w:rFonts w:ascii="Times New Roman" w:cs="Times New Roman" w:eastAsia="Times New Roman" w:hAnsi="Times New Roman"/>
          <w:sz w:val="20"/>
          <w:szCs w:val="20"/>
          <w:color w:val="auto"/>
        </w:rPr>
        <w:t xml:space="preserve"> in the accompanying consolidated financial statements located under Item 8 of this Form 10-K for information regarding recently issued accounting standards that may have a significant impact on our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w:t>
      </w:r>
    </w:p>
    <w:p>
      <w:pPr>
        <w:spacing w:after="0" w:line="130" w:lineRule="exact"/>
        <w:rPr>
          <w:sz w:val="20"/>
          <w:szCs w:val="20"/>
          <w:color w:val="auto"/>
        </w:rPr>
      </w:pPr>
    </w:p>
    <w:p>
      <w:pPr>
        <w:ind w:right="40" w:firstLine="441"/>
        <w:spacing w:after="0" w:line="250" w:lineRule="auto"/>
        <w:rPr>
          <w:sz w:val="20"/>
          <w:szCs w:val="20"/>
          <w:color w:val="auto"/>
        </w:rPr>
      </w:pPr>
      <w:r>
        <w:rPr>
          <w:rFonts w:ascii="Times New Roman" w:cs="Times New Roman" w:eastAsia="Times New Roman" w:hAnsi="Times New Roman"/>
          <w:sz w:val="20"/>
          <w:szCs w:val="20"/>
          <w:color w:val="auto"/>
        </w:rPr>
        <w:t>The discussion and analysis of our financial condition and results of operations are based on our consolidated financial statements, which have been prepared in accordance with generally accepted accounting principles in the United States. The preparation of these consolidated financial statements require us to make estimates and judgments that affect our reported assets and liabilities, revenues and expenses, and other financial information. Actual results may differ materially from these estimates under different assumptions and conditions. In addition, our reported financial condition and results of operations could vary due to a change in the application of a particular accounting standard.</w:t>
      </w:r>
    </w:p>
    <w:p>
      <w:pPr>
        <w:spacing w:after="0" w:line="209" w:lineRule="exact"/>
        <w:rPr>
          <w:sz w:val="20"/>
          <w:szCs w:val="20"/>
          <w:color w:val="auto"/>
        </w:rPr>
      </w:pPr>
    </w:p>
    <w:p>
      <w:pPr>
        <w:ind w:right="800" w:firstLine="441"/>
        <w:spacing w:after="0" w:line="429" w:lineRule="auto"/>
        <w:rPr>
          <w:sz w:val="20"/>
          <w:szCs w:val="20"/>
          <w:color w:val="auto"/>
        </w:rPr>
      </w:pPr>
      <w:r>
        <w:rPr>
          <w:rFonts w:ascii="Times New Roman" w:cs="Times New Roman" w:eastAsia="Times New Roman" w:hAnsi="Times New Roman"/>
          <w:sz w:val="20"/>
          <w:szCs w:val="20"/>
          <w:color w:val="auto"/>
        </w:rPr>
        <w:t xml:space="preserve">We believe the following represent our critical accounting estimates used in the preparation of our financial statements. </w:t>
      </w:r>
      <w:r>
        <w:rPr>
          <w:rFonts w:ascii="Times New Roman" w:cs="Times New Roman" w:eastAsia="Times New Roman" w:hAnsi="Times New Roman"/>
          <w:sz w:val="20"/>
          <w:szCs w:val="20"/>
          <w:b w:val="1"/>
          <w:bCs w:val="1"/>
          <w:i w:val="1"/>
          <w:iCs w:val="1"/>
          <w:color w:val="auto"/>
        </w:rPr>
        <w:t>Revenue from Contracts with Customers</w:t>
      </w:r>
    </w:p>
    <w:p>
      <w:pPr>
        <w:spacing w:after="0" w:line="1" w:lineRule="exact"/>
        <w:rPr>
          <w:sz w:val="20"/>
          <w:szCs w:val="20"/>
          <w:color w:val="auto"/>
        </w:rPr>
      </w:pPr>
    </w:p>
    <w:p>
      <w:pPr>
        <w:ind w:right="80" w:firstLine="441"/>
        <w:spacing w:after="0" w:line="249" w:lineRule="auto"/>
        <w:rPr>
          <w:sz w:val="20"/>
          <w:szCs w:val="20"/>
          <w:color w:val="auto"/>
        </w:rPr>
      </w:pPr>
      <w:r>
        <w:rPr>
          <w:rFonts w:ascii="Times New Roman" w:cs="Times New Roman" w:eastAsia="Times New Roman" w:hAnsi="Times New Roman"/>
          <w:sz w:val="20"/>
          <w:szCs w:val="20"/>
          <w:color w:val="auto"/>
        </w:rPr>
        <w:t>Revenue is measured based on a consideration specified in a contract with a customer, and excludes any sales incentives and amounts collected on behalf of third parties. We recognize revenue when we satisfy our performance obligations by transferring control over products or services to our customers. The amount of revenue we recognize reflects the consideration to which we expect to be entitled to receive in exchange for these goods or services. To achieve this core principle, we apply the following five steps: (1) identify the contracts with a customer; (2) identify the performance obligations in the contract; (3) determine the transaction price; (4) allocate the transaction price to the performance obligations in the contract; and (5) recognize revenue when (or as) we satisfy performance obligations.</w:t>
      </w:r>
    </w:p>
    <w:p>
      <w:pPr>
        <w:spacing w:after="0" w:line="211" w:lineRule="exact"/>
        <w:rPr>
          <w:sz w:val="20"/>
          <w:szCs w:val="20"/>
          <w:color w:val="auto"/>
        </w:rPr>
      </w:pPr>
    </w:p>
    <w:p>
      <w:pPr>
        <w:ind w:firstLine="441"/>
        <w:spacing w:after="0" w:line="265" w:lineRule="auto"/>
        <w:rPr>
          <w:sz w:val="20"/>
          <w:szCs w:val="20"/>
          <w:color w:val="auto"/>
        </w:rPr>
      </w:pPr>
      <w:r>
        <w:rPr>
          <w:rFonts w:ascii="Times New Roman" w:cs="Times New Roman" w:eastAsia="Times New Roman" w:hAnsi="Times New Roman"/>
          <w:sz w:val="19"/>
          <w:szCs w:val="19"/>
          <w:color w:val="auto"/>
        </w:rPr>
        <w:t>We derive our revenues through arrangements with customers for product sales, as well as licensing and royalty arrangements. We sell our products primarily to hospitals, independent diagnostic testing facilities, and radiopharmacies, and we consider customer purchase orders, which in some cases are governed by master sales or group purchasing organization agreements, to be contracts with our customers. In addition to these arrangements, we also enter into licensing agreements under which we license certain rights to third parties. The terms of these arrangements typically include payment to us of one or more of the following: non-refundable, up-front license fees; development, regulatory and commercial milestone payments; and royalties on net sales of licensed products. We analyze various factors requiring management judgment when applying the five-step model to our contracts with customers.</w:t>
      </w:r>
    </w:p>
    <w:p>
      <w:pPr>
        <w:spacing w:after="0" w:line="193" w:lineRule="exact"/>
        <w:rPr>
          <w:sz w:val="20"/>
          <w:szCs w:val="20"/>
          <w:color w:val="auto"/>
        </w:rPr>
      </w:pPr>
    </w:p>
    <w:p>
      <w:pPr>
        <w:ind w:right="20" w:firstLine="441"/>
        <w:spacing w:after="0" w:line="249" w:lineRule="auto"/>
        <w:rPr>
          <w:sz w:val="20"/>
          <w:szCs w:val="20"/>
          <w:color w:val="auto"/>
        </w:rPr>
      </w:pPr>
      <w:r>
        <w:rPr>
          <w:rFonts w:ascii="Times New Roman" w:cs="Times New Roman" w:eastAsia="Times New Roman" w:hAnsi="Times New Roman"/>
          <w:sz w:val="20"/>
          <w:szCs w:val="20"/>
          <w:color w:val="auto"/>
        </w:rPr>
        <w:t>Our product revenues are recorded at the net sales price (transaction price), which represents our sales price less estimates related to reserves which are established for items such as discounts, returns, rebates and allowances that may be provided for in certain contracts with our customers. Judgment is used in determining and updating our reserves on an ongoing basis, and where appropriate, these estimates take into consideration a range of possible outcomes which are probability-weighted for relevant factors such as our historical experience, current contractual and statutory requirements, specific known market events and trends, industry data and forecasted customer buying and payment patterns. Overall, these reserves reflect our best estimates of the amount of consideration to which it is entitled based on the terms of the contract. Actual amounts of consideration ultimately received may differ from our estimates.</w:t>
      </w:r>
    </w:p>
    <w:p>
      <w:pPr>
        <w:spacing w:after="0" w:line="208" w:lineRule="exact"/>
        <w:rPr>
          <w:sz w:val="20"/>
          <w:szCs w:val="20"/>
          <w:color w:val="auto"/>
        </w:rPr>
      </w:pPr>
    </w:p>
    <w:p>
      <w:pPr>
        <w:ind w:right="40" w:firstLine="441"/>
        <w:spacing w:after="0" w:line="252" w:lineRule="auto"/>
        <w:rPr>
          <w:sz w:val="20"/>
          <w:szCs w:val="20"/>
          <w:color w:val="auto"/>
        </w:rPr>
      </w:pPr>
      <w:r>
        <w:rPr>
          <w:rFonts w:ascii="Times New Roman" w:cs="Times New Roman" w:eastAsia="Times New Roman" w:hAnsi="Times New Roman"/>
          <w:sz w:val="20"/>
          <w:szCs w:val="20"/>
          <w:color w:val="auto"/>
        </w:rPr>
        <w:t>For our licensing and royalty arrangements, we use judgment in determining the number of performance obligations in a license agreement by assessing whether the license is distinct or should be combined with another performance obligation, as well as the nature of the license. As part of the accounting for these arrangements, we develop assumptions that require judgment to determine the stand-alone selling price for each performance obligation identified in a contract. These key assumptions may include market conditions, reimbursement rates for personnel costs, development timelines and probabilities of regulatory success.</w:t>
      </w:r>
    </w:p>
    <w:p>
      <w:pPr>
        <w:sectPr>
          <w:pgSz w:w="11880" w:h="15480" w:orient="portrait"/>
          <w:cols w:equalWidth="0" w:num="1">
            <w:col w:w="10600"/>
          </w:cols>
          <w:pgMar w:left="640" w:top="615"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880" w:h="15480" w:orient="portrait"/>
          <w:cols w:equalWidth="0" w:num="1">
            <w:col w:w="10600"/>
          </w:cols>
          <w:pgMar w:left="640" w:top="615" w:right="640" w:bottom="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Combinations</w:t>
      </w:r>
    </w:p>
    <w:p>
      <w:pPr>
        <w:spacing w:after="0" w:line="131" w:lineRule="exact"/>
        <w:rPr>
          <w:sz w:val="20"/>
          <w:szCs w:val="20"/>
          <w:color w:val="auto"/>
        </w:rPr>
      </w:pPr>
    </w:p>
    <w:p>
      <w:pPr>
        <w:ind w:right="60" w:firstLine="441"/>
        <w:spacing w:after="0" w:line="248" w:lineRule="auto"/>
        <w:rPr>
          <w:sz w:val="20"/>
          <w:szCs w:val="20"/>
          <w:color w:val="auto"/>
        </w:rPr>
      </w:pPr>
      <w:r>
        <w:rPr>
          <w:rFonts w:ascii="Times New Roman" w:cs="Times New Roman" w:eastAsia="Times New Roman" w:hAnsi="Times New Roman"/>
          <w:sz w:val="20"/>
          <w:szCs w:val="20"/>
          <w:color w:val="auto"/>
        </w:rPr>
        <w:t>We account for business combinations using the acquisition method of accounting. We recognize the assets acquired and liabilities assumed in business combinations on the basis of their fair values at the date of acquisition. We assess the fair value of assets acquired, including intangible assets, and liabilities assumed using a variety of methods. Each asset acquired and liability assumed is measured at fair value from the perspective of a market participant. The method used to estimate the fair values of intangible assets incorporates significant assumptions regarding the estimates a market participant would make in order to evaluate an asset, including a market participant’s use of the asset and the appropriate discount rates. Acquired IPR&amp;D is recognized at fair value and initially characterized as an indefinite-lived intangible asset, irrespective of whether the acquired IPR&amp;D has an alternative future use. Any excess purchase price over the fair value of the net tangible and intangible assets acquired is allocated to goodwill. Transaction costs and restructuring costs associated with a business combination are expensed as incurred.</w:t>
      </w:r>
    </w:p>
    <w:p>
      <w:pPr>
        <w:spacing w:after="0" w:line="213" w:lineRule="exact"/>
        <w:rPr>
          <w:sz w:val="20"/>
          <w:szCs w:val="20"/>
          <w:color w:val="auto"/>
        </w:rPr>
      </w:pPr>
    </w:p>
    <w:p>
      <w:pPr>
        <w:ind w:right="160" w:firstLine="441"/>
        <w:spacing w:after="0" w:line="252" w:lineRule="auto"/>
        <w:rPr>
          <w:sz w:val="20"/>
          <w:szCs w:val="20"/>
          <w:color w:val="auto"/>
        </w:rPr>
      </w:pPr>
      <w:r>
        <w:rPr>
          <w:rFonts w:ascii="Times New Roman" w:cs="Times New Roman" w:eastAsia="Times New Roman" w:hAnsi="Times New Roman"/>
          <w:sz w:val="20"/>
          <w:szCs w:val="20"/>
          <w:color w:val="auto"/>
        </w:rPr>
        <w:t>The fair values assigned to tangible and intangible assets acquired and liabilities assumed are based on our estimates and assumptions, as well as other information we have compiled, including valuations that utilize customary valuation procedures and techniques. If the actual results differ from the estimates and assumptions used in these estimates, it could result in a possible impairment of the intangible assets and goodwill, a required acceleration of the amortization expense of finite-lived intangible assets or the recognition of additional consideration, which would be expensed.</w:t>
      </w:r>
    </w:p>
    <w:p>
      <w:pPr>
        <w:spacing w:after="0" w:line="204" w:lineRule="exact"/>
        <w:rPr>
          <w:sz w:val="20"/>
          <w:szCs w:val="20"/>
          <w:color w:val="auto"/>
        </w:rPr>
      </w:pPr>
    </w:p>
    <w:p>
      <w:pPr>
        <w:ind w:right="300" w:firstLine="441"/>
        <w:spacing w:after="0" w:line="278" w:lineRule="auto"/>
        <w:rPr>
          <w:sz w:val="20"/>
          <w:szCs w:val="20"/>
          <w:color w:val="auto"/>
        </w:rPr>
      </w:pPr>
      <w:r>
        <w:rPr>
          <w:rFonts w:ascii="Times New Roman" w:cs="Times New Roman" w:eastAsia="Times New Roman" w:hAnsi="Times New Roman"/>
          <w:sz w:val="19"/>
          <w:szCs w:val="19"/>
          <w:color w:val="auto"/>
        </w:rPr>
        <w:t>During the measurement period, which extends no later than one year from the acquisition date, we may record certain adjustments to the carrying value of the assets acquired and liabilities assumed with the corresponding offset to goodwill. After the measurement period, all adjustments are recorded in the consolidated statements of operations as operating expenses or income.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 and Long-Lived Assets</w:t>
      </w:r>
    </w:p>
    <w:p>
      <w:pPr>
        <w:spacing w:after="0" w:line="131" w:lineRule="exact"/>
        <w:rPr>
          <w:sz w:val="20"/>
          <w:szCs w:val="20"/>
          <w:color w:val="auto"/>
        </w:rPr>
      </w:pPr>
    </w:p>
    <w:p>
      <w:pPr>
        <w:ind w:firstLine="441"/>
        <w:spacing w:after="0" w:line="249" w:lineRule="auto"/>
        <w:rPr>
          <w:sz w:val="20"/>
          <w:szCs w:val="20"/>
          <w:color w:val="auto"/>
        </w:rPr>
      </w:pPr>
      <w:r>
        <w:rPr>
          <w:rFonts w:ascii="Times New Roman" w:cs="Times New Roman" w:eastAsia="Times New Roman" w:hAnsi="Times New Roman"/>
          <w:sz w:val="20"/>
          <w:szCs w:val="20"/>
          <w:color w:val="auto"/>
        </w:rPr>
        <w:t>We test intangible and long-lived assets for recoverability whenever events or changes in circumstances suggest that the carrying value of an asset or group of assets may not be recoverable. We measure the recoverability of assets to be held and used by comparing the carrying amount of the asset to future undiscounted net cash flows expected to be generated by the asset. If those assets are considered to be impaired, the impairment equals the amount by which the carrying amount of the assets exceeds the fair value of the assets. Any impairments are recorded as permanent reductions in the carrying amount of the assets. Long-lived assets, other than goodwill and other intangible assets, that are held for sale are recorded at the lower of the carrying value or the fair market value less the estimated cost to sell.</w:t>
      </w:r>
    </w:p>
    <w:p>
      <w:pPr>
        <w:spacing w:after="0" w:line="211" w:lineRule="exact"/>
        <w:rPr>
          <w:sz w:val="20"/>
          <w:szCs w:val="20"/>
          <w:color w:val="auto"/>
        </w:rPr>
      </w:pPr>
    </w:p>
    <w:p>
      <w:pPr>
        <w:ind w:right="720" w:firstLine="441"/>
        <w:spacing w:after="0" w:line="298" w:lineRule="auto"/>
        <w:rPr>
          <w:sz w:val="20"/>
          <w:szCs w:val="20"/>
          <w:color w:val="auto"/>
        </w:rPr>
      </w:pPr>
      <w:r>
        <w:rPr>
          <w:rFonts w:ascii="Times New Roman" w:cs="Times New Roman" w:eastAsia="Times New Roman" w:hAnsi="Times New Roman"/>
          <w:sz w:val="19"/>
          <w:szCs w:val="19"/>
          <w:color w:val="auto"/>
        </w:rPr>
        <w:t>Intangible assets, consisting of trademarks, customer relationships, currently marketed products, licenses and developed technology are amortized in a method equivalent to the estimated utilization of the economic benefit of the asset.</w:t>
      </w:r>
    </w:p>
    <w:p>
      <w:pPr>
        <w:spacing w:after="0" w:line="163" w:lineRule="exact"/>
        <w:rPr>
          <w:sz w:val="20"/>
          <w:szCs w:val="20"/>
          <w:color w:val="auto"/>
        </w:rPr>
      </w:pPr>
    </w:p>
    <w:p>
      <w:pPr>
        <w:ind w:right="160" w:firstLine="441"/>
        <w:spacing w:after="0" w:line="254" w:lineRule="auto"/>
        <w:rPr>
          <w:sz w:val="20"/>
          <w:szCs w:val="20"/>
          <w:color w:val="auto"/>
        </w:rPr>
      </w:pPr>
      <w:r>
        <w:rPr>
          <w:rFonts w:ascii="Times New Roman" w:cs="Times New Roman" w:eastAsia="Times New Roman" w:hAnsi="Times New Roman"/>
          <w:sz w:val="20"/>
          <w:szCs w:val="20"/>
          <w:color w:val="auto"/>
        </w:rPr>
        <w:t>Costs of IPR&amp;D intangible assets acquired as part of an asset acquisition that have no alternative future use are expensed when incurred. Milestone payments made after regulatory approval are capitalized as an intangible asset and amortized over an estimated useful life of the product. Cash payments related to acquired IPR&amp;D intangible assets are reflected as an investing cash flow in the Company's consolidated statement of cash flows.</w:t>
      </w:r>
    </w:p>
    <w:p>
      <w:pPr>
        <w:spacing w:after="0" w:line="202" w:lineRule="exact"/>
        <w:rPr>
          <w:sz w:val="20"/>
          <w:szCs w:val="20"/>
          <w:color w:val="auto"/>
        </w:rPr>
      </w:pPr>
    </w:p>
    <w:p>
      <w:pPr>
        <w:ind w:right="140" w:firstLine="441"/>
        <w:spacing w:after="0" w:line="248" w:lineRule="auto"/>
        <w:rPr>
          <w:sz w:val="20"/>
          <w:szCs w:val="20"/>
          <w:color w:val="auto"/>
        </w:rPr>
      </w:pPr>
      <w:r>
        <w:rPr>
          <w:rFonts w:ascii="Times New Roman" w:cs="Times New Roman" w:eastAsia="Times New Roman" w:hAnsi="Times New Roman"/>
          <w:sz w:val="20"/>
          <w:szCs w:val="20"/>
          <w:color w:val="auto"/>
        </w:rPr>
        <w:t>Our IPR&amp;D intangible assets include intangible assets acquired in a business combination that are used in research and development activities but have not yet reached technological feasibility, regardless of whether they have alternative future use. The primary basis for determining the technological feasibility or completion of these projects is whether we have obtained regulatory approval to market the underlying products in an applicable geographic region. Because obtaining regulatory approval can include significant risks and uncertainties, the eventual realized value of the acquired IPR&amp;D projects may vary from their fair value at the date of acquisition. We classify IPR&amp;D intangible assets acquired in a business combination as an indefinite-lived intangible asset until the completion or abandonment of the associated research and development efforts. Upon completion of the associated research and development efforts, we will determine the useful life and begin amortizing the assets to reflect their use over their remaining lives. Upon permanent abandonment, we write-off the remaining carrying amount of the associated IPR&amp;D intangible asset. We test our IPR&amp;D intangible assets at least annually or when a triggering event occurs that could indicate a potential impairment and we recognize any impairment loss in our consolidated statements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130"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20"/>
          <w:szCs w:val="20"/>
          <w:color w:val="auto"/>
        </w:rPr>
        <w:t>We are exposed to market risk from changes in interest rates and foreign currency exchange rates. We may from time to time use derivative financial instruments or other financial instruments to hedge these economic exposures related to foreign currencies. We do not hold or issue financial instruments for trading purposes.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Rate Risk</w:t>
      </w:r>
    </w:p>
    <w:p>
      <w:pPr>
        <w:spacing w:after="0" w:line="130" w:lineRule="exact"/>
        <w:rPr>
          <w:sz w:val="20"/>
          <w:szCs w:val="20"/>
          <w:color w:val="auto"/>
        </w:rPr>
      </w:pPr>
    </w:p>
    <w:p>
      <w:pPr>
        <w:ind w:right="100" w:firstLine="441"/>
        <w:spacing w:after="0" w:line="298" w:lineRule="auto"/>
        <w:rPr>
          <w:sz w:val="20"/>
          <w:szCs w:val="20"/>
          <w:color w:val="auto"/>
        </w:rPr>
      </w:pPr>
      <w:r>
        <w:rPr>
          <w:rFonts w:ascii="Times New Roman" w:cs="Times New Roman" w:eastAsia="Times New Roman" w:hAnsi="Times New Roman"/>
          <w:sz w:val="19"/>
          <w:szCs w:val="19"/>
          <w:color w:val="auto"/>
        </w:rPr>
        <w:t>We are subject to interest rate risk in connection with our 2022 Revolving Facility, which is variable rate indebtedness. Interest rate changes could increase the amount of our interest payments and thus negatively impact our future earnings and cash flows. As of</w:t>
      </w:r>
    </w:p>
    <w:p>
      <w:pPr>
        <w:sectPr>
          <w:pgSz w:w="11880" w:h="15480" w:orient="portrait"/>
          <w:cols w:equalWidth="0" w:num="1">
            <w:col w:w="10560"/>
          </w:cols>
          <w:pgMar w:left="640" w:top="614" w:right="680" w:bottom="0" w:gutter="0" w:footer="0" w:header="0"/>
        </w:sectPr>
      </w:pP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75</w:t>
      </w:r>
    </w:p>
    <w:p>
      <w:pPr>
        <w:sectPr>
          <w:pgSz w:w="11880" w:h="15480" w:orient="portrait"/>
          <w:cols w:equalWidth="0" w:num="1">
            <w:col w:w="10560"/>
          </w:cols>
          <w:pgMar w:left="640" w:top="614" w:right="680" w:bottom="0" w:gutter="0" w:footer="0" w:header="0"/>
          <w:type w:val="continuous"/>
        </w:sectPr>
      </w:pPr>
    </w:p>
    <w:bookmarkStart w:id="81" w:name="page82"/>
    <w:bookmarkEnd w:id="81"/>
    <w:p>
      <w:pPr>
        <w:spacing w:after="0" w:line="258" w:lineRule="auto"/>
        <w:rPr>
          <w:sz w:val="20"/>
          <w:szCs w:val="20"/>
          <w:color w:val="auto"/>
        </w:rPr>
      </w:pPr>
      <w:r>
        <w:rPr>
          <w:rFonts w:ascii="Times New Roman" w:cs="Times New Roman" w:eastAsia="Times New Roman" w:hAnsi="Times New Roman"/>
          <w:sz w:val="20"/>
          <w:szCs w:val="20"/>
          <w:color w:val="auto"/>
        </w:rPr>
        <w:t>December 31, 2024, there was availability of $750.0 million on the 2022 Revolving Facility. Any increase in the interest rate under the 2022 Revolving Facility may have a negative impact on our future earnings to the extent we have outstanding borrowings under the 2022 Revolving Facility.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Foreign Currency Risk</w:t>
      </w:r>
    </w:p>
    <w:p>
      <w:pPr>
        <w:spacing w:after="0" w:line="130" w:lineRule="exact"/>
        <w:rPr>
          <w:sz w:val="20"/>
          <w:szCs w:val="20"/>
          <w:color w:val="auto"/>
        </w:rPr>
      </w:pPr>
    </w:p>
    <w:p>
      <w:pPr>
        <w:ind w:right="800" w:firstLine="441"/>
        <w:spacing w:after="0" w:line="278" w:lineRule="auto"/>
        <w:rPr>
          <w:sz w:val="20"/>
          <w:szCs w:val="20"/>
          <w:color w:val="auto"/>
        </w:rPr>
      </w:pPr>
      <w:r>
        <w:rPr>
          <w:rFonts w:ascii="Times New Roman" w:cs="Times New Roman" w:eastAsia="Times New Roman" w:hAnsi="Times New Roman"/>
          <w:sz w:val="19"/>
          <w:szCs w:val="19"/>
          <w:color w:val="auto"/>
        </w:rPr>
        <w:t>We face exposure to movements in foreign currency exchange rates whenever we, or any of our subsidiaries, enter into transactions with third parties that are denominated in currencies other than our, or that subsidiary’s, functional currency. Intercompany transactions between entities that use different functional currencies also expose us to foreign currency risk.</w:t>
      </w:r>
    </w:p>
    <w:p>
      <w:pPr>
        <w:spacing w:after="0" w:line="182" w:lineRule="exact"/>
        <w:rPr>
          <w:sz w:val="20"/>
          <w:szCs w:val="20"/>
          <w:color w:val="auto"/>
        </w:rPr>
      </w:pPr>
    </w:p>
    <w:p>
      <w:pPr>
        <w:jc w:val="both"/>
        <w:ind w:right="140" w:firstLine="441"/>
        <w:spacing w:after="0" w:line="271" w:lineRule="auto"/>
        <w:rPr>
          <w:sz w:val="20"/>
          <w:szCs w:val="20"/>
          <w:color w:val="auto"/>
        </w:rPr>
      </w:pPr>
      <w:r>
        <w:rPr>
          <w:rFonts w:ascii="Times New Roman" w:cs="Times New Roman" w:eastAsia="Times New Roman" w:hAnsi="Times New Roman"/>
          <w:sz w:val="19"/>
          <w:szCs w:val="19"/>
          <w:color w:val="auto"/>
        </w:rPr>
        <w:t>During the years ended December 31, 2024, 2023 and 2022, the net impact of foreign currency changes on transactions was a loss of $0.7 million, $0.1 million and $0.3 million, respectively. From time to time, we enter into foreign currency forward contracts primarily to reduce the effects of fluctuating foreign currency exchange rates. We may enter into additional foreign currency forward contracts when deemed appropriate. We do not enter into foreign currency forward contracts for speculative or trading purposes.</w:t>
      </w:r>
    </w:p>
    <w:p>
      <w:pPr>
        <w:spacing w:after="0" w:line="189" w:lineRule="exact"/>
        <w:rPr>
          <w:sz w:val="20"/>
          <w:szCs w:val="20"/>
          <w:color w:val="auto"/>
        </w:rPr>
      </w:pPr>
    </w:p>
    <w:p>
      <w:pPr>
        <w:ind w:right="240" w:firstLine="441"/>
        <w:spacing w:after="0" w:line="271" w:lineRule="auto"/>
        <w:rPr>
          <w:sz w:val="20"/>
          <w:szCs w:val="20"/>
          <w:color w:val="auto"/>
        </w:rPr>
      </w:pPr>
      <w:r>
        <w:rPr>
          <w:rFonts w:ascii="Times New Roman" w:cs="Times New Roman" w:eastAsia="Times New Roman" w:hAnsi="Times New Roman"/>
          <w:sz w:val="20"/>
          <w:szCs w:val="20"/>
          <w:color w:val="auto"/>
        </w:rPr>
        <w:t>The Canadian dollar presents the primary currency risk on our earnings. At December 31, 2024, a hypothetical 10% change in value of the U.S. dollar relative to the Canadian dollar would not have materially affected our financial instruments.</w:t>
      </w:r>
    </w:p>
    <w:p>
      <w:pPr>
        <w:sectPr>
          <w:pgSz w:w="11880" w:h="15480" w:orient="portrait"/>
          <w:cols w:equalWidth="0" w:num="1">
            <w:col w:w="10580"/>
          </w:cols>
          <w:pgMar w:left="640" w:top="622"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76</w:t>
      </w:r>
    </w:p>
    <w:p>
      <w:pPr>
        <w:sectPr>
          <w:pgSz w:w="11880" w:h="15480" w:orient="portrait"/>
          <w:cols w:equalWidth="0" w:num="1">
            <w:col w:w="10580"/>
          </w:cols>
          <w:pgMar w:left="640" w:top="622" w:right="660" w:bottom="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4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b w:val="1"/>
          <w:bCs w:val="1"/>
          <w:color w:val="auto"/>
        </w:rPr>
        <w:t>LANTHEUS HOLDINGS, INC.</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80"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9560" w:type="dxa"/>
            <w:vAlign w:val="bottom"/>
            <w:tcBorders>
              <w:bottom w:val="single" w:sz="8" w:color="E9E9E9"/>
            </w:tcBorders>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Page</w:t>
            </w:r>
          </w:p>
        </w:tc>
      </w:tr>
      <w:tr>
        <w:trPr>
          <w:trHeight w:val="240"/>
        </w:trPr>
        <w:tc>
          <w:tcPr>
            <w:tcW w:w="956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373737"/>
              </w:rPr>
              <w:t>Report of Independent Registered Public Accounting Firm (PCAOB ID No. 34)</w:t>
            </w:r>
          </w:p>
        </w:tc>
        <w:tc>
          <w:tcPr>
            <w:tcW w:w="96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20"/>
                <w:szCs w:val="20"/>
                <w:color w:val="313131"/>
                <w:w w:val="99"/>
              </w:rPr>
              <w:t>78</w:t>
            </w:r>
          </w:p>
        </w:tc>
      </w:tr>
      <w:tr>
        <w:trPr>
          <w:trHeight w:val="250"/>
        </w:trPr>
        <w:tc>
          <w:tcPr>
            <w:tcW w:w="9560" w:type="dxa"/>
            <w:vAlign w:val="bottom"/>
          </w:tcPr>
          <w:p>
            <w:pPr>
              <w:ind w:left="40"/>
              <w:spacing w:after="0"/>
              <w:rPr>
                <w:sz w:val="20"/>
                <w:szCs w:val="20"/>
                <w:color w:val="auto"/>
              </w:rPr>
            </w:pPr>
            <w:r>
              <w:rPr>
                <w:rFonts w:ascii="Times New Roman" w:cs="Times New Roman" w:eastAsia="Times New Roman" w:hAnsi="Times New Roman"/>
                <w:sz w:val="20"/>
                <w:szCs w:val="20"/>
                <w:color w:val="313131"/>
              </w:rPr>
              <w:t>Consolidated Balance Sheets</w:t>
            </w: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313131"/>
                <w:w w:val="99"/>
              </w:rPr>
              <w:t>80</w:t>
            </w:r>
          </w:p>
        </w:tc>
      </w:tr>
      <w:tr>
        <w:trPr>
          <w:trHeight w:val="250"/>
        </w:trPr>
        <w:tc>
          <w:tcPr>
            <w:tcW w:w="956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313131"/>
              </w:rPr>
              <w:t>Consolidated Statements of Operations</w:t>
            </w:r>
          </w:p>
        </w:tc>
        <w:tc>
          <w:tcPr>
            <w:tcW w:w="96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20"/>
                <w:szCs w:val="20"/>
                <w:color w:val="313131"/>
                <w:w w:val="99"/>
              </w:rPr>
              <w:t>81</w:t>
            </w:r>
          </w:p>
        </w:tc>
      </w:tr>
      <w:tr>
        <w:trPr>
          <w:trHeight w:val="250"/>
        </w:trPr>
        <w:tc>
          <w:tcPr>
            <w:tcW w:w="9560" w:type="dxa"/>
            <w:vAlign w:val="bottom"/>
          </w:tcPr>
          <w:p>
            <w:pPr>
              <w:ind w:left="40"/>
              <w:spacing w:after="0"/>
              <w:rPr>
                <w:sz w:val="20"/>
                <w:szCs w:val="20"/>
                <w:color w:val="auto"/>
              </w:rPr>
            </w:pPr>
            <w:r>
              <w:rPr>
                <w:rFonts w:ascii="Times New Roman" w:cs="Times New Roman" w:eastAsia="Times New Roman" w:hAnsi="Times New Roman"/>
                <w:sz w:val="20"/>
                <w:szCs w:val="20"/>
                <w:color w:val="313131"/>
              </w:rPr>
              <w:t>Consolidated Statements of Comprehensive Income</w:t>
            </w: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313131"/>
                <w:w w:val="99"/>
              </w:rPr>
              <w:t>82</w:t>
            </w:r>
          </w:p>
        </w:tc>
      </w:tr>
      <w:tr>
        <w:trPr>
          <w:trHeight w:val="250"/>
        </w:trPr>
        <w:tc>
          <w:tcPr>
            <w:tcW w:w="956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313131"/>
              </w:rPr>
              <w:t>Consolidated Statements of Changes in Stockholders’ Equity</w:t>
            </w:r>
          </w:p>
        </w:tc>
        <w:tc>
          <w:tcPr>
            <w:tcW w:w="96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20"/>
                <w:szCs w:val="20"/>
                <w:color w:val="313131"/>
                <w:w w:val="99"/>
              </w:rPr>
              <w:t>83</w:t>
            </w:r>
          </w:p>
        </w:tc>
      </w:tr>
      <w:tr>
        <w:trPr>
          <w:trHeight w:val="250"/>
        </w:trPr>
        <w:tc>
          <w:tcPr>
            <w:tcW w:w="9560" w:type="dxa"/>
            <w:vAlign w:val="bottom"/>
          </w:tcPr>
          <w:p>
            <w:pPr>
              <w:ind w:left="40"/>
              <w:spacing w:after="0"/>
              <w:rPr>
                <w:sz w:val="20"/>
                <w:szCs w:val="20"/>
                <w:color w:val="auto"/>
              </w:rPr>
            </w:pPr>
            <w:r>
              <w:rPr>
                <w:rFonts w:ascii="Times New Roman" w:cs="Times New Roman" w:eastAsia="Times New Roman" w:hAnsi="Times New Roman"/>
                <w:sz w:val="20"/>
                <w:szCs w:val="20"/>
                <w:color w:val="313131"/>
              </w:rPr>
              <w:t>Consolidated Statements of Cash Flows</w:t>
            </w: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313131"/>
                <w:w w:val="99"/>
              </w:rPr>
              <w:t>84</w:t>
            </w:r>
          </w:p>
        </w:tc>
      </w:tr>
      <w:tr>
        <w:trPr>
          <w:trHeight w:val="250"/>
        </w:trPr>
        <w:tc>
          <w:tcPr>
            <w:tcW w:w="956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313131"/>
              </w:rPr>
              <w:t>Notes to Consolidated Financial Statements</w:t>
            </w:r>
          </w:p>
        </w:tc>
        <w:tc>
          <w:tcPr>
            <w:tcW w:w="96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20"/>
                <w:szCs w:val="20"/>
                <w:color w:val="313131"/>
                <w:w w:val="99"/>
              </w:rPr>
              <w:t>86</w:t>
            </w:r>
          </w:p>
        </w:tc>
      </w:tr>
    </w:tbl>
    <w:p>
      <w:pPr>
        <w:spacing w:after="0" w:line="200" w:lineRule="exact"/>
        <w:rPr>
          <w:sz w:val="20"/>
          <w:szCs w:val="20"/>
          <w:color w:val="auto"/>
        </w:rPr>
      </w:pPr>
    </w:p>
    <w:p>
      <w:pPr>
        <w:sectPr>
          <w:pgSz w:w="12600" w:h="16200" w:orient="portrait"/>
          <w:cols w:equalWidth="0" w:num="1">
            <w:col w:w="10560"/>
          </w:cols>
          <w:pgMar w:left="1000" w:top="975" w:right="1040" w:bottom="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77</w:t>
      </w:r>
    </w:p>
    <w:p>
      <w:pPr>
        <w:sectPr>
          <w:pgSz w:w="12600" w:h="16200" w:orient="portrait"/>
          <w:cols w:equalWidth="0" w:num="1">
            <w:col w:w="10560"/>
          </w:cols>
          <w:pgMar w:left="1000" w:top="975" w:right="1040" w:bottom="48" w:gutter="0" w:footer="0" w:header="0"/>
          <w:type w:val="continuous"/>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 of Lantheus Holdings, Inc.</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130"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9"/>
          <w:szCs w:val="19"/>
          <w:color w:val="auto"/>
        </w:rPr>
        <w:t>We have audited the accompanying consolidated balance sheets of Lantheus Holdings, Inc. and subsidiaries (the "Company") as of December 31, 2024 and 2023, the related consolidated statements of operations, comprehensive income, changes in stockholders’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94" w:lineRule="exact"/>
        <w:rPr>
          <w:sz w:val="20"/>
          <w:szCs w:val="20"/>
          <w:color w:val="auto"/>
        </w:rPr>
      </w:pPr>
    </w:p>
    <w:p>
      <w:pPr>
        <w:ind w:right="140" w:firstLine="441"/>
        <w:spacing w:after="0" w:line="271" w:lineRule="auto"/>
        <w:rPr>
          <w:sz w:val="20"/>
          <w:szCs w:val="20"/>
          <w:color w:val="auto"/>
        </w:rPr>
      </w:pPr>
      <w:r>
        <w:rPr>
          <w:rFonts w:ascii="Times New Roman" w:cs="Times New Roman" w:eastAsia="Times New Roman" w:hAnsi="Times New Roman"/>
          <w:sz w:val="19"/>
          <w:szCs w:val="19"/>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9"/>
          <w:szCs w:val="19"/>
          <w:i w:val="1"/>
          <w:iCs w:val="1"/>
          <w:color w:val="auto"/>
        </w:rPr>
        <w:t>Internal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Control - Integrated Framework (2013) </w:t>
      </w:r>
      <w:r>
        <w:rPr>
          <w:rFonts w:ascii="Times New Roman" w:cs="Times New Roman" w:eastAsia="Times New Roman" w:hAnsi="Times New Roman"/>
          <w:sz w:val="19"/>
          <w:szCs w:val="19"/>
          <w:color w:val="auto"/>
        </w:rPr>
        <w:t>issued by the Committee of Sponsoring Organizations of the Treadway Commission and our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report dated February 26, 2025, expressed an unqualified opinion on the Company's internal control over financial reporting.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30" w:lineRule="exact"/>
        <w:rPr>
          <w:sz w:val="20"/>
          <w:szCs w:val="20"/>
          <w:color w:val="auto"/>
        </w:rPr>
      </w:pPr>
    </w:p>
    <w:p>
      <w:pPr>
        <w:ind w:right="80" w:firstLine="441"/>
        <w:spacing w:after="0" w:line="254"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ind w:right="20" w:firstLine="441"/>
        <w:spacing w:after="0" w:line="249"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130" w:lineRule="exact"/>
        <w:rPr>
          <w:sz w:val="20"/>
          <w:szCs w:val="20"/>
          <w:color w:val="auto"/>
        </w:rPr>
      </w:pPr>
    </w:p>
    <w:p>
      <w:pPr>
        <w:ind w:right="20" w:firstLine="441"/>
        <w:spacing w:after="0" w:line="250"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 Refer to Note 3 to the financial statements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Critical Audit Matter Description</w:t>
      </w:r>
    </w:p>
    <w:p>
      <w:pPr>
        <w:spacing w:after="0" w:line="126"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20"/>
          <w:szCs w:val="20"/>
          <w:color w:val="auto"/>
        </w:rPr>
        <w:t>The Company’s product revenue includes revenue earned from the sale of its prostate cancer positron emission tomography (“PET”) imaging agent, PYLARIFY. The Company recognizes revenue from PYLARIFY when it transfers control of promised goods to its customers. The Company’s principal customers for PYLARIFY sales include hospitals, independent imaging centers and government facilities.</w:t>
      </w:r>
    </w:p>
    <w:p>
      <w:pPr>
        <w:spacing w:after="0" w:line="85" w:lineRule="exact"/>
        <w:rPr>
          <w:sz w:val="20"/>
          <w:szCs w:val="20"/>
          <w:color w:val="auto"/>
        </w:rPr>
      </w:pPr>
    </w:p>
    <w:p>
      <w:pPr>
        <w:ind w:right="520" w:firstLine="441"/>
        <w:spacing w:after="0" w:line="278" w:lineRule="auto"/>
        <w:rPr>
          <w:sz w:val="20"/>
          <w:szCs w:val="20"/>
          <w:color w:val="auto"/>
        </w:rPr>
      </w:pPr>
      <w:r>
        <w:rPr>
          <w:rFonts w:ascii="Times New Roman" w:cs="Times New Roman" w:eastAsia="Times New Roman" w:hAnsi="Times New Roman"/>
          <w:sz w:val="19"/>
          <w:szCs w:val="19"/>
          <w:color w:val="auto"/>
        </w:rPr>
        <w:t>The accounting for PYLARIFY sales involves judgment, particularly as it relates to designing and executing the product distribution processes in a manner that provides the Company reliable information in determining when control of the product is transferred to the customer. For the year ended December 31, 2024, revenue from the sale of PYLARIFY was $1.1 billion.</w:t>
      </w:r>
    </w:p>
    <w:p>
      <w:pPr>
        <w:spacing w:after="0" w:line="64" w:lineRule="exact"/>
        <w:rPr>
          <w:sz w:val="20"/>
          <w:szCs w:val="20"/>
          <w:color w:val="auto"/>
        </w:rPr>
      </w:pPr>
    </w:p>
    <w:p>
      <w:pPr>
        <w:ind w:right="100" w:firstLine="441"/>
        <w:spacing w:after="0" w:line="258" w:lineRule="auto"/>
        <w:rPr>
          <w:sz w:val="20"/>
          <w:szCs w:val="20"/>
          <w:color w:val="auto"/>
        </w:rPr>
      </w:pPr>
      <w:r>
        <w:rPr>
          <w:rFonts w:ascii="Times New Roman" w:cs="Times New Roman" w:eastAsia="Times New Roman" w:hAnsi="Times New Roman"/>
          <w:sz w:val="20"/>
          <w:szCs w:val="20"/>
          <w:color w:val="auto"/>
        </w:rPr>
        <w:t>We identified revenue from the Company’s PYLARIFY sales as critical audit matter due to the high volume of transactions and the complexity of the product distribution processes. This required extensive audit effort and an increased level of auditor judgment when performing audit procedures and evaluating the results of those procedures.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How the Critical Audit Matter Was Addressed in the Audit</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Our audit procedures related to the Company’s revenue from product sales included the following, among others:</w:t>
      </w:r>
    </w:p>
    <w:p>
      <w:pPr>
        <w:sectPr>
          <w:pgSz w:w="11880" w:h="15480" w:orient="portrait"/>
          <w:cols w:equalWidth="0" w:num="1">
            <w:col w:w="10580"/>
          </w:cols>
          <w:pgMar w:left="640" w:top="615" w:right="660" w:bottom="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78</w:t>
      </w:r>
    </w:p>
    <w:p>
      <w:pPr>
        <w:sectPr>
          <w:pgSz w:w="11880" w:h="15480" w:orient="portrait"/>
          <w:cols w:equalWidth="0" w:num="1">
            <w:col w:w="10580"/>
          </w:cols>
          <w:pgMar w:left="640" w:top="615" w:right="660" w:bottom="0" w:gutter="0" w:footer="0" w:header="0"/>
          <w:type w:val="continuous"/>
        </w:sectPr>
      </w:pPr>
    </w:p>
    <w:bookmarkStart w:id="84" w:name="page85"/>
    <w:bookmarkEnd w:id="84"/>
    <w:p>
      <w:pPr>
        <w:ind w:left="720" w:right="220" w:hanging="359"/>
        <w:spacing w:after="0" w:line="271"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tested the effectiveness of internal controls over the recognition of revenue from PYLARIFY sales, including controls over the quantity and price of products shipped and timing of revenue recognition.</w:t>
      </w:r>
    </w:p>
    <w:p>
      <w:pPr>
        <w:spacing w:after="0" w:line="68" w:lineRule="exact"/>
        <w:rPr>
          <w:rFonts w:ascii="Times New Roman" w:cs="Times New Roman" w:eastAsia="Times New Roman" w:hAnsi="Times New Roman"/>
          <w:sz w:val="20"/>
          <w:szCs w:val="20"/>
          <w:color w:val="auto"/>
        </w:rPr>
      </w:pPr>
    </w:p>
    <w:p>
      <w:pPr>
        <w:ind w:left="720" w:hanging="359"/>
        <w:spacing w:after="0" w:line="250"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product shipped by PET manufacturing facilities, we (i) confirmed the relevant information regarding the doses shipped to customers that impact revenue recognition, (ii) performed substantive analytical procedures to develop an expectation of the revenue recognized based on the batches of material manufactured and compared our expectation to the amount recorded by management, (iii) performed detail transaction testing for revenue from product sales by making a sample of transactions and agreeing the transaction to the relevant information supporting the ordering and fulfillment of doses and (iv) confirmed selected accounts receivable balances.</w:t>
      </w:r>
    </w:p>
    <w:p>
      <w:pPr>
        <w:spacing w:after="0" w:line="200" w:lineRule="exact"/>
        <w:rPr>
          <w:sz w:val="20"/>
          <w:szCs w:val="20"/>
          <w:color w:val="auto"/>
        </w:rPr>
      </w:pPr>
    </w:p>
    <w:p>
      <w:pPr>
        <w:spacing w:after="0" w:line="2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3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Boston, Massachusetts</w:t>
      </w:r>
    </w:p>
    <w:p>
      <w:pPr>
        <w:spacing w:after="0" w:line="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February 26, 2025</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2007.</w:t>
      </w:r>
    </w:p>
    <w:p>
      <w:pPr>
        <w:sectPr>
          <w:pgSz w:w="11880" w:h="15480" w:orient="portrait"/>
          <w:cols w:equalWidth="0" w:num="1">
            <w:col w:w="10500"/>
          </w:cols>
          <w:pgMar w:left="640" w:top="622"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79</w:t>
      </w:r>
    </w:p>
    <w:p>
      <w:pPr>
        <w:sectPr>
          <w:pgSz w:w="11880" w:h="15480" w:orient="portrait"/>
          <w:cols w:equalWidth="0" w:num="1">
            <w:col w:w="10500"/>
          </w:cols>
          <w:pgMar w:left="640" w:top="622" w:right="740" w:bottom="0"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20"/>
          <w:szCs w:val="20"/>
          <w:b w:val="1"/>
          <w:bCs w:val="1"/>
          <w:color w:val="auto"/>
        </w:rPr>
        <w:t>Lantheus Holdings, Inc.</w:t>
      </w:r>
    </w:p>
    <w:p>
      <w:pPr>
        <w:spacing w:after="0" w:line="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color w:val="auto"/>
        </w:rPr>
        <w:t>(in thousands, except par value)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8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5800" w:type="dxa"/>
            <w:vAlign w:val="bottom"/>
            <w:tcBorders>
              <w:bottom w:val="single" w:sz="8" w:color="E9E9E9"/>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Borders>
              <w:bottom w:val="single" w:sz="8" w:color="E9E9E9"/>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69"/>
        </w:trPr>
        <w:tc>
          <w:tcPr>
            <w:tcW w:w="580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380" w:type="dxa"/>
            <w:vAlign w:val="bottom"/>
            <w:shd w:val="clear" w:color="auto" w:fill="E9E9E9"/>
          </w:tcPr>
          <w:p>
            <w:pPr>
              <w:spacing w:after="0"/>
              <w:rPr>
                <w:sz w:val="23"/>
                <w:szCs w:val="23"/>
                <w:color w:val="auto"/>
              </w:rPr>
            </w:pPr>
          </w:p>
        </w:tc>
        <w:tc>
          <w:tcPr>
            <w:tcW w:w="1220" w:type="dxa"/>
            <w:vAlign w:val="bottom"/>
            <w:shd w:val="clear" w:color="auto" w:fill="E9E9E9"/>
          </w:tcPr>
          <w:p>
            <w:pPr>
              <w:spacing w:after="0"/>
              <w:rPr>
                <w:sz w:val="23"/>
                <w:szCs w:val="23"/>
                <w:color w:val="auto"/>
              </w:rPr>
            </w:pPr>
          </w:p>
        </w:tc>
        <w:tc>
          <w:tcPr>
            <w:tcW w:w="80" w:type="dxa"/>
            <w:vAlign w:val="bottom"/>
            <w:shd w:val="clear" w:color="auto" w:fill="E9E9E9"/>
          </w:tcPr>
          <w:p>
            <w:pPr>
              <w:spacing w:after="0"/>
              <w:rPr>
                <w:sz w:val="23"/>
                <w:szCs w:val="23"/>
                <w:color w:val="auto"/>
              </w:rPr>
            </w:pPr>
          </w:p>
        </w:tc>
        <w:tc>
          <w:tcPr>
            <w:tcW w:w="560" w:type="dxa"/>
            <w:vAlign w:val="bottom"/>
            <w:shd w:val="clear" w:color="auto" w:fill="E9E9E9"/>
          </w:tcPr>
          <w:p>
            <w:pPr>
              <w:spacing w:after="0"/>
              <w:rPr>
                <w:sz w:val="23"/>
                <w:szCs w:val="23"/>
                <w:color w:val="auto"/>
              </w:rPr>
            </w:pPr>
          </w:p>
        </w:tc>
        <w:tc>
          <w:tcPr>
            <w:tcW w:w="1040" w:type="dxa"/>
            <w:vAlign w:val="bottom"/>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58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Current assets</w:t>
            </w: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5800" w:type="dxa"/>
            <w:vAlign w:val="bottom"/>
            <w:shd w:val="clear" w:color="auto" w:fill="E9E9E9"/>
          </w:tcPr>
          <w:p>
            <w:pPr>
              <w:ind w:left="26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380" w:type="dxa"/>
            <w:vAlign w:val="bottom"/>
            <w:shd w:val="clear" w:color="auto" w:fill="E9E9E9"/>
          </w:tcPr>
          <w:p>
            <w:pPr>
              <w:jc w:val="right"/>
              <w:ind w:right="122"/>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912,814</w:t>
            </w:r>
          </w:p>
        </w:tc>
        <w:tc>
          <w:tcPr>
            <w:tcW w:w="640" w:type="dxa"/>
            <w:vAlign w:val="bottom"/>
            <w:gridSpan w:val="2"/>
            <w:shd w:val="clear" w:color="auto" w:fill="E9E9E9"/>
          </w:tcPr>
          <w:p>
            <w:pPr>
              <w:jc w:val="right"/>
              <w:ind w:right="322"/>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713,656</w:t>
            </w:r>
          </w:p>
        </w:tc>
        <w:tc>
          <w:tcPr>
            <w:tcW w:w="0" w:type="dxa"/>
            <w:vAlign w:val="bottom"/>
          </w:tcPr>
          <w:p>
            <w:pPr>
              <w:spacing w:after="0"/>
              <w:rPr>
                <w:sz w:val="1"/>
                <w:szCs w:val="1"/>
                <w:color w:val="auto"/>
              </w:rPr>
            </w:pPr>
          </w:p>
        </w:tc>
      </w:tr>
      <w:tr>
        <w:trPr>
          <w:trHeight w:val="287"/>
        </w:trPr>
        <w:tc>
          <w:tcPr>
            <w:tcW w:w="58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Accounts receivable, net</w:t>
            </w: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321,258</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284,292</w:t>
            </w:r>
          </w:p>
        </w:tc>
        <w:tc>
          <w:tcPr>
            <w:tcW w:w="0" w:type="dxa"/>
            <w:vAlign w:val="bottom"/>
          </w:tcPr>
          <w:p>
            <w:pPr>
              <w:spacing w:after="0"/>
              <w:rPr>
                <w:sz w:val="1"/>
                <w:szCs w:val="1"/>
                <w:color w:val="auto"/>
              </w:rPr>
            </w:pPr>
          </w:p>
        </w:tc>
      </w:tr>
      <w:tr>
        <w:trPr>
          <w:trHeight w:val="301"/>
        </w:trPr>
        <w:tc>
          <w:tcPr>
            <w:tcW w:w="5800" w:type="dxa"/>
            <w:vAlign w:val="bottom"/>
            <w:shd w:val="clear" w:color="auto" w:fill="E9E9E9"/>
          </w:tcPr>
          <w:p>
            <w:pPr>
              <w:ind w:left="260"/>
              <w:spacing w:after="0"/>
              <w:rPr>
                <w:sz w:val="20"/>
                <w:szCs w:val="20"/>
                <w:color w:val="auto"/>
              </w:rPr>
            </w:pPr>
            <w:r>
              <w:rPr>
                <w:rFonts w:ascii="Times New Roman" w:cs="Times New Roman" w:eastAsia="Times New Roman" w:hAnsi="Times New Roman"/>
                <w:sz w:val="20"/>
                <w:szCs w:val="20"/>
                <w:color w:val="auto"/>
              </w:rPr>
              <w:t>Inventory</w:t>
            </w:r>
          </w:p>
        </w:tc>
        <w:tc>
          <w:tcPr>
            <w:tcW w:w="380" w:type="dxa"/>
            <w:vAlign w:val="bottom"/>
            <w:shd w:val="clear" w:color="auto" w:fill="E9E9E9"/>
          </w:tcPr>
          <w:p>
            <w:pPr>
              <w:spacing w:after="0"/>
              <w:rPr>
                <w:sz w:val="24"/>
                <w:szCs w:val="24"/>
                <w:color w:val="auto"/>
              </w:rPr>
            </w:pPr>
          </w:p>
        </w:tc>
        <w:tc>
          <w:tcPr>
            <w:tcW w:w="12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68,025</w:t>
            </w:r>
          </w:p>
        </w:tc>
        <w:tc>
          <w:tcPr>
            <w:tcW w:w="80" w:type="dxa"/>
            <w:vAlign w:val="bottom"/>
            <w:shd w:val="clear" w:color="auto" w:fill="E9E9E9"/>
          </w:tcPr>
          <w:p>
            <w:pPr>
              <w:spacing w:after="0"/>
              <w:rPr>
                <w:sz w:val="24"/>
                <w:szCs w:val="24"/>
                <w:color w:val="auto"/>
              </w:rPr>
            </w:pPr>
          </w:p>
        </w:tc>
        <w:tc>
          <w:tcPr>
            <w:tcW w:w="560" w:type="dxa"/>
            <w:vAlign w:val="bottom"/>
            <w:shd w:val="clear" w:color="auto" w:fill="E9E9E9"/>
          </w:tcPr>
          <w:p>
            <w:pPr>
              <w:spacing w:after="0"/>
              <w:rPr>
                <w:sz w:val="24"/>
                <w:szCs w:val="24"/>
                <w:color w:val="auto"/>
              </w:rPr>
            </w:pPr>
          </w:p>
        </w:tc>
        <w:tc>
          <w:tcPr>
            <w:tcW w:w="10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64,029</w:t>
            </w:r>
          </w:p>
        </w:tc>
        <w:tc>
          <w:tcPr>
            <w:tcW w:w="0" w:type="dxa"/>
            <w:vAlign w:val="bottom"/>
          </w:tcPr>
          <w:p>
            <w:pPr>
              <w:spacing w:after="0"/>
              <w:rPr>
                <w:sz w:val="1"/>
                <w:szCs w:val="1"/>
                <w:color w:val="auto"/>
              </w:rPr>
            </w:pPr>
          </w:p>
        </w:tc>
      </w:tr>
      <w:tr>
        <w:trPr>
          <w:trHeight w:val="287"/>
        </w:trPr>
        <w:tc>
          <w:tcPr>
            <w:tcW w:w="58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Other current assets</w:t>
            </w: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24,536</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16,683</w:t>
            </w:r>
          </w:p>
        </w:tc>
        <w:tc>
          <w:tcPr>
            <w:tcW w:w="0" w:type="dxa"/>
            <w:vAlign w:val="bottom"/>
          </w:tcPr>
          <w:p>
            <w:pPr>
              <w:spacing w:after="0"/>
              <w:rPr>
                <w:sz w:val="1"/>
                <w:szCs w:val="1"/>
                <w:color w:val="auto"/>
              </w:rPr>
            </w:pPr>
          </w:p>
        </w:tc>
      </w:tr>
      <w:tr>
        <w:trPr>
          <w:trHeight w:val="309"/>
        </w:trPr>
        <w:tc>
          <w:tcPr>
            <w:tcW w:w="5800" w:type="dxa"/>
            <w:vAlign w:val="bottom"/>
            <w:tcBorders>
              <w:bottom w:val="single" w:sz="8" w:color="E9E9E9"/>
            </w:tcBorders>
            <w:shd w:val="clear" w:color="auto" w:fill="E9E9E9"/>
          </w:tcPr>
          <w:p>
            <w:pPr>
              <w:ind w:left="260"/>
              <w:spacing w:after="0"/>
              <w:rPr>
                <w:sz w:val="20"/>
                <w:szCs w:val="20"/>
                <w:color w:val="auto"/>
              </w:rPr>
            </w:pPr>
            <w:r>
              <w:rPr>
                <w:rFonts w:ascii="Times New Roman" w:cs="Times New Roman" w:eastAsia="Times New Roman" w:hAnsi="Times New Roman"/>
                <w:sz w:val="20"/>
                <w:szCs w:val="20"/>
                <w:color w:val="auto"/>
              </w:rPr>
              <w:t>Assets held for sale</w:t>
            </w:r>
          </w:p>
        </w:tc>
        <w:tc>
          <w:tcPr>
            <w:tcW w:w="380" w:type="dxa"/>
            <w:vAlign w:val="bottom"/>
            <w:tcBorders>
              <w:bottom w:val="single" w:sz="8" w:color="auto"/>
            </w:tcBorders>
            <w:shd w:val="clear" w:color="auto" w:fill="E9E9E9"/>
          </w:tcPr>
          <w:p>
            <w:pPr>
              <w:spacing w:after="0"/>
              <w:rPr>
                <w:sz w:val="24"/>
                <w:szCs w:val="24"/>
                <w:color w:val="auto"/>
              </w:rPr>
            </w:pPr>
          </w:p>
        </w:tc>
        <w:tc>
          <w:tcPr>
            <w:tcW w:w="122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9E9E9"/>
            </w:tcBorders>
            <w:shd w:val="clear" w:color="auto" w:fill="E9E9E9"/>
          </w:tcPr>
          <w:p>
            <w:pPr>
              <w:spacing w:after="0"/>
              <w:rPr>
                <w:sz w:val="24"/>
                <w:szCs w:val="24"/>
                <w:color w:val="auto"/>
              </w:rPr>
            </w:pPr>
          </w:p>
        </w:tc>
        <w:tc>
          <w:tcPr>
            <w:tcW w:w="560" w:type="dxa"/>
            <w:vAlign w:val="bottom"/>
            <w:tcBorders>
              <w:bottom w:val="single" w:sz="8" w:color="auto"/>
            </w:tcBorders>
            <w:shd w:val="clear" w:color="auto" w:fill="E9E9E9"/>
          </w:tcPr>
          <w:p>
            <w:pPr>
              <w:spacing w:after="0"/>
              <w:rPr>
                <w:sz w:val="24"/>
                <w:szCs w:val="24"/>
                <w:color w:val="auto"/>
              </w:rPr>
            </w:pPr>
          </w:p>
        </w:tc>
        <w:tc>
          <w:tcPr>
            <w:tcW w:w="104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7,159</w:t>
            </w:r>
          </w:p>
        </w:tc>
        <w:tc>
          <w:tcPr>
            <w:tcW w:w="0" w:type="dxa"/>
            <w:vAlign w:val="bottom"/>
          </w:tcPr>
          <w:p>
            <w:pPr>
              <w:spacing w:after="0"/>
              <w:rPr>
                <w:sz w:val="1"/>
                <w:szCs w:val="1"/>
                <w:color w:val="auto"/>
              </w:rPr>
            </w:pPr>
          </w:p>
        </w:tc>
      </w:tr>
      <w:tr>
        <w:trPr>
          <w:trHeight w:val="259"/>
        </w:trPr>
        <w:tc>
          <w:tcPr>
            <w:tcW w:w="580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Total current assets</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1,326,633</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1,085,819</w:t>
            </w:r>
          </w:p>
        </w:tc>
        <w:tc>
          <w:tcPr>
            <w:tcW w:w="0" w:type="dxa"/>
            <w:vAlign w:val="bottom"/>
          </w:tcPr>
          <w:p>
            <w:pPr>
              <w:spacing w:after="0"/>
              <w:rPr>
                <w:sz w:val="1"/>
                <w:szCs w:val="1"/>
                <w:color w:val="auto"/>
              </w:rPr>
            </w:pPr>
          </w:p>
        </w:tc>
      </w:tr>
      <w:tr>
        <w:trPr>
          <w:trHeight w:val="301"/>
        </w:trPr>
        <w:tc>
          <w:tcPr>
            <w:tcW w:w="580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Investment in equity securities</w:t>
            </w:r>
          </w:p>
        </w:tc>
        <w:tc>
          <w:tcPr>
            <w:tcW w:w="380" w:type="dxa"/>
            <w:vAlign w:val="bottom"/>
            <w:shd w:val="clear" w:color="auto" w:fill="E9E9E9"/>
          </w:tcPr>
          <w:p>
            <w:pPr>
              <w:spacing w:after="0"/>
              <w:rPr>
                <w:sz w:val="24"/>
                <w:szCs w:val="24"/>
                <w:color w:val="auto"/>
              </w:rPr>
            </w:pPr>
          </w:p>
        </w:tc>
        <w:tc>
          <w:tcPr>
            <w:tcW w:w="12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39,489</w:t>
            </w:r>
          </w:p>
        </w:tc>
        <w:tc>
          <w:tcPr>
            <w:tcW w:w="80" w:type="dxa"/>
            <w:vAlign w:val="bottom"/>
            <w:shd w:val="clear" w:color="auto" w:fill="E9E9E9"/>
          </w:tcPr>
          <w:p>
            <w:pPr>
              <w:spacing w:after="0"/>
              <w:rPr>
                <w:sz w:val="24"/>
                <w:szCs w:val="24"/>
                <w:color w:val="auto"/>
              </w:rPr>
            </w:pPr>
          </w:p>
        </w:tc>
        <w:tc>
          <w:tcPr>
            <w:tcW w:w="560" w:type="dxa"/>
            <w:vAlign w:val="bottom"/>
            <w:shd w:val="clear" w:color="auto" w:fill="E9E9E9"/>
          </w:tcPr>
          <w:p>
            <w:pPr>
              <w:spacing w:after="0"/>
              <w:rPr>
                <w:sz w:val="24"/>
                <w:szCs w:val="24"/>
                <w:color w:val="auto"/>
              </w:rPr>
            </w:pPr>
          </w:p>
        </w:tc>
        <w:tc>
          <w:tcPr>
            <w:tcW w:w="10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7"/>
        </w:trPr>
        <w:tc>
          <w:tcPr>
            <w:tcW w:w="5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176,798</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146,697</w:t>
            </w:r>
          </w:p>
        </w:tc>
        <w:tc>
          <w:tcPr>
            <w:tcW w:w="0" w:type="dxa"/>
            <w:vAlign w:val="bottom"/>
          </w:tcPr>
          <w:p>
            <w:pPr>
              <w:spacing w:after="0"/>
              <w:rPr>
                <w:sz w:val="1"/>
                <w:szCs w:val="1"/>
                <w:color w:val="auto"/>
              </w:rPr>
            </w:pPr>
          </w:p>
        </w:tc>
      </w:tr>
      <w:tr>
        <w:trPr>
          <w:trHeight w:val="301"/>
        </w:trPr>
        <w:tc>
          <w:tcPr>
            <w:tcW w:w="580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Intangibles, net</w:t>
            </w:r>
          </w:p>
        </w:tc>
        <w:tc>
          <w:tcPr>
            <w:tcW w:w="380" w:type="dxa"/>
            <w:vAlign w:val="bottom"/>
            <w:shd w:val="clear" w:color="auto" w:fill="E9E9E9"/>
          </w:tcPr>
          <w:p>
            <w:pPr>
              <w:spacing w:after="0"/>
              <w:rPr>
                <w:sz w:val="24"/>
                <w:szCs w:val="24"/>
                <w:color w:val="auto"/>
              </w:rPr>
            </w:pPr>
          </w:p>
        </w:tc>
        <w:tc>
          <w:tcPr>
            <w:tcW w:w="12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161,761</w:t>
            </w:r>
          </w:p>
        </w:tc>
        <w:tc>
          <w:tcPr>
            <w:tcW w:w="80" w:type="dxa"/>
            <w:vAlign w:val="bottom"/>
            <w:shd w:val="clear" w:color="auto" w:fill="E9E9E9"/>
          </w:tcPr>
          <w:p>
            <w:pPr>
              <w:spacing w:after="0"/>
              <w:rPr>
                <w:sz w:val="24"/>
                <w:szCs w:val="24"/>
                <w:color w:val="auto"/>
              </w:rPr>
            </w:pPr>
          </w:p>
        </w:tc>
        <w:tc>
          <w:tcPr>
            <w:tcW w:w="560" w:type="dxa"/>
            <w:vAlign w:val="bottom"/>
            <w:shd w:val="clear" w:color="auto" w:fill="E9E9E9"/>
          </w:tcPr>
          <w:p>
            <w:pPr>
              <w:spacing w:after="0"/>
              <w:rPr>
                <w:sz w:val="24"/>
                <w:szCs w:val="24"/>
                <w:color w:val="auto"/>
              </w:rPr>
            </w:pPr>
          </w:p>
        </w:tc>
        <w:tc>
          <w:tcPr>
            <w:tcW w:w="10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151,985</w:t>
            </w:r>
          </w:p>
        </w:tc>
        <w:tc>
          <w:tcPr>
            <w:tcW w:w="0" w:type="dxa"/>
            <w:vAlign w:val="bottom"/>
          </w:tcPr>
          <w:p>
            <w:pPr>
              <w:spacing w:after="0"/>
              <w:rPr>
                <w:sz w:val="1"/>
                <w:szCs w:val="1"/>
                <w:color w:val="auto"/>
              </w:rPr>
            </w:pPr>
          </w:p>
        </w:tc>
      </w:tr>
      <w:tr>
        <w:trPr>
          <w:trHeight w:val="287"/>
        </w:trPr>
        <w:tc>
          <w:tcPr>
            <w:tcW w:w="5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Goodwill</w:t>
            </w: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61,189</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61,189</w:t>
            </w:r>
          </w:p>
        </w:tc>
        <w:tc>
          <w:tcPr>
            <w:tcW w:w="0" w:type="dxa"/>
            <w:vAlign w:val="bottom"/>
          </w:tcPr>
          <w:p>
            <w:pPr>
              <w:spacing w:after="0"/>
              <w:rPr>
                <w:sz w:val="1"/>
                <w:szCs w:val="1"/>
                <w:color w:val="auto"/>
              </w:rPr>
            </w:pPr>
          </w:p>
        </w:tc>
      </w:tr>
      <w:tr>
        <w:trPr>
          <w:trHeight w:val="301"/>
        </w:trPr>
        <w:tc>
          <w:tcPr>
            <w:tcW w:w="580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Deferred tax assets, net</w:t>
            </w:r>
          </w:p>
        </w:tc>
        <w:tc>
          <w:tcPr>
            <w:tcW w:w="380" w:type="dxa"/>
            <w:vAlign w:val="bottom"/>
            <w:shd w:val="clear" w:color="auto" w:fill="E9E9E9"/>
          </w:tcPr>
          <w:p>
            <w:pPr>
              <w:spacing w:after="0"/>
              <w:rPr>
                <w:sz w:val="24"/>
                <w:szCs w:val="24"/>
                <w:color w:val="auto"/>
              </w:rPr>
            </w:pPr>
          </w:p>
        </w:tc>
        <w:tc>
          <w:tcPr>
            <w:tcW w:w="12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170,233</w:t>
            </w:r>
          </w:p>
        </w:tc>
        <w:tc>
          <w:tcPr>
            <w:tcW w:w="80" w:type="dxa"/>
            <w:vAlign w:val="bottom"/>
            <w:shd w:val="clear" w:color="auto" w:fill="E9E9E9"/>
          </w:tcPr>
          <w:p>
            <w:pPr>
              <w:spacing w:after="0"/>
              <w:rPr>
                <w:sz w:val="24"/>
                <w:szCs w:val="24"/>
                <w:color w:val="auto"/>
              </w:rPr>
            </w:pPr>
          </w:p>
        </w:tc>
        <w:tc>
          <w:tcPr>
            <w:tcW w:w="560" w:type="dxa"/>
            <w:vAlign w:val="bottom"/>
            <w:shd w:val="clear" w:color="auto" w:fill="E9E9E9"/>
          </w:tcPr>
          <w:p>
            <w:pPr>
              <w:spacing w:after="0"/>
              <w:rPr>
                <w:sz w:val="24"/>
                <w:szCs w:val="24"/>
                <w:color w:val="auto"/>
              </w:rPr>
            </w:pPr>
          </w:p>
        </w:tc>
        <w:tc>
          <w:tcPr>
            <w:tcW w:w="10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150,198</w:t>
            </w:r>
          </w:p>
        </w:tc>
        <w:tc>
          <w:tcPr>
            <w:tcW w:w="0" w:type="dxa"/>
            <w:vAlign w:val="bottom"/>
          </w:tcPr>
          <w:p>
            <w:pPr>
              <w:spacing w:after="0"/>
              <w:rPr>
                <w:sz w:val="1"/>
                <w:szCs w:val="1"/>
                <w:color w:val="auto"/>
              </w:rPr>
            </w:pPr>
          </w:p>
        </w:tc>
      </w:tr>
      <w:tr>
        <w:trPr>
          <w:trHeight w:val="284"/>
        </w:trPr>
        <w:tc>
          <w:tcPr>
            <w:tcW w:w="5800" w:type="dxa"/>
            <w:vAlign w:val="bottom"/>
            <w:tcBorders>
              <w:bottom w:val="single" w:sz="8" w:color="E9E9E9"/>
            </w:tcBorders>
          </w:tcPr>
          <w:p>
            <w:pPr>
              <w:ind w:left="40"/>
              <w:spacing w:after="0"/>
              <w:rPr>
                <w:sz w:val="20"/>
                <w:szCs w:val="20"/>
                <w:color w:val="auto"/>
              </w:rPr>
            </w:pPr>
            <w:r>
              <w:rPr>
                <w:rFonts w:ascii="Times New Roman" w:cs="Times New Roman" w:eastAsia="Times New Roman" w:hAnsi="Times New Roman"/>
                <w:sz w:val="20"/>
                <w:szCs w:val="20"/>
                <w:color w:val="auto"/>
              </w:rPr>
              <w:t>Other long-term assets</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44,237</w:t>
            </w:r>
          </w:p>
        </w:tc>
        <w:tc>
          <w:tcPr>
            <w:tcW w:w="80" w:type="dxa"/>
            <w:vAlign w:val="bottom"/>
            <w:tcBorders>
              <w:bottom w:val="single" w:sz="8" w:color="E9E9E9"/>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55,261</w:t>
            </w:r>
          </w:p>
        </w:tc>
        <w:tc>
          <w:tcPr>
            <w:tcW w:w="0" w:type="dxa"/>
            <w:vAlign w:val="bottom"/>
          </w:tcPr>
          <w:p>
            <w:pPr>
              <w:spacing w:after="0"/>
              <w:rPr>
                <w:sz w:val="1"/>
                <w:szCs w:val="1"/>
                <w:color w:val="auto"/>
              </w:rPr>
            </w:pPr>
          </w:p>
        </w:tc>
      </w:tr>
      <w:tr>
        <w:trPr>
          <w:trHeight w:val="294"/>
        </w:trPr>
        <w:tc>
          <w:tcPr>
            <w:tcW w:w="5800" w:type="dxa"/>
            <w:vAlign w:val="bottom"/>
            <w:shd w:val="clear" w:color="auto" w:fill="E9E9E9"/>
          </w:tcPr>
          <w:p>
            <w:pPr>
              <w:ind w:left="260"/>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380" w:type="dxa"/>
            <w:vAlign w:val="bottom"/>
            <w:shd w:val="clear" w:color="auto" w:fill="E9E9E9"/>
          </w:tcPr>
          <w:p>
            <w:pPr>
              <w:jc w:val="right"/>
              <w:ind w:right="122"/>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1,980,340</w:t>
            </w:r>
          </w:p>
        </w:tc>
        <w:tc>
          <w:tcPr>
            <w:tcW w:w="640" w:type="dxa"/>
            <w:vAlign w:val="bottom"/>
            <w:gridSpan w:val="2"/>
            <w:shd w:val="clear" w:color="auto" w:fill="E9E9E9"/>
          </w:tcPr>
          <w:p>
            <w:pPr>
              <w:jc w:val="right"/>
              <w:ind w:right="322"/>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1,651,149</w:t>
            </w:r>
          </w:p>
        </w:tc>
        <w:tc>
          <w:tcPr>
            <w:tcW w:w="0" w:type="dxa"/>
            <w:vAlign w:val="bottom"/>
          </w:tcPr>
          <w:p>
            <w:pPr>
              <w:spacing w:after="0"/>
              <w:rPr>
                <w:sz w:val="1"/>
                <w:szCs w:val="1"/>
                <w:color w:val="auto"/>
              </w:rPr>
            </w:pPr>
          </w:p>
        </w:tc>
      </w:tr>
      <w:tr>
        <w:trPr>
          <w:trHeight w:val="242"/>
        </w:trPr>
        <w:tc>
          <w:tcPr>
            <w:tcW w:w="5800" w:type="dxa"/>
            <w:vAlign w:val="bottom"/>
            <w:tcBorders>
              <w:top w:val="single" w:sz="8" w:color="E9E9E9"/>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80" w:type="dxa"/>
            <w:vAlign w:val="bottom"/>
            <w:tcBorders>
              <w:top w:val="single" w:sz="8" w:color="E9E9E9"/>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580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b w:val="1"/>
                <w:bCs w:val="1"/>
                <w:color w:val="auto"/>
              </w:rPr>
              <w:t>Current liabilities</w:t>
            </w:r>
          </w:p>
        </w:tc>
        <w:tc>
          <w:tcPr>
            <w:tcW w:w="380" w:type="dxa"/>
            <w:vAlign w:val="bottom"/>
            <w:shd w:val="clear" w:color="auto" w:fill="E9E9E9"/>
          </w:tcPr>
          <w:p>
            <w:pPr>
              <w:spacing w:after="0"/>
              <w:rPr>
                <w:sz w:val="24"/>
                <w:szCs w:val="24"/>
                <w:color w:val="auto"/>
              </w:rPr>
            </w:pPr>
          </w:p>
        </w:tc>
        <w:tc>
          <w:tcPr>
            <w:tcW w:w="1220" w:type="dxa"/>
            <w:vAlign w:val="bottom"/>
            <w:shd w:val="clear" w:color="auto" w:fill="E9E9E9"/>
          </w:tcPr>
          <w:p>
            <w:pPr>
              <w:spacing w:after="0"/>
              <w:rPr>
                <w:sz w:val="24"/>
                <w:szCs w:val="24"/>
                <w:color w:val="auto"/>
              </w:rPr>
            </w:pPr>
          </w:p>
        </w:tc>
        <w:tc>
          <w:tcPr>
            <w:tcW w:w="80" w:type="dxa"/>
            <w:vAlign w:val="bottom"/>
            <w:shd w:val="clear" w:color="auto" w:fill="E9E9E9"/>
          </w:tcPr>
          <w:p>
            <w:pPr>
              <w:spacing w:after="0"/>
              <w:rPr>
                <w:sz w:val="24"/>
                <w:szCs w:val="24"/>
                <w:color w:val="auto"/>
              </w:rPr>
            </w:pPr>
          </w:p>
        </w:tc>
        <w:tc>
          <w:tcPr>
            <w:tcW w:w="560" w:type="dxa"/>
            <w:vAlign w:val="bottom"/>
            <w:shd w:val="clear" w:color="auto" w:fill="E9E9E9"/>
          </w:tcPr>
          <w:p>
            <w:pPr>
              <w:spacing w:after="0"/>
              <w:rPr>
                <w:sz w:val="24"/>
                <w:szCs w:val="24"/>
                <w:color w:val="auto"/>
              </w:rPr>
            </w:pPr>
          </w:p>
        </w:tc>
        <w:tc>
          <w:tcPr>
            <w:tcW w:w="1040" w:type="dxa"/>
            <w:vAlign w:val="bottom"/>
            <w:shd w:val="clear" w:color="auto" w:fill="E9E9E9"/>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8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Current portion of long-term debt and other borrowings</w:t>
            </w:r>
          </w:p>
        </w:tc>
        <w:tc>
          <w:tcPr>
            <w:tcW w:w="38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974</w:t>
            </w:r>
          </w:p>
        </w:tc>
        <w:tc>
          <w:tcPr>
            <w:tcW w:w="640" w:type="dxa"/>
            <w:vAlign w:val="bottom"/>
            <w:gridSpan w:val="2"/>
          </w:tcPr>
          <w:p>
            <w:pPr>
              <w:jc w:val="right"/>
              <w:ind w:right="322"/>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823</w:t>
            </w:r>
          </w:p>
        </w:tc>
        <w:tc>
          <w:tcPr>
            <w:tcW w:w="0" w:type="dxa"/>
            <w:vAlign w:val="bottom"/>
          </w:tcPr>
          <w:p>
            <w:pPr>
              <w:spacing w:after="0"/>
              <w:rPr>
                <w:sz w:val="1"/>
                <w:szCs w:val="1"/>
                <w:color w:val="auto"/>
              </w:rPr>
            </w:pPr>
          </w:p>
        </w:tc>
      </w:tr>
      <w:tr>
        <w:trPr>
          <w:trHeight w:val="301"/>
        </w:trPr>
        <w:tc>
          <w:tcPr>
            <w:tcW w:w="5800" w:type="dxa"/>
            <w:vAlign w:val="bottom"/>
            <w:shd w:val="clear" w:color="auto" w:fill="E9E9E9"/>
          </w:tcPr>
          <w:p>
            <w:pPr>
              <w:ind w:left="260"/>
              <w:spacing w:after="0"/>
              <w:rPr>
                <w:sz w:val="20"/>
                <w:szCs w:val="20"/>
                <w:color w:val="auto"/>
              </w:rPr>
            </w:pPr>
            <w:r>
              <w:rPr>
                <w:rFonts w:ascii="Times New Roman" w:cs="Times New Roman" w:eastAsia="Times New Roman" w:hAnsi="Times New Roman"/>
                <w:sz w:val="20"/>
                <w:szCs w:val="20"/>
                <w:color w:val="auto"/>
              </w:rPr>
              <w:t>Accounts payable</w:t>
            </w:r>
          </w:p>
        </w:tc>
        <w:tc>
          <w:tcPr>
            <w:tcW w:w="380" w:type="dxa"/>
            <w:vAlign w:val="bottom"/>
            <w:shd w:val="clear" w:color="auto" w:fill="E9E9E9"/>
          </w:tcPr>
          <w:p>
            <w:pPr>
              <w:spacing w:after="0"/>
              <w:rPr>
                <w:sz w:val="24"/>
                <w:szCs w:val="24"/>
                <w:color w:val="auto"/>
              </w:rPr>
            </w:pPr>
          </w:p>
        </w:tc>
        <w:tc>
          <w:tcPr>
            <w:tcW w:w="12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34,560</w:t>
            </w:r>
          </w:p>
        </w:tc>
        <w:tc>
          <w:tcPr>
            <w:tcW w:w="80" w:type="dxa"/>
            <w:vAlign w:val="bottom"/>
            <w:shd w:val="clear" w:color="auto" w:fill="E9E9E9"/>
          </w:tcPr>
          <w:p>
            <w:pPr>
              <w:spacing w:after="0"/>
              <w:rPr>
                <w:sz w:val="24"/>
                <w:szCs w:val="24"/>
                <w:color w:val="auto"/>
              </w:rPr>
            </w:pPr>
          </w:p>
        </w:tc>
        <w:tc>
          <w:tcPr>
            <w:tcW w:w="560" w:type="dxa"/>
            <w:vAlign w:val="bottom"/>
            <w:shd w:val="clear" w:color="auto" w:fill="E9E9E9"/>
          </w:tcPr>
          <w:p>
            <w:pPr>
              <w:spacing w:after="0"/>
              <w:rPr>
                <w:sz w:val="24"/>
                <w:szCs w:val="24"/>
                <w:color w:val="auto"/>
              </w:rPr>
            </w:pPr>
          </w:p>
        </w:tc>
        <w:tc>
          <w:tcPr>
            <w:tcW w:w="10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41,189</w:t>
            </w:r>
          </w:p>
        </w:tc>
        <w:tc>
          <w:tcPr>
            <w:tcW w:w="0" w:type="dxa"/>
            <w:vAlign w:val="bottom"/>
          </w:tcPr>
          <w:p>
            <w:pPr>
              <w:spacing w:after="0"/>
              <w:rPr>
                <w:sz w:val="1"/>
                <w:szCs w:val="1"/>
                <w:color w:val="auto"/>
              </w:rPr>
            </w:pPr>
          </w:p>
        </w:tc>
      </w:tr>
      <w:tr>
        <w:trPr>
          <w:trHeight w:val="284"/>
        </w:trPr>
        <w:tc>
          <w:tcPr>
            <w:tcW w:w="5800" w:type="dxa"/>
            <w:vAlign w:val="bottom"/>
            <w:tcBorders>
              <w:bottom w:val="single" w:sz="8" w:color="E9E9E9"/>
            </w:tcBorders>
          </w:tcPr>
          <w:p>
            <w:pPr>
              <w:ind w:left="260"/>
              <w:spacing w:after="0"/>
              <w:rPr>
                <w:sz w:val="20"/>
                <w:szCs w:val="20"/>
                <w:color w:val="auto"/>
              </w:rPr>
            </w:pPr>
            <w:r>
              <w:rPr>
                <w:rFonts w:ascii="Times New Roman" w:cs="Times New Roman" w:eastAsia="Times New Roman" w:hAnsi="Times New Roman"/>
                <w:sz w:val="20"/>
                <w:szCs w:val="20"/>
                <w:color w:val="auto"/>
              </w:rPr>
              <w:t>Accrued expenses and other liabilities</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204,992</w:t>
            </w:r>
          </w:p>
        </w:tc>
        <w:tc>
          <w:tcPr>
            <w:tcW w:w="80" w:type="dxa"/>
            <w:vAlign w:val="bottom"/>
            <w:tcBorders>
              <w:bottom w:val="single" w:sz="8" w:color="E9E9E9"/>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145,338</w:t>
            </w:r>
          </w:p>
        </w:tc>
        <w:tc>
          <w:tcPr>
            <w:tcW w:w="0" w:type="dxa"/>
            <w:vAlign w:val="bottom"/>
          </w:tcPr>
          <w:p>
            <w:pPr>
              <w:spacing w:after="0"/>
              <w:rPr>
                <w:sz w:val="1"/>
                <w:szCs w:val="1"/>
                <w:color w:val="auto"/>
              </w:rPr>
            </w:pPr>
          </w:p>
        </w:tc>
      </w:tr>
      <w:tr>
        <w:trPr>
          <w:trHeight w:val="284"/>
        </w:trPr>
        <w:tc>
          <w:tcPr>
            <w:tcW w:w="5800" w:type="dxa"/>
            <w:vAlign w:val="bottom"/>
            <w:shd w:val="clear" w:color="auto" w:fill="E9E9E9"/>
          </w:tcPr>
          <w:p>
            <w:pPr>
              <w:ind w:left="540"/>
              <w:spacing w:after="0"/>
              <w:rPr>
                <w:sz w:val="20"/>
                <w:szCs w:val="20"/>
                <w:color w:val="auto"/>
              </w:rPr>
            </w:pPr>
            <w:r>
              <w:rPr>
                <w:rFonts w:ascii="Times New Roman" w:cs="Times New Roman" w:eastAsia="Times New Roman" w:hAnsi="Times New Roman"/>
                <w:sz w:val="20"/>
                <w:szCs w:val="20"/>
                <w:b w:val="1"/>
                <w:bCs w:val="1"/>
                <w:color w:val="auto"/>
              </w:rPr>
              <w:t>Total current liabilities</w:t>
            </w:r>
          </w:p>
        </w:tc>
        <w:tc>
          <w:tcPr>
            <w:tcW w:w="380" w:type="dxa"/>
            <w:vAlign w:val="bottom"/>
            <w:shd w:val="clear" w:color="auto" w:fill="E9E9E9"/>
          </w:tcPr>
          <w:p>
            <w:pPr>
              <w:spacing w:after="0"/>
              <w:rPr>
                <w:sz w:val="24"/>
                <w:szCs w:val="24"/>
                <w:color w:val="auto"/>
              </w:rPr>
            </w:pPr>
          </w:p>
        </w:tc>
        <w:tc>
          <w:tcPr>
            <w:tcW w:w="12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240,526</w:t>
            </w:r>
          </w:p>
        </w:tc>
        <w:tc>
          <w:tcPr>
            <w:tcW w:w="80" w:type="dxa"/>
            <w:vAlign w:val="bottom"/>
            <w:shd w:val="clear" w:color="auto" w:fill="E9E9E9"/>
          </w:tcPr>
          <w:p>
            <w:pPr>
              <w:spacing w:after="0"/>
              <w:rPr>
                <w:sz w:val="24"/>
                <w:szCs w:val="24"/>
                <w:color w:val="auto"/>
              </w:rPr>
            </w:pPr>
          </w:p>
        </w:tc>
        <w:tc>
          <w:tcPr>
            <w:tcW w:w="560" w:type="dxa"/>
            <w:vAlign w:val="bottom"/>
            <w:shd w:val="clear" w:color="auto" w:fill="E9E9E9"/>
          </w:tcPr>
          <w:p>
            <w:pPr>
              <w:spacing w:after="0"/>
              <w:rPr>
                <w:sz w:val="24"/>
                <w:szCs w:val="24"/>
                <w:color w:val="auto"/>
              </w:rPr>
            </w:pPr>
          </w:p>
        </w:tc>
        <w:tc>
          <w:tcPr>
            <w:tcW w:w="10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187,350</w:t>
            </w:r>
          </w:p>
        </w:tc>
        <w:tc>
          <w:tcPr>
            <w:tcW w:w="0" w:type="dxa"/>
            <w:vAlign w:val="bottom"/>
          </w:tcPr>
          <w:p>
            <w:pPr>
              <w:spacing w:after="0"/>
              <w:rPr>
                <w:sz w:val="1"/>
                <w:szCs w:val="1"/>
                <w:color w:val="auto"/>
              </w:rPr>
            </w:pPr>
          </w:p>
        </w:tc>
      </w:tr>
      <w:tr>
        <w:trPr>
          <w:trHeight w:val="287"/>
        </w:trPr>
        <w:tc>
          <w:tcPr>
            <w:tcW w:w="5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Asset retirement obligations</w:t>
            </w: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23,344</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22,916</w:t>
            </w:r>
          </w:p>
        </w:tc>
        <w:tc>
          <w:tcPr>
            <w:tcW w:w="0" w:type="dxa"/>
            <w:vAlign w:val="bottom"/>
          </w:tcPr>
          <w:p>
            <w:pPr>
              <w:spacing w:after="0"/>
              <w:rPr>
                <w:sz w:val="1"/>
                <w:szCs w:val="1"/>
                <w:color w:val="auto"/>
              </w:rPr>
            </w:pPr>
          </w:p>
        </w:tc>
      </w:tr>
      <w:tr>
        <w:trPr>
          <w:trHeight w:val="301"/>
        </w:trPr>
        <w:tc>
          <w:tcPr>
            <w:tcW w:w="580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Long-term debt, net and other borrowings</w:t>
            </w:r>
          </w:p>
        </w:tc>
        <w:tc>
          <w:tcPr>
            <w:tcW w:w="380" w:type="dxa"/>
            <w:vAlign w:val="bottom"/>
            <w:shd w:val="clear" w:color="auto" w:fill="E9E9E9"/>
          </w:tcPr>
          <w:p>
            <w:pPr>
              <w:spacing w:after="0"/>
              <w:rPr>
                <w:sz w:val="24"/>
                <w:szCs w:val="24"/>
                <w:color w:val="auto"/>
              </w:rPr>
            </w:pPr>
          </w:p>
        </w:tc>
        <w:tc>
          <w:tcPr>
            <w:tcW w:w="12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565,279</w:t>
            </w:r>
          </w:p>
        </w:tc>
        <w:tc>
          <w:tcPr>
            <w:tcW w:w="80" w:type="dxa"/>
            <w:vAlign w:val="bottom"/>
            <w:shd w:val="clear" w:color="auto" w:fill="E9E9E9"/>
          </w:tcPr>
          <w:p>
            <w:pPr>
              <w:spacing w:after="0"/>
              <w:rPr>
                <w:sz w:val="24"/>
                <w:szCs w:val="24"/>
                <w:color w:val="auto"/>
              </w:rPr>
            </w:pPr>
          </w:p>
        </w:tc>
        <w:tc>
          <w:tcPr>
            <w:tcW w:w="560" w:type="dxa"/>
            <w:vAlign w:val="bottom"/>
            <w:shd w:val="clear" w:color="auto" w:fill="E9E9E9"/>
          </w:tcPr>
          <w:p>
            <w:pPr>
              <w:spacing w:after="0"/>
              <w:rPr>
                <w:sz w:val="24"/>
                <w:szCs w:val="24"/>
                <w:color w:val="auto"/>
              </w:rPr>
            </w:pPr>
          </w:p>
        </w:tc>
        <w:tc>
          <w:tcPr>
            <w:tcW w:w="10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561,670</w:t>
            </w:r>
          </w:p>
        </w:tc>
        <w:tc>
          <w:tcPr>
            <w:tcW w:w="0" w:type="dxa"/>
            <w:vAlign w:val="bottom"/>
          </w:tcPr>
          <w:p>
            <w:pPr>
              <w:spacing w:after="0"/>
              <w:rPr>
                <w:sz w:val="1"/>
                <w:szCs w:val="1"/>
                <w:color w:val="auto"/>
              </w:rPr>
            </w:pPr>
          </w:p>
        </w:tc>
      </w:tr>
      <w:tr>
        <w:trPr>
          <w:trHeight w:val="284"/>
        </w:trPr>
        <w:tc>
          <w:tcPr>
            <w:tcW w:w="5800" w:type="dxa"/>
            <w:vAlign w:val="bottom"/>
            <w:tcBorders>
              <w:bottom w:val="single" w:sz="8" w:color="E9E9E9"/>
            </w:tcBorders>
          </w:tcPr>
          <w:p>
            <w:pPr>
              <w:ind w:left="40"/>
              <w:spacing w:after="0"/>
              <w:rPr>
                <w:sz w:val="20"/>
                <w:szCs w:val="20"/>
                <w:color w:val="auto"/>
              </w:rPr>
            </w:pPr>
            <w:r>
              <w:rPr>
                <w:rFonts w:ascii="Times New Roman" w:cs="Times New Roman" w:eastAsia="Times New Roman" w:hAnsi="Times New Roman"/>
                <w:sz w:val="20"/>
                <w:szCs w:val="20"/>
                <w:color w:val="auto"/>
              </w:rPr>
              <w:t>Other long-term liabilities</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63,180</w:t>
            </w:r>
          </w:p>
        </w:tc>
        <w:tc>
          <w:tcPr>
            <w:tcW w:w="80" w:type="dxa"/>
            <w:vAlign w:val="bottom"/>
            <w:tcBorders>
              <w:bottom w:val="single" w:sz="8" w:color="E9E9E9"/>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63,321</w:t>
            </w:r>
          </w:p>
        </w:tc>
        <w:tc>
          <w:tcPr>
            <w:tcW w:w="0" w:type="dxa"/>
            <w:vAlign w:val="bottom"/>
          </w:tcPr>
          <w:p>
            <w:pPr>
              <w:spacing w:after="0"/>
              <w:rPr>
                <w:sz w:val="1"/>
                <w:szCs w:val="1"/>
                <w:color w:val="auto"/>
              </w:rPr>
            </w:pPr>
          </w:p>
        </w:tc>
      </w:tr>
      <w:tr>
        <w:trPr>
          <w:trHeight w:val="293"/>
        </w:trPr>
        <w:tc>
          <w:tcPr>
            <w:tcW w:w="5800" w:type="dxa"/>
            <w:vAlign w:val="bottom"/>
            <w:tcBorders>
              <w:bottom w:val="single" w:sz="8" w:color="E9E9E9"/>
            </w:tcBorders>
            <w:shd w:val="clear" w:color="auto" w:fill="E9E9E9"/>
          </w:tcPr>
          <w:p>
            <w:pPr>
              <w:ind w:left="260"/>
              <w:spacing w:after="0"/>
              <w:rPr>
                <w:sz w:val="20"/>
                <w:szCs w:val="20"/>
                <w:color w:val="auto"/>
              </w:rPr>
            </w:pPr>
            <w:r>
              <w:rPr>
                <w:rFonts w:ascii="Times New Roman" w:cs="Times New Roman" w:eastAsia="Times New Roman" w:hAnsi="Times New Roman"/>
                <w:sz w:val="20"/>
                <w:szCs w:val="20"/>
                <w:b w:val="1"/>
                <w:bCs w:val="1"/>
                <w:color w:val="auto"/>
              </w:rPr>
              <w:t>Total liabilities</w:t>
            </w:r>
          </w:p>
        </w:tc>
        <w:tc>
          <w:tcPr>
            <w:tcW w:w="380" w:type="dxa"/>
            <w:vAlign w:val="bottom"/>
            <w:tcBorders>
              <w:bottom w:val="single" w:sz="8" w:color="auto"/>
            </w:tcBorders>
            <w:shd w:val="clear" w:color="auto" w:fill="E9E9E9"/>
          </w:tcPr>
          <w:p>
            <w:pPr>
              <w:spacing w:after="0"/>
              <w:rPr>
                <w:sz w:val="24"/>
                <w:szCs w:val="24"/>
                <w:color w:val="auto"/>
              </w:rPr>
            </w:pPr>
          </w:p>
        </w:tc>
        <w:tc>
          <w:tcPr>
            <w:tcW w:w="122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892,329</w:t>
            </w:r>
          </w:p>
        </w:tc>
        <w:tc>
          <w:tcPr>
            <w:tcW w:w="80" w:type="dxa"/>
            <w:vAlign w:val="bottom"/>
            <w:tcBorders>
              <w:bottom w:val="single" w:sz="8" w:color="E9E9E9"/>
            </w:tcBorders>
            <w:shd w:val="clear" w:color="auto" w:fill="E9E9E9"/>
          </w:tcPr>
          <w:p>
            <w:pPr>
              <w:spacing w:after="0"/>
              <w:rPr>
                <w:sz w:val="24"/>
                <w:szCs w:val="24"/>
                <w:color w:val="auto"/>
              </w:rPr>
            </w:pPr>
          </w:p>
        </w:tc>
        <w:tc>
          <w:tcPr>
            <w:tcW w:w="560" w:type="dxa"/>
            <w:vAlign w:val="bottom"/>
            <w:tcBorders>
              <w:bottom w:val="single" w:sz="8" w:color="auto"/>
            </w:tcBorders>
            <w:shd w:val="clear" w:color="auto" w:fill="E9E9E9"/>
          </w:tcPr>
          <w:p>
            <w:pPr>
              <w:spacing w:after="0"/>
              <w:rPr>
                <w:sz w:val="24"/>
                <w:szCs w:val="24"/>
                <w:color w:val="auto"/>
              </w:rPr>
            </w:pPr>
          </w:p>
        </w:tc>
        <w:tc>
          <w:tcPr>
            <w:tcW w:w="104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835,257</w:t>
            </w:r>
          </w:p>
        </w:tc>
        <w:tc>
          <w:tcPr>
            <w:tcW w:w="0" w:type="dxa"/>
            <w:vAlign w:val="bottom"/>
          </w:tcPr>
          <w:p>
            <w:pPr>
              <w:spacing w:after="0"/>
              <w:rPr>
                <w:sz w:val="1"/>
                <w:szCs w:val="1"/>
                <w:color w:val="auto"/>
              </w:rPr>
            </w:pPr>
          </w:p>
        </w:tc>
      </w:tr>
      <w:tr>
        <w:trPr>
          <w:trHeight w:val="243"/>
        </w:trPr>
        <w:tc>
          <w:tcPr>
            <w:tcW w:w="58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Commitments and contingencies (see Note 19)</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580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b w:val="1"/>
                <w:bCs w:val="1"/>
                <w:color w:val="auto"/>
              </w:rPr>
              <w:t>Stockholders’ equity</w:t>
            </w:r>
          </w:p>
        </w:tc>
        <w:tc>
          <w:tcPr>
            <w:tcW w:w="380" w:type="dxa"/>
            <w:vAlign w:val="bottom"/>
            <w:shd w:val="clear" w:color="auto" w:fill="E9E9E9"/>
          </w:tcPr>
          <w:p>
            <w:pPr>
              <w:spacing w:after="0"/>
              <w:rPr>
                <w:sz w:val="24"/>
                <w:szCs w:val="24"/>
                <w:color w:val="auto"/>
              </w:rPr>
            </w:pPr>
          </w:p>
        </w:tc>
        <w:tc>
          <w:tcPr>
            <w:tcW w:w="1220" w:type="dxa"/>
            <w:vAlign w:val="bottom"/>
            <w:shd w:val="clear" w:color="auto" w:fill="E9E9E9"/>
          </w:tcPr>
          <w:p>
            <w:pPr>
              <w:spacing w:after="0"/>
              <w:rPr>
                <w:sz w:val="24"/>
                <w:szCs w:val="24"/>
                <w:color w:val="auto"/>
              </w:rPr>
            </w:pPr>
          </w:p>
        </w:tc>
        <w:tc>
          <w:tcPr>
            <w:tcW w:w="80" w:type="dxa"/>
            <w:vAlign w:val="bottom"/>
            <w:shd w:val="clear" w:color="auto" w:fill="E9E9E9"/>
          </w:tcPr>
          <w:p>
            <w:pPr>
              <w:spacing w:after="0"/>
              <w:rPr>
                <w:sz w:val="24"/>
                <w:szCs w:val="24"/>
                <w:color w:val="auto"/>
              </w:rPr>
            </w:pPr>
          </w:p>
        </w:tc>
        <w:tc>
          <w:tcPr>
            <w:tcW w:w="560" w:type="dxa"/>
            <w:vAlign w:val="bottom"/>
            <w:shd w:val="clear" w:color="auto" w:fill="E9E9E9"/>
          </w:tcPr>
          <w:p>
            <w:pPr>
              <w:spacing w:after="0"/>
              <w:rPr>
                <w:sz w:val="24"/>
                <w:szCs w:val="24"/>
                <w:color w:val="auto"/>
              </w:rPr>
            </w:pPr>
          </w:p>
        </w:tc>
        <w:tc>
          <w:tcPr>
            <w:tcW w:w="1040" w:type="dxa"/>
            <w:vAlign w:val="bottom"/>
            <w:shd w:val="clear" w:color="auto" w:fill="E9E9E9"/>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80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Preferred stock ($0.01 par value, 25,000 shares authorized; no shares</w:t>
            </w:r>
          </w:p>
        </w:tc>
        <w:tc>
          <w:tcPr>
            <w:tcW w:w="38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5"/>
        </w:trPr>
        <w:tc>
          <w:tcPr>
            <w:tcW w:w="5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issued and outstanding)</w:t>
            </w:r>
          </w:p>
        </w:tc>
        <w:tc>
          <w:tcPr>
            <w:tcW w:w="380" w:type="dxa"/>
            <w:vAlign w:val="bottom"/>
          </w:tcPr>
          <w:p>
            <w:pPr>
              <w:spacing w:after="0"/>
              <w:rPr>
                <w:sz w:val="23"/>
                <w:szCs w:val="23"/>
                <w:color w:val="auto"/>
              </w:rPr>
            </w:pPr>
          </w:p>
        </w:tc>
        <w:tc>
          <w:tcPr>
            <w:tcW w:w="12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5800" w:type="dxa"/>
            <w:vAlign w:val="bottom"/>
            <w:shd w:val="clear" w:color="auto" w:fill="E9E9E9"/>
          </w:tcPr>
          <w:p>
            <w:pPr>
              <w:ind w:left="40"/>
              <w:spacing w:after="0" w:line="225" w:lineRule="exact"/>
              <w:rPr>
                <w:sz w:val="20"/>
                <w:szCs w:val="20"/>
                <w:color w:val="auto"/>
              </w:rPr>
            </w:pPr>
            <w:r>
              <w:rPr>
                <w:rFonts w:ascii="Times New Roman" w:cs="Times New Roman" w:eastAsia="Times New Roman" w:hAnsi="Times New Roman"/>
                <w:sz w:val="20"/>
                <w:szCs w:val="20"/>
                <w:color w:val="auto"/>
                <w:w w:val="99"/>
              </w:rPr>
              <w:t>Common stock ($0.01 par value, 250,000 shares authorized; 70,905 and</w:t>
            </w:r>
          </w:p>
        </w:tc>
        <w:tc>
          <w:tcPr>
            <w:tcW w:w="380" w:type="dxa"/>
            <w:vAlign w:val="bottom"/>
            <w:shd w:val="clear" w:color="auto" w:fill="E9E9E9"/>
          </w:tcPr>
          <w:p>
            <w:pPr>
              <w:spacing w:after="0"/>
              <w:rPr>
                <w:sz w:val="19"/>
                <w:szCs w:val="19"/>
                <w:color w:val="auto"/>
              </w:rPr>
            </w:pPr>
          </w:p>
        </w:tc>
        <w:tc>
          <w:tcPr>
            <w:tcW w:w="12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560" w:type="dxa"/>
            <w:vAlign w:val="bottom"/>
            <w:shd w:val="clear" w:color="auto" w:fill="E9E9E9"/>
          </w:tcPr>
          <w:p>
            <w:pPr>
              <w:spacing w:after="0"/>
              <w:rPr>
                <w:sz w:val="19"/>
                <w:szCs w:val="19"/>
                <w:color w:val="auto"/>
              </w:rPr>
            </w:pPr>
          </w:p>
        </w:tc>
        <w:tc>
          <w:tcPr>
            <w:tcW w:w="104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00" w:type="dxa"/>
            <w:vAlign w:val="bottom"/>
            <w:shd w:val="clear" w:color="auto" w:fill="E9E9E9"/>
          </w:tcPr>
          <w:p>
            <w:pPr>
              <w:ind w:left="40"/>
              <w:spacing w:after="0" w:line="196" w:lineRule="exact"/>
              <w:rPr>
                <w:sz w:val="20"/>
                <w:szCs w:val="20"/>
                <w:color w:val="auto"/>
              </w:rPr>
            </w:pPr>
            <w:r>
              <w:rPr>
                <w:rFonts w:ascii="Times New Roman" w:cs="Times New Roman" w:eastAsia="Times New Roman" w:hAnsi="Times New Roman"/>
                <w:sz w:val="20"/>
                <w:szCs w:val="20"/>
                <w:color w:val="auto"/>
              </w:rPr>
              <w:t>69,863 shares issued and outstanding as of December 31, 2024 and</w:t>
            </w:r>
          </w:p>
        </w:tc>
        <w:tc>
          <w:tcPr>
            <w:tcW w:w="380" w:type="dxa"/>
            <w:vAlign w:val="bottom"/>
            <w:shd w:val="clear" w:color="auto" w:fill="E9E9E9"/>
          </w:tcPr>
          <w:p>
            <w:pPr>
              <w:spacing w:after="0"/>
              <w:rPr>
                <w:sz w:val="17"/>
                <w:szCs w:val="17"/>
                <w:color w:val="auto"/>
              </w:rPr>
            </w:pPr>
          </w:p>
        </w:tc>
        <w:tc>
          <w:tcPr>
            <w:tcW w:w="1220" w:type="dxa"/>
            <w:vAlign w:val="bottom"/>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c>
          <w:tcPr>
            <w:tcW w:w="560" w:type="dxa"/>
            <w:vAlign w:val="bottom"/>
            <w:shd w:val="clear" w:color="auto" w:fill="E9E9E9"/>
          </w:tcPr>
          <w:p>
            <w:pPr>
              <w:spacing w:after="0"/>
              <w:rPr>
                <w:sz w:val="17"/>
                <w:szCs w:val="17"/>
                <w:color w:val="auto"/>
              </w:rPr>
            </w:pPr>
          </w:p>
        </w:tc>
        <w:tc>
          <w:tcPr>
            <w:tcW w:w="1040" w:type="dxa"/>
            <w:vAlign w:val="bottom"/>
            <w:shd w:val="clear" w:color="auto" w:fill="E9E9E9"/>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580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2023, respectively)</w:t>
            </w:r>
          </w:p>
        </w:tc>
        <w:tc>
          <w:tcPr>
            <w:tcW w:w="380" w:type="dxa"/>
            <w:vAlign w:val="bottom"/>
            <w:shd w:val="clear" w:color="auto" w:fill="E9E9E9"/>
          </w:tcPr>
          <w:p>
            <w:pPr>
              <w:spacing w:after="0"/>
              <w:rPr>
                <w:sz w:val="24"/>
                <w:szCs w:val="24"/>
                <w:color w:val="auto"/>
              </w:rPr>
            </w:pPr>
          </w:p>
        </w:tc>
        <w:tc>
          <w:tcPr>
            <w:tcW w:w="12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709</w:t>
            </w:r>
          </w:p>
        </w:tc>
        <w:tc>
          <w:tcPr>
            <w:tcW w:w="80" w:type="dxa"/>
            <w:vAlign w:val="bottom"/>
            <w:shd w:val="clear" w:color="auto" w:fill="E9E9E9"/>
          </w:tcPr>
          <w:p>
            <w:pPr>
              <w:spacing w:after="0"/>
              <w:rPr>
                <w:sz w:val="24"/>
                <w:szCs w:val="24"/>
                <w:color w:val="auto"/>
              </w:rPr>
            </w:pPr>
          </w:p>
        </w:tc>
        <w:tc>
          <w:tcPr>
            <w:tcW w:w="560" w:type="dxa"/>
            <w:vAlign w:val="bottom"/>
            <w:shd w:val="clear" w:color="auto" w:fill="E9E9E9"/>
          </w:tcPr>
          <w:p>
            <w:pPr>
              <w:spacing w:after="0"/>
              <w:rPr>
                <w:sz w:val="24"/>
                <w:szCs w:val="24"/>
                <w:color w:val="auto"/>
              </w:rPr>
            </w:pPr>
          </w:p>
        </w:tc>
        <w:tc>
          <w:tcPr>
            <w:tcW w:w="10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699</w:t>
            </w:r>
          </w:p>
        </w:tc>
        <w:tc>
          <w:tcPr>
            <w:tcW w:w="0" w:type="dxa"/>
            <w:vAlign w:val="bottom"/>
          </w:tcPr>
          <w:p>
            <w:pPr>
              <w:spacing w:after="0"/>
              <w:rPr>
                <w:sz w:val="1"/>
                <w:szCs w:val="1"/>
                <w:color w:val="auto"/>
              </w:rPr>
            </w:pPr>
          </w:p>
        </w:tc>
      </w:tr>
      <w:tr>
        <w:trPr>
          <w:trHeight w:val="287"/>
        </w:trPr>
        <w:tc>
          <w:tcPr>
            <w:tcW w:w="5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817,972</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757,727</w:t>
            </w:r>
          </w:p>
        </w:tc>
        <w:tc>
          <w:tcPr>
            <w:tcW w:w="0" w:type="dxa"/>
            <w:vAlign w:val="bottom"/>
          </w:tcPr>
          <w:p>
            <w:pPr>
              <w:spacing w:after="0"/>
              <w:rPr>
                <w:sz w:val="1"/>
                <w:szCs w:val="1"/>
                <w:color w:val="auto"/>
              </w:rPr>
            </w:pPr>
          </w:p>
        </w:tc>
      </w:tr>
      <w:tr>
        <w:trPr>
          <w:trHeight w:val="313"/>
        </w:trPr>
        <w:tc>
          <w:tcPr>
            <w:tcW w:w="580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Treasury Stock at cost - 2,455 shares and 1,339 shares as of December</w:t>
            </w:r>
          </w:p>
        </w:tc>
        <w:tc>
          <w:tcPr>
            <w:tcW w:w="380" w:type="dxa"/>
            <w:vAlign w:val="bottom"/>
            <w:shd w:val="clear" w:color="auto" w:fill="E9E9E9"/>
          </w:tcPr>
          <w:p>
            <w:pPr>
              <w:spacing w:after="0"/>
              <w:rPr>
                <w:sz w:val="24"/>
                <w:szCs w:val="24"/>
                <w:color w:val="auto"/>
              </w:rPr>
            </w:pPr>
          </w:p>
        </w:tc>
        <w:tc>
          <w:tcPr>
            <w:tcW w:w="1220" w:type="dxa"/>
            <w:vAlign w:val="bottom"/>
            <w:vMerge w:val="restart"/>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(175,000)</w:t>
            </w:r>
          </w:p>
        </w:tc>
        <w:tc>
          <w:tcPr>
            <w:tcW w:w="80" w:type="dxa"/>
            <w:vAlign w:val="bottom"/>
            <w:shd w:val="clear" w:color="auto" w:fill="E9E9E9"/>
          </w:tcPr>
          <w:p>
            <w:pPr>
              <w:spacing w:after="0"/>
              <w:rPr>
                <w:sz w:val="24"/>
                <w:szCs w:val="24"/>
                <w:color w:val="auto"/>
              </w:rPr>
            </w:pPr>
          </w:p>
        </w:tc>
        <w:tc>
          <w:tcPr>
            <w:tcW w:w="560" w:type="dxa"/>
            <w:vAlign w:val="bottom"/>
            <w:shd w:val="clear" w:color="auto" w:fill="E9E9E9"/>
          </w:tcPr>
          <w:p>
            <w:pPr>
              <w:spacing w:after="0"/>
              <w:rPr>
                <w:sz w:val="24"/>
                <w:szCs w:val="24"/>
                <w:color w:val="auto"/>
              </w:rPr>
            </w:pPr>
          </w:p>
        </w:tc>
        <w:tc>
          <w:tcPr>
            <w:tcW w:w="1040" w:type="dxa"/>
            <w:vAlign w:val="bottom"/>
            <w:vMerge w:val="restart"/>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(75,000)</w:t>
            </w:r>
          </w:p>
        </w:tc>
        <w:tc>
          <w:tcPr>
            <w:tcW w:w="0" w:type="dxa"/>
            <w:vAlign w:val="bottom"/>
          </w:tcPr>
          <w:p>
            <w:pPr>
              <w:spacing w:after="0"/>
              <w:rPr>
                <w:sz w:val="1"/>
                <w:szCs w:val="1"/>
                <w:color w:val="auto"/>
              </w:rPr>
            </w:pPr>
          </w:p>
        </w:tc>
      </w:tr>
      <w:tr>
        <w:trPr>
          <w:trHeight w:val="268"/>
        </w:trPr>
        <w:tc>
          <w:tcPr>
            <w:tcW w:w="580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31, 2024 and 2023, respectively</w:t>
            </w:r>
          </w:p>
        </w:tc>
        <w:tc>
          <w:tcPr>
            <w:tcW w:w="380" w:type="dxa"/>
            <w:vAlign w:val="bottom"/>
            <w:shd w:val="clear" w:color="auto" w:fill="E9E9E9"/>
          </w:tcPr>
          <w:p>
            <w:pPr>
              <w:spacing w:after="0"/>
              <w:rPr>
                <w:sz w:val="23"/>
                <w:szCs w:val="23"/>
                <w:color w:val="auto"/>
              </w:rPr>
            </w:pPr>
          </w:p>
        </w:tc>
        <w:tc>
          <w:tcPr>
            <w:tcW w:w="1220" w:type="dxa"/>
            <w:vAlign w:val="bottom"/>
            <w:vMerge w:val="continue"/>
            <w:shd w:val="clear" w:color="auto" w:fill="E9E9E9"/>
          </w:tcPr>
          <w:p>
            <w:pPr>
              <w:spacing w:after="0"/>
              <w:rPr>
                <w:sz w:val="23"/>
                <w:szCs w:val="23"/>
                <w:color w:val="auto"/>
              </w:rPr>
            </w:pPr>
          </w:p>
        </w:tc>
        <w:tc>
          <w:tcPr>
            <w:tcW w:w="80" w:type="dxa"/>
            <w:vAlign w:val="bottom"/>
            <w:shd w:val="clear" w:color="auto" w:fill="E9E9E9"/>
          </w:tcPr>
          <w:p>
            <w:pPr>
              <w:spacing w:after="0"/>
              <w:rPr>
                <w:sz w:val="23"/>
                <w:szCs w:val="23"/>
                <w:color w:val="auto"/>
              </w:rPr>
            </w:pPr>
          </w:p>
        </w:tc>
        <w:tc>
          <w:tcPr>
            <w:tcW w:w="560" w:type="dxa"/>
            <w:vAlign w:val="bottom"/>
            <w:shd w:val="clear" w:color="auto" w:fill="E9E9E9"/>
          </w:tcPr>
          <w:p>
            <w:pPr>
              <w:spacing w:after="0"/>
              <w:rPr>
                <w:sz w:val="23"/>
                <w:szCs w:val="23"/>
                <w:color w:val="auto"/>
              </w:rPr>
            </w:pPr>
          </w:p>
        </w:tc>
        <w:tc>
          <w:tcPr>
            <w:tcW w:w="1040" w:type="dxa"/>
            <w:vAlign w:val="bottom"/>
            <w:vMerge w:val="continue"/>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5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Retained earnings</w:t>
            </w: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445,945</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133,503</w:t>
            </w:r>
          </w:p>
        </w:tc>
        <w:tc>
          <w:tcPr>
            <w:tcW w:w="0" w:type="dxa"/>
            <w:vAlign w:val="bottom"/>
          </w:tcPr>
          <w:p>
            <w:pPr>
              <w:spacing w:after="0"/>
              <w:rPr>
                <w:sz w:val="1"/>
                <w:szCs w:val="1"/>
                <w:color w:val="auto"/>
              </w:rPr>
            </w:pPr>
          </w:p>
        </w:tc>
      </w:tr>
      <w:tr>
        <w:trPr>
          <w:trHeight w:val="309"/>
        </w:trPr>
        <w:tc>
          <w:tcPr>
            <w:tcW w:w="5800" w:type="dxa"/>
            <w:vAlign w:val="bottom"/>
            <w:tcBorders>
              <w:bottom w:val="single" w:sz="8" w:color="E9E9E9"/>
            </w:tcBorders>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Accumulated other comprehensive loss</w:t>
            </w:r>
          </w:p>
        </w:tc>
        <w:tc>
          <w:tcPr>
            <w:tcW w:w="380" w:type="dxa"/>
            <w:vAlign w:val="bottom"/>
            <w:tcBorders>
              <w:bottom w:val="single" w:sz="8" w:color="auto"/>
            </w:tcBorders>
            <w:shd w:val="clear" w:color="auto" w:fill="E9E9E9"/>
          </w:tcPr>
          <w:p>
            <w:pPr>
              <w:spacing w:after="0"/>
              <w:rPr>
                <w:sz w:val="24"/>
                <w:szCs w:val="24"/>
                <w:color w:val="auto"/>
              </w:rPr>
            </w:pPr>
          </w:p>
        </w:tc>
        <w:tc>
          <w:tcPr>
            <w:tcW w:w="122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(1,615)</w:t>
            </w:r>
          </w:p>
        </w:tc>
        <w:tc>
          <w:tcPr>
            <w:tcW w:w="80" w:type="dxa"/>
            <w:vAlign w:val="bottom"/>
            <w:tcBorders>
              <w:bottom w:val="single" w:sz="8" w:color="E9E9E9"/>
            </w:tcBorders>
            <w:shd w:val="clear" w:color="auto" w:fill="E9E9E9"/>
          </w:tcPr>
          <w:p>
            <w:pPr>
              <w:spacing w:after="0"/>
              <w:rPr>
                <w:sz w:val="24"/>
                <w:szCs w:val="24"/>
                <w:color w:val="auto"/>
              </w:rPr>
            </w:pPr>
          </w:p>
        </w:tc>
        <w:tc>
          <w:tcPr>
            <w:tcW w:w="560" w:type="dxa"/>
            <w:vAlign w:val="bottom"/>
            <w:tcBorders>
              <w:bottom w:val="single" w:sz="8" w:color="auto"/>
            </w:tcBorders>
            <w:shd w:val="clear" w:color="auto" w:fill="E9E9E9"/>
          </w:tcPr>
          <w:p>
            <w:pPr>
              <w:spacing w:after="0"/>
              <w:rPr>
                <w:sz w:val="24"/>
                <w:szCs w:val="24"/>
                <w:color w:val="auto"/>
              </w:rPr>
            </w:pPr>
          </w:p>
        </w:tc>
        <w:tc>
          <w:tcPr>
            <w:tcW w:w="104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(1,037)</w:t>
            </w:r>
          </w:p>
        </w:tc>
        <w:tc>
          <w:tcPr>
            <w:tcW w:w="0" w:type="dxa"/>
            <w:vAlign w:val="bottom"/>
          </w:tcPr>
          <w:p>
            <w:pPr>
              <w:spacing w:after="0"/>
              <w:rPr>
                <w:sz w:val="1"/>
                <w:szCs w:val="1"/>
                <w:color w:val="auto"/>
              </w:rPr>
            </w:pPr>
          </w:p>
        </w:tc>
      </w:tr>
      <w:tr>
        <w:trPr>
          <w:trHeight w:val="255"/>
        </w:trPr>
        <w:tc>
          <w:tcPr>
            <w:tcW w:w="5800" w:type="dxa"/>
            <w:vAlign w:val="bottom"/>
            <w:tcBorders>
              <w:bottom w:val="single" w:sz="8" w:color="E9E9E9"/>
            </w:tcBorders>
          </w:tcPr>
          <w:p>
            <w:pPr>
              <w:ind w:left="260"/>
              <w:spacing w:after="0"/>
              <w:rPr>
                <w:sz w:val="20"/>
                <w:szCs w:val="20"/>
                <w:color w:val="auto"/>
              </w:rPr>
            </w:pPr>
            <w:r>
              <w:rPr>
                <w:rFonts w:ascii="Times New Roman" w:cs="Times New Roman" w:eastAsia="Times New Roman" w:hAnsi="Times New Roman"/>
                <w:sz w:val="20"/>
                <w:szCs w:val="20"/>
                <w:b w:val="1"/>
                <w:bCs w:val="1"/>
                <w:color w:val="auto"/>
              </w:rPr>
              <w:t>Total stockholders’ equity</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1,088,011</w:t>
            </w:r>
          </w:p>
        </w:tc>
        <w:tc>
          <w:tcPr>
            <w:tcW w:w="80" w:type="dxa"/>
            <w:vAlign w:val="bottom"/>
            <w:tcBorders>
              <w:bottom w:val="single" w:sz="8" w:color="E9E9E9"/>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815,892</w:t>
            </w:r>
          </w:p>
        </w:tc>
        <w:tc>
          <w:tcPr>
            <w:tcW w:w="0" w:type="dxa"/>
            <w:vAlign w:val="bottom"/>
          </w:tcPr>
          <w:p>
            <w:pPr>
              <w:spacing w:after="0"/>
              <w:rPr>
                <w:sz w:val="1"/>
                <w:szCs w:val="1"/>
                <w:color w:val="auto"/>
              </w:rPr>
            </w:pPr>
          </w:p>
        </w:tc>
      </w:tr>
      <w:tr>
        <w:trPr>
          <w:trHeight w:val="294"/>
        </w:trPr>
        <w:tc>
          <w:tcPr>
            <w:tcW w:w="5800" w:type="dxa"/>
            <w:vAlign w:val="bottom"/>
            <w:tcBorders>
              <w:bottom w:val="single" w:sz="8" w:color="E9E9E9"/>
            </w:tcBorders>
            <w:shd w:val="clear" w:color="auto" w:fill="E9E9E9"/>
          </w:tcPr>
          <w:p>
            <w:pPr>
              <w:ind w:left="540"/>
              <w:spacing w:after="0"/>
              <w:rPr>
                <w:sz w:val="20"/>
                <w:szCs w:val="20"/>
                <w:color w:val="auto"/>
              </w:rPr>
            </w:pPr>
            <w:r>
              <w:rPr>
                <w:rFonts w:ascii="Times New Roman" w:cs="Times New Roman" w:eastAsia="Times New Roman" w:hAnsi="Times New Roman"/>
                <w:sz w:val="20"/>
                <w:szCs w:val="20"/>
                <w:b w:val="1"/>
                <w:bCs w:val="1"/>
                <w:color w:val="auto"/>
              </w:rPr>
              <w:t>Total liabilities and stockholders’ equity</w:t>
            </w:r>
          </w:p>
        </w:tc>
        <w:tc>
          <w:tcPr>
            <w:tcW w:w="380" w:type="dxa"/>
            <w:vAlign w:val="bottom"/>
            <w:tcBorders>
              <w:bottom w:val="single" w:sz="8" w:color="auto"/>
            </w:tcBorders>
            <w:shd w:val="clear" w:color="auto" w:fill="E9E9E9"/>
          </w:tcPr>
          <w:p>
            <w:pPr>
              <w:jc w:val="right"/>
              <w:ind w:right="122"/>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1,980,340</w:t>
            </w:r>
          </w:p>
        </w:tc>
        <w:tc>
          <w:tcPr>
            <w:tcW w:w="80" w:type="dxa"/>
            <w:vAlign w:val="bottom"/>
            <w:tcBorders>
              <w:bottom w:val="single" w:sz="8" w:color="E9E9E9"/>
            </w:tcBorders>
            <w:shd w:val="clear" w:color="auto" w:fill="E9E9E9"/>
          </w:tcPr>
          <w:p>
            <w:pPr>
              <w:spacing w:after="0"/>
              <w:rPr>
                <w:sz w:val="24"/>
                <w:szCs w:val="24"/>
                <w:color w:val="auto"/>
              </w:rPr>
            </w:pPr>
          </w:p>
        </w:tc>
        <w:tc>
          <w:tcPr>
            <w:tcW w:w="560" w:type="dxa"/>
            <w:vAlign w:val="bottom"/>
            <w:tcBorders>
              <w:bottom w:val="single" w:sz="8" w:color="auto"/>
            </w:tcBorders>
            <w:shd w:val="clear" w:color="auto" w:fill="E9E9E9"/>
          </w:tcPr>
          <w:p>
            <w:pPr>
              <w:jc w:val="right"/>
              <w:ind w:right="322"/>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1,651,149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3672840</wp:posOffset>
            </wp:positionH>
            <wp:positionV relativeFrom="paragraph">
              <wp:posOffset>-4290695</wp:posOffset>
            </wp:positionV>
            <wp:extent cx="2106930" cy="501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06930" cy="50165"/>
                    </a:xfrm>
                    <a:prstGeom prst="rect">
                      <a:avLst/>
                    </a:prstGeom>
                    <a:noFill/>
                  </pic:spPr>
                </pic:pic>
              </a:graphicData>
            </a:graphic>
          </wp:anchor>
        </w:drawing>
        <w:drawing>
          <wp:anchor simplePos="0" relativeHeight="251657728" behindDoc="1" locked="0" layoutInCell="0" allowOverlap="1">
            <wp:simplePos x="0" y="0"/>
            <wp:positionH relativeFrom="column">
              <wp:posOffset>3672840</wp:posOffset>
            </wp:positionH>
            <wp:positionV relativeFrom="paragraph">
              <wp:posOffset>-43180</wp:posOffset>
            </wp:positionV>
            <wp:extent cx="2106930" cy="501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06930" cy="5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9080"/>
          </w:cols>
          <w:pgMar w:left="1400" w:top="615"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1880" w:h="15480" w:orient="portrait"/>
          <w:cols w:equalWidth="0" w:num="1">
            <w:col w:w="9080"/>
          </w:cols>
          <w:pgMar w:left="1400" w:top="615" w:right="1400" w:bottom="0" w:gutter="0" w:footer="0" w:header="0"/>
          <w:type w:val="continuous"/>
        </w:sectPr>
      </w:pPr>
    </w:p>
    <w:bookmarkStart w:id="86" w:name="page87"/>
    <w:bookmarkEnd w:id="86"/>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Lantheus Holdings,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except per share data)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280" w:type="dxa"/>
            <w:vAlign w:val="bottom"/>
            <w:tcBorders>
              <w:bottom w:val="single" w:sz="8" w:color="auto"/>
            </w:tcBorders>
            <w:gridSpan w:val="6"/>
          </w:tcPr>
          <w:p>
            <w:pPr>
              <w:jc w:val="right"/>
              <w:ind w:right="62"/>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120" w:type="dxa"/>
            <w:vAlign w:val="bottom"/>
            <w:tcBorders>
              <w:bottom w:val="single" w:sz="8" w:color="auto"/>
            </w:tcBorders>
          </w:tcPr>
          <w:p>
            <w:pPr>
              <w:spacing w:after="0"/>
              <w:rPr>
                <w:sz w:val="22"/>
                <w:szCs w:val="22"/>
                <w:color w:val="auto"/>
              </w:rPr>
            </w:pPr>
          </w:p>
        </w:tc>
      </w:tr>
      <w:tr>
        <w:trPr>
          <w:trHeight w:val="216"/>
        </w:trPr>
        <w:tc>
          <w:tcPr>
            <w:tcW w:w="5160" w:type="dxa"/>
            <w:vAlign w:val="bottom"/>
            <w:tcBorders>
              <w:bottom w:val="single" w:sz="8" w:color="E9E9E9"/>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82"/>
              <w:spacing w:after="0" w:line="215" w:lineRule="exact"/>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Borders>
              <w:bottom w:val="single" w:sz="8" w:color="E9E9E9"/>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82"/>
              <w:spacing w:after="0" w:line="215" w:lineRule="exact"/>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Borders>
              <w:bottom w:val="single" w:sz="8" w:color="E9E9E9"/>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62"/>
              <w:spacing w:after="0" w:line="215" w:lineRule="exact"/>
              <w:rPr>
                <w:sz w:val="20"/>
                <w:szCs w:val="20"/>
                <w:color w:val="auto"/>
              </w:rPr>
            </w:pPr>
            <w:r>
              <w:rPr>
                <w:rFonts w:ascii="Times New Roman" w:cs="Times New Roman" w:eastAsia="Times New Roman" w:hAnsi="Times New Roman"/>
                <w:sz w:val="20"/>
                <w:szCs w:val="20"/>
                <w:b w:val="1"/>
                <w:bCs w:val="1"/>
                <w:color w:val="auto"/>
              </w:rPr>
              <w:t>2022</w:t>
            </w:r>
          </w:p>
        </w:tc>
      </w:tr>
      <w:tr>
        <w:trPr>
          <w:trHeight w:val="269"/>
        </w:trPr>
        <w:tc>
          <w:tcPr>
            <w:tcW w:w="516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Revenues</w:t>
            </w:r>
          </w:p>
        </w:tc>
        <w:tc>
          <w:tcPr>
            <w:tcW w:w="360" w:type="dxa"/>
            <w:vAlign w:val="bottom"/>
            <w:shd w:val="clear" w:color="auto" w:fill="E9E9E9"/>
          </w:tcPr>
          <w:p>
            <w:pPr>
              <w:jc w:val="right"/>
              <w:ind w:right="122"/>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1,533,910</w:t>
            </w:r>
          </w:p>
        </w:tc>
        <w:tc>
          <w:tcPr>
            <w:tcW w:w="440" w:type="dxa"/>
            <w:vAlign w:val="bottom"/>
            <w:gridSpan w:val="2"/>
            <w:shd w:val="clear" w:color="auto" w:fill="E9E9E9"/>
          </w:tcPr>
          <w:p>
            <w:pPr>
              <w:jc w:val="right"/>
              <w:ind w:right="122"/>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1,296,429</w:t>
            </w:r>
          </w:p>
        </w:tc>
        <w:tc>
          <w:tcPr>
            <w:tcW w:w="480" w:type="dxa"/>
            <w:vAlign w:val="bottom"/>
            <w:gridSpan w:val="2"/>
            <w:shd w:val="clear" w:color="auto" w:fill="E9E9E9"/>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935,061</w:t>
            </w:r>
          </w:p>
        </w:tc>
      </w:tr>
      <w:tr>
        <w:trPr>
          <w:trHeight w:val="269"/>
        </w:trPr>
        <w:tc>
          <w:tcPr>
            <w:tcW w:w="5160" w:type="dxa"/>
            <w:vAlign w:val="bottom"/>
            <w:tcBorders>
              <w:bottom w:val="single" w:sz="8" w:color="E9E9E9"/>
            </w:tcBorders>
          </w:tcPr>
          <w:p>
            <w:pPr>
              <w:ind w:left="40"/>
              <w:spacing w:after="0"/>
              <w:rPr>
                <w:sz w:val="20"/>
                <w:szCs w:val="20"/>
                <w:color w:val="auto"/>
              </w:rPr>
            </w:pPr>
            <w:r>
              <w:rPr>
                <w:rFonts w:ascii="Times New Roman" w:cs="Times New Roman" w:eastAsia="Times New Roman" w:hAnsi="Times New Roman"/>
                <w:sz w:val="20"/>
                <w:szCs w:val="20"/>
                <w:color w:val="auto"/>
              </w:rPr>
              <w:t>Cost of goods sold</w:t>
            </w: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545,619</w:t>
            </w:r>
          </w:p>
        </w:tc>
        <w:tc>
          <w:tcPr>
            <w:tcW w:w="60" w:type="dxa"/>
            <w:vAlign w:val="bottom"/>
            <w:tcBorders>
              <w:bottom w:val="single" w:sz="8" w:color="E9E9E9"/>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586,886</w:t>
            </w:r>
          </w:p>
        </w:tc>
        <w:tc>
          <w:tcPr>
            <w:tcW w:w="60" w:type="dxa"/>
            <w:vAlign w:val="bottom"/>
            <w:tcBorders>
              <w:bottom w:val="single" w:sz="8" w:color="E9E9E9"/>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353,358</w:t>
            </w:r>
          </w:p>
        </w:tc>
      </w:tr>
      <w:tr>
        <w:trPr>
          <w:trHeight w:val="279"/>
        </w:trPr>
        <w:tc>
          <w:tcPr>
            <w:tcW w:w="5160" w:type="dxa"/>
            <w:vAlign w:val="bottom"/>
            <w:tcBorders>
              <w:bottom w:val="single" w:sz="8" w:color="E9E9E9"/>
            </w:tcBorders>
            <w:shd w:val="clear" w:color="auto" w:fill="E9E9E9"/>
          </w:tcPr>
          <w:p>
            <w:pPr>
              <w:ind w:left="400"/>
              <w:spacing w:after="0"/>
              <w:rPr>
                <w:sz w:val="20"/>
                <w:szCs w:val="20"/>
                <w:color w:val="auto"/>
              </w:rPr>
            </w:pPr>
            <w:r>
              <w:rPr>
                <w:rFonts w:ascii="Times New Roman" w:cs="Times New Roman" w:eastAsia="Times New Roman" w:hAnsi="Times New Roman"/>
                <w:sz w:val="20"/>
                <w:szCs w:val="20"/>
                <w:color w:val="auto"/>
              </w:rPr>
              <w:t>Gross profit</w:t>
            </w:r>
          </w:p>
        </w:tc>
        <w:tc>
          <w:tcPr>
            <w:tcW w:w="360" w:type="dxa"/>
            <w:vAlign w:val="bottom"/>
            <w:tcBorders>
              <w:bottom w:val="single" w:sz="8" w:color="auto"/>
            </w:tcBorders>
            <w:shd w:val="clear" w:color="auto" w:fill="E9E9E9"/>
          </w:tcPr>
          <w:p>
            <w:pPr>
              <w:spacing w:after="0"/>
              <w:rPr>
                <w:sz w:val="24"/>
                <w:szCs w:val="24"/>
                <w:color w:val="auto"/>
              </w:rPr>
            </w:pPr>
          </w:p>
        </w:tc>
        <w:tc>
          <w:tcPr>
            <w:tcW w:w="11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988,291</w:t>
            </w:r>
          </w:p>
        </w:tc>
        <w:tc>
          <w:tcPr>
            <w:tcW w:w="60" w:type="dxa"/>
            <w:vAlign w:val="bottom"/>
            <w:tcBorders>
              <w:bottom w:val="single" w:sz="8" w:color="E9E9E9"/>
            </w:tcBorders>
            <w:shd w:val="clear" w:color="auto" w:fill="E9E9E9"/>
          </w:tcPr>
          <w:p>
            <w:pPr>
              <w:spacing w:after="0"/>
              <w:rPr>
                <w:sz w:val="24"/>
                <w:szCs w:val="24"/>
                <w:color w:val="auto"/>
              </w:rPr>
            </w:pPr>
          </w:p>
        </w:tc>
        <w:tc>
          <w:tcPr>
            <w:tcW w:w="380" w:type="dxa"/>
            <w:vAlign w:val="bottom"/>
            <w:tcBorders>
              <w:bottom w:val="single" w:sz="8" w:color="auto"/>
            </w:tcBorders>
            <w:shd w:val="clear" w:color="auto" w:fill="E9E9E9"/>
          </w:tcPr>
          <w:p>
            <w:pPr>
              <w:spacing w:after="0"/>
              <w:rPr>
                <w:sz w:val="24"/>
                <w:szCs w:val="24"/>
                <w:color w:val="auto"/>
              </w:rPr>
            </w:pPr>
          </w:p>
        </w:tc>
        <w:tc>
          <w:tcPr>
            <w:tcW w:w="11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709,543</w:t>
            </w:r>
          </w:p>
        </w:tc>
        <w:tc>
          <w:tcPr>
            <w:tcW w:w="60" w:type="dxa"/>
            <w:vAlign w:val="bottom"/>
            <w:tcBorders>
              <w:bottom w:val="single" w:sz="8" w:color="E9E9E9"/>
            </w:tcBorders>
            <w:shd w:val="clear" w:color="auto" w:fill="E9E9E9"/>
          </w:tcPr>
          <w:p>
            <w:pPr>
              <w:spacing w:after="0"/>
              <w:rPr>
                <w:sz w:val="24"/>
                <w:szCs w:val="24"/>
                <w:color w:val="auto"/>
              </w:rPr>
            </w:pPr>
          </w:p>
        </w:tc>
        <w:tc>
          <w:tcPr>
            <w:tcW w:w="420" w:type="dxa"/>
            <w:vAlign w:val="bottom"/>
            <w:tcBorders>
              <w:bottom w:val="single" w:sz="8" w:color="auto"/>
            </w:tcBorders>
            <w:shd w:val="clear" w:color="auto" w:fill="E9E9E9"/>
          </w:tcPr>
          <w:p>
            <w:pPr>
              <w:spacing w:after="0"/>
              <w:rPr>
                <w:sz w:val="24"/>
                <w:szCs w:val="24"/>
                <w:color w:val="auto"/>
              </w:rPr>
            </w:pPr>
          </w:p>
        </w:tc>
        <w:tc>
          <w:tcPr>
            <w:tcW w:w="112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581,703</w:t>
            </w:r>
          </w:p>
        </w:tc>
      </w:tr>
      <w:tr>
        <w:trPr>
          <w:trHeight w:val="244"/>
        </w:trPr>
        <w:tc>
          <w:tcPr>
            <w:tcW w:w="51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Operating expenses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85"/>
        </w:trPr>
        <w:tc>
          <w:tcPr>
            <w:tcW w:w="5160" w:type="dxa"/>
            <w:vAlign w:val="bottom"/>
            <w:shd w:val="clear" w:color="auto" w:fill="E9E9E9"/>
          </w:tcPr>
          <w:p>
            <w:pPr>
              <w:ind w:left="400"/>
              <w:spacing w:after="0"/>
              <w:rPr>
                <w:sz w:val="20"/>
                <w:szCs w:val="20"/>
                <w:color w:val="auto"/>
              </w:rPr>
            </w:pPr>
            <w:r>
              <w:rPr>
                <w:rFonts w:ascii="Times New Roman" w:cs="Times New Roman" w:eastAsia="Times New Roman" w:hAnsi="Times New Roman"/>
                <w:sz w:val="20"/>
                <w:szCs w:val="20"/>
                <w:color w:val="auto"/>
              </w:rPr>
              <w:t>Sales and marketing</w:t>
            </w:r>
          </w:p>
        </w:tc>
        <w:tc>
          <w:tcPr>
            <w:tcW w:w="360" w:type="dxa"/>
            <w:vAlign w:val="bottom"/>
            <w:shd w:val="clear" w:color="auto" w:fill="E9E9E9"/>
          </w:tcPr>
          <w:p>
            <w:pPr>
              <w:spacing w:after="0"/>
              <w:rPr>
                <w:sz w:val="24"/>
                <w:szCs w:val="24"/>
                <w:color w:val="auto"/>
              </w:rPr>
            </w:pPr>
          </w:p>
        </w:tc>
        <w:tc>
          <w:tcPr>
            <w:tcW w:w="11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177,940</w:t>
            </w:r>
          </w:p>
        </w:tc>
        <w:tc>
          <w:tcPr>
            <w:tcW w:w="60" w:type="dxa"/>
            <w:vAlign w:val="bottom"/>
            <w:shd w:val="clear" w:color="auto" w:fill="E9E9E9"/>
          </w:tcPr>
          <w:p>
            <w:pPr>
              <w:spacing w:after="0"/>
              <w:rPr>
                <w:sz w:val="24"/>
                <w:szCs w:val="24"/>
                <w:color w:val="auto"/>
              </w:rPr>
            </w:pPr>
          </w:p>
        </w:tc>
        <w:tc>
          <w:tcPr>
            <w:tcW w:w="380" w:type="dxa"/>
            <w:vAlign w:val="bottom"/>
            <w:shd w:val="clear" w:color="auto" w:fill="E9E9E9"/>
          </w:tcPr>
          <w:p>
            <w:pPr>
              <w:spacing w:after="0"/>
              <w:rPr>
                <w:sz w:val="24"/>
                <w:szCs w:val="24"/>
                <w:color w:val="auto"/>
              </w:rPr>
            </w:pPr>
          </w:p>
        </w:tc>
        <w:tc>
          <w:tcPr>
            <w:tcW w:w="11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141,736</w:t>
            </w:r>
          </w:p>
        </w:tc>
        <w:tc>
          <w:tcPr>
            <w:tcW w:w="60" w:type="dxa"/>
            <w:vAlign w:val="bottom"/>
            <w:shd w:val="clear" w:color="auto" w:fill="E9E9E9"/>
          </w:tcPr>
          <w:p>
            <w:pPr>
              <w:spacing w:after="0"/>
              <w:rPr>
                <w:sz w:val="24"/>
                <w:szCs w:val="24"/>
                <w:color w:val="auto"/>
              </w:rPr>
            </w:pPr>
          </w:p>
        </w:tc>
        <w:tc>
          <w:tcPr>
            <w:tcW w:w="420" w:type="dxa"/>
            <w:vAlign w:val="bottom"/>
            <w:shd w:val="clear" w:color="auto" w:fill="E9E9E9"/>
          </w:tcPr>
          <w:p>
            <w:pPr>
              <w:spacing w:after="0"/>
              <w:rPr>
                <w:sz w:val="24"/>
                <w:szCs w:val="24"/>
                <w:color w:val="auto"/>
              </w:rPr>
            </w:pPr>
          </w:p>
        </w:tc>
        <w:tc>
          <w:tcPr>
            <w:tcW w:w="11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100,243</w:t>
            </w:r>
          </w:p>
        </w:tc>
      </w:tr>
      <w:tr>
        <w:trPr>
          <w:trHeight w:val="273"/>
        </w:trPr>
        <w:tc>
          <w:tcPr>
            <w:tcW w:w="51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193,689</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125,458</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133,584</w:t>
            </w:r>
          </w:p>
        </w:tc>
      </w:tr>
      <w:tr>
        <w:trPr>
          <w:trHeight w:val="294"/>
        </w:trPr>
        <w:tc>
          <w:tcPr>
            <w:tcW w:w="5160" w:type="dxa"/>
            <w:vAlign w:val="bottom"/>
            <w:tcBorders>
              <w:bottom w:val="single" w:sz="8" w:color="E9E9E9"/>
            </w:tcBorders>
            <w:shd w:val="clear" w:color="auto" w:fill="E9E9E9"/>
          </w:tcPr>
          <w:p>
            <w:pPr>
              <w:ind w:left="4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360" w:type="dxa"/>
            <w:vAlign w:val="bottom"/>
            <w:tcBorders>
              <w:bottom w:val="single" w:sz="8" w:color="auto"/>
            </w:tcBorders>
            <w:shd w:val="clear" w:color="auto" w:fill="E9E9E9"/>
          </w:tcPr>
          <w:p>
            <w:pPr>
              <w:spacing w:after="0"/>
              <w:rPr>
                <w:sz w:val="24"/>
                <w:szCs w:val="24"/>
                <w:color w:val="auto"/>
              </w:rPr>
            </w:pPr>
          </w:p>
        </w:tc>
        <w:tc>
          <w:tcPr>
            <w:tcW w:w="11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168,098</w:t>
            </w:r>
          </w:p>
        </w:tc>
        <w:tc>
          <w:tcPr>
            <w:tcW w:w="60" w:type="dxa"/>
            <w:vAlign w:val="bottom"/>
            <w:tcBorders>
              <w:bottom w:val="single" w:sz="8" w:color="E9E9E9"/>
            </w:tcBorders>
            <w:shd w:val="clear" w:color="auto" w:fill="E9E9E9"/>
          </w:tcPr>
          <w:p>
            <w:pPr>
              <w:spacing w:after="0"/>
              <w:rPr>
                <w:sz w:val="24"/>
                <w:szCs w:val="24"/>
                <w:color w:val="auto"/>
              </w:rPr>
            </w:pPr>
          </w:p>
        </w:tc>
        <w:tc>
          <w:tcPr>
            <w:tcW w:w="380" w:type="dxa"/>
            <w:vAlign w:val="bottom"/>
            <w:tcBorders>
              <w:bottom w:val="single" w:sz="8" w:color="auto"/>
            </w:tcBorders>
            <w:shd w:val="clear" w:color="auto" w:fill="E9E9E9"/>
          </w:tcPr>
          <w:p>
            <w:pPr>
              <w:spacing w:after="0"/>
              <w:rPr>
                <w:sz w:val="24"/>
                <w:szCs w:val="24"/>
                <w:color w:val="auto"/>
              </w:rPr>
            </w:pPr>
          </w:p>
        </w:tc>
        <w:tc>
          <w:tcPr>
            <w:tcW w:w="11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77,707</w:t>
            </w:r>
          </w:p>
        </w:tc>
        <w:tc>
          <w:tcPr>
            <w:tcW w:w="60" w:type="dxa"/>
            <w:vAlign w:val="bottom"/>
            <w:tcBorders>
              <w:bottom w:val="single" w:sz="8" w:color="E9E9E9"/>
            </w:tcBorders>
            <w:shd w:val="clear" w:color="auto" w:fill="E9E9E9"/>
          </w:tcPr>
          <w:p>
            <w:pPr>
              <w:spacing w:after="0"/>
              <w:rPr>
                <w:sz w:val="24"/>
                <w:szCs w:val="24"/>
                <w:color w:val="auto"/>
              </w:rPr>
            </w:pPr>
          </w:p>
        </w:tc>
        <w:tc>
          <w:tcPr>
            <w:tcW w:w="420" w:type="dxa"/>
            <w:vAlign w:val="bottom"/>
            <w:tcBorders>
              <w:bottom w:val="single" w:sz="8" w:color="auto"/>
            </w:tcBorders>
            <w:shd w:val="clear" w:color="auto" w:fill="E9E9E9"/>
          </w:tcPr>
          <w:p>
            <w:pPr>
              <w:spacing w:after="0"/>
              <w:rPr>
                <w:sz w:val="24"/>
                <w:szCs w:val="24"/>
                <w:color w:val="auto"/>
              </w:rPr>
            </w:pPr>
          </w:p>
        </w:tc>
        <w:tc>
          <w:tcPr>
            <w:tcW w:w="112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311,681</w:t>
            </w:r>
          </w:p>
        </w:tc>
      </w:tr>
      <w:tr>
        <w:trPr>
          <w:trHeight w:val="244"/>
        </w:trPr>
        <w:tc>
          <w:tcPr>
            <w:tcW w:w="516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Total operating expenses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539,727</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344,901</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545,508</w:t>
            </w:r>
          </w:p>
        </w:tc>
      </w:tr>
      <w:tr>
        <w:trPr>
          <w:trHeight w:val="294"/>
        </w:trPr>
        <w:tc>
          <w:tcPr>
            <w:tcW w:w="5160" w:type="dxa"/>
            <w:vAlign w:val="bottom"/>
            <w:tcBorders>
              <w:bottom w:val="single" w:sz="8" w:color="E9E9E9"/>
            </w:tcBorders>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Gain on sale of assets</w:t>
            </w:r>
          </w:p>
        </w:tc>
        <w:tc>
          <w:tcPr>
            <w:tcW w:w="360" w:type="dxa"/>
            <w:vAlign w:val="bottom"/>
            <w:tcBorders>
              <w:bottom w:val="single" w:sz="8" w:color="auto"/>
            </w:tcBorders>
            <w:shd w:val="clear" w:color="auto" w:fill="E9E9E9"/>
          </w:tcPr>
          <w:p>
            <w:pPr>
              <w:spacing w:after="0"/>
              <w:rPr>
                <w:sz w:val="24"/>
                <w:szCs w:val="24"/>
                <w:color w:val="auto"/>
              </w:rPr>
            </w:pPr>
          </w:p>
        </w:tc>
        <w:tc>
          <w:tcPr>
            <w:tcW w:w="11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8,415</w:t>
            </w:r>
          </w:p>
        </w:tc>
        <w:tc>
          <w:tcPr>
            <w:tcW w:w="60" w:type="dxa"/>
            <w:vAlign w:val="bottom"/>
            <w:tcBorders>
              <w:bottom w:val="single" w:sz="8" w:color="E9E9E9"/>
            </w:tcBorders>
            <w:shd w:val="clear" w:color="auto" w:fill="E9E9E9"/>
          </w:tcPr>
          <w:p>
            <w:pPr>
              <w:spacing w:after="0"/>
              <w:rPr>
                <w:sz w:val="24"/>
                <w:szCs w:val="24"/>
                <w:color w:val="auto"/>
              </w:rPr>
            </w:pPr>
          </w:p>
        </w:tc>
        <w:tc>
          <w:tcPr>
            <w:tcW w:w="380" w:type="dxa"/>
            <w:vAlign w:val="bottom"/>
            <w:tcBorders>
              <w:bottom w:val="single" w:sz="8" w:color="auto"/>
            </w:tcBorders>
            <w:shd w:val="clear" w:color="auto" w:fill="E9E9E9"/>
          </w:tcPr>
          <w:p>
            <w:pPr>
              <w:spacing w:after="0"/>
              <w:rPr>
                <w:sz w:val="24"/>
                <w:szCs w:val="24"/>
                <w:color w:val="auto"/>
              </w:rPr>
            </w:pPr>
          </w:p>
        </w:tc>
        <w:tc>
          <w:tcPr>
            <w:tcW w:w="11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9E9E9"/>
            </w:tcBorders>
            <w:shd w:val="clear" w:color="auto" w:fill="E9E9E9"/>
          </w:tcPr>
          <w:p>
            <w:pPr>
              <w:spacing w:after="0"/>
              <w:rPr>
                <w:sz w:val="24"/>
                <w:szCs w:val="24"/>
                <w:color w:val="auto"/>
              </w:rPr>
            </w:pPr>
          </w:p>
        </w:tc>
        <w:tc>
          <w:tcPr>
            <w:tcW w:w="420" w:type="dxa"/>
            <w:vAlign w:val="bottom"/>
            <w:tcBorders>
              <w:bottom w:val="single" w:sz="8" w:color="auto"/>
            </w:tcBorders>
            <w:shd w:val="clear" w:color="auto" w:fill="E9E9E9"/>
          </w:tcPr>
          <w:p>
            <w:pPr>
              <w:spacing w:after="0"/>
              <w:rPr>
                <w:sz w:val="24"/>
                <w:szCs w:val="24"/>
                <w:color w:val="auto"/>
              </w:rPr>
            </w:pPr>
          </w:p>
        </w:tc>
        <w:tc>
          <w:tcPr>
            <w:tcW w:w="112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1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Operating income</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456,979</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364,642</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36,195</w:t>
            </w:r>
          </w:p>
        </w:tc>
      </w:tr>
      <w:tr>
        <w:trPr>
          <w:trHeight w:val="285"/>
        </w:trPr>
        <w:tc>
          <w:tcPr>
            <w:tcW w:w="516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Interest expense</w:t>
            </w:r>
          </w:p>
        </w:tc>
        <w:tc>
          <w:tcPr>
            <w:tcW w:w="360" w:type="dxa"/>
            <w:vAlign w:val="bottom"/>
            <w:shd w:val="clear" w:color="auto" w:fill="E9E9E9"/>
          </w:tcPr>
          <w:p>
            <w:pPr>
              <w:spacing w:after="0"/>
              <w:rPr>
                <w:sz w:val="24"/>
                <w:szCs w:val="24"/>
                <w:color w:val="auto"/>
              </w:rPr>
            </w:pPr>
          </w:p>
        </w:tc>
        <w:tc>
          <w:tcPr>
            <w:tcW w:w="11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19,669</w:t>
            </w:r>
          </w:p>
        </w:tc>
        <w:tc>
          <w:tcPr>
            <w:tcW w:w="60" w:type="dxa"/>
            <w:vAlign w:val="bottom"/>
            <w:shd w:val="clear" w:color="auto" w:fill="E9E9E9"/>
          </w:tcPr>
          <w:p>
            <w:pPr>
              <w:spacing w:after="0"/>
              <w:rPr>
                <w:sz w:val="24"/>
                <w:szCs w:val="24"/>
                <w:color w:val="auto"/>
              </w:rPr>
            </w:pPr>
          </w:p>
        </w:tc>
        <w:tc>
          <w:tcPr>
            <w:tcW w:w="380" w:type="dxa"/>
            <w:vAlign w:val="bottom"/>
            <w:shd w:val="clear" w:color="auto" w:fill="E9E9E9"/>
          </w:tcPr>
          <w:p>
            <w:pPr>
              <w:spacing w:after="0"/>
              <w:rPr>
                <w:sz w:val="24"/>
                <w:szCs w:val="24"/>
                <w:color w:val="auto"/>
              </w:rPr>
            </w:pPr>
          </w:p>
        </w:tc>
        <w:tc>
          <w:tcPr>
            <w:tcW w:w="11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20,019</w:t>
            </w:r>
          </w:p>
        </w:tc>
        <w:tc>
          <w:tcPr>
            <w:tcW w:w="60" w:type="dxa"/>
            <w:vAlign w:val="bottom"/>
            <w:shd w:val="clear" w:color="auto" w:fill="E9E9E9"/>
          </w:tcPr>
          <w:p>
            <w:pPr>
              <w:spacing w:after="0"/>
              <w:rPr>
                <w:sz w:val="24"/>
                <w:szCs w:val="24"/>
                <w:color w:val="auto"/>
              </w:rPr>
            </w:pPr>
          </w:p>
        </w:tc>
        <w:tc>
          <w:tcPr>
            <w:tcW w:w="420" w:type="dxa"/>
            <w:vAlign w:val="bottom"/>
            <w:shd w:val="clear" w:color="auto" w:fill="E9E9E9"/>
          </w:tcPr>
          <w:p>
            <w:pPr>
              <w:spacing w:after="0"/>
              <w:rPr>
                <w:sz w:val="24"/>
                <w:szCs w:val="24"/>
                <w:color w:val="auto"/>
              </w:rPr>
            </w:pPr>
          </w:p>
        </w:tc>
        <w:tc>
          <w:tcPr>
            <w:tcW w:w="11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7,185</w:t>
            </w:r>
          </w:p>
        </w:tc>
      </w:tr>
      <w:tr>
        <w:trPr>
          <w:trHeight w:val="273"/>
        </w:trPr>
        <w:tc>
          <w:tcPr>
            <w:tcW w:w="51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Investment in equity securities - net unrealized loss</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43,564</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5"/>
        </w:trPr>
        <w:tc>
          <w:tcPr>
            <w:tcW w:w="516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Loss on extinguishment of debt</w:t>
            </w:r>
          </w:p>
        </w:tc>
        <w:tc>
          <w:tcPr>
            <w:tcW w:w="360" w:type="dxa"/>
            <w:vAlign w:val="bottom"/>
            <w:shd w:val="clear" w:color="auto" w:fill="E9E9E9"/>
          </w:tcPr>
          <w:p>
            <w:pPr>
              <w:spacing w:after="0"/>
              <w:rPr>
                <w:sz w:val="24"/>
                <w:szCs w:val="24"/>
                <w:color w:val="auto"/>
              </w:rPr>
            </w:pPr>
          </w:p>
        </w:tc>
        <w:tc>
          <w:tcPr>
            <w:tcW w:w="11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9E9E9"/>
          </w:tcPr>
          <w:p>
            <w:pPr>
              <w:spacing w:after="0"/>
              <w:rPr>
                <w:sz w:val="24"/>
                <w:szCs w:val="24"/>
                <w:color w:val="auto"/>
              </w:rPr>
            </w:pPr>
          </w:p>
        </w:tc>
        <w:tc>
          <w:tcPr>
            <w:tcW w:w="380" w:type="dxa"/>
            <w:vAlign w:val="bottom"/>
            <w:shd w:val="clear" w:color="auto" w:fill="E9E9E9"/>
          </w:tcPr>
          <w:p>
            <w:pPr>
              <w:spacing w:after="0"/>
              <w:rPr>
                <w:sz w:val="24"/>
                <w:szCs w:val="24"/>
                <w:color w:val="auto"/>
              </w:rPr>
            </w:pPr>
          </w:p>
        </w:tc>
        <w:tc>
          <w:tcPr>
            <w:tcW w:w="11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9E9E9"/>
          </w:tcPr>
          <w:p>
            <w:pPr>
              <w:spacing w:after="0"/>
              <w:rPr>
                <w:sz w:val="24"/>
                <w:szCs w:val="24"/>
                <w:color w:val="auto"/>
              </w:rPr>
            </w:pPr>
          </w:p>
        </w:tc>
        <w:tc>
          <w:tcPr>
            <w:tcW w:w="420" w:type="dxa"/>
            <w:vAlign w:val="bottom"/>
            <w:shd w:val="clear" w:color="auto" w:fill="E9E9E9"/>
          </w:tcPr>
          <w:p>
            <w:pPr>
              <w:spacing w:after="0"/>
              <w:rPr>
                <w:sz w:val="24"/>
                <w:szCs w:val="24"/>
                <w:color w:val="auto"/>
              </w:rPr>
            </w:pPr>
          </w:p>
        </w:tc>
        <w:tc>
          <w:tcPr>
            <w:tcW w:w="11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588</w:t>
            </w:r>
          </w:p>
        </w:tc>
      </w:tr>
      <w:tr>
        <w:trPr>
          <w:trHeight w:val="269"/>
        </w:trPr>
        <w:tc>
          <w:tcPr>
            <w:tcW w:w="5160" w:type="dxa"/>
            <w:vAlign w:val="bottom"/>
            <w:tcBorders>
              <w:bottom w:val="single" w:sz="8" w:color="E9E9E9"/>
            </w:tcBorders>
          </w:tcPr>
          <w:p>
            <w:pPr>
              <w:ind w:left="40"/>
              <w:spacing w:after="0"/>
              <w:rPr>
                <w:sz w:val="20"/>
                <w:szCs w:val="20"/>
                <w:color w:val="auto"/>
              </w:rPr>
            </w:pPr>
            <w:r>
              <w:rPr>
                <w:rFonts w:ascii="Times New Roman" w:cs="Times New Roman" w:eastAsia="Times New Roman" w:hAnsi="Times New Roman"/>
                <w:sz w:val="20"/>
                <w:szCs w:val="20"/>
                <w:color w:val="auto"/>
              </w:rPr>
              <w:t>Other (income) loss, net</w:t>
            </w: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(37,231)</w:t>
            </w:r>
          </w:p>
        </w:tc>
        <w:tc>
          <w:tcPr>
            <w:tcW w:w="60" w:type="dxa"/>
            <w:vAlign w:val="bottom"/>
            <w:tcBorders>
              <w:bottom w:val="single" w:sz="8" w:color="E9E9E9"/>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(66,320)</w:t>
            </w:r>
          </w:p>
        </w:tc>
        <w:tc>
          <w:tcPr>
            <w:tcW w:w="60" w:type="dxa"/>
            <w:vAlign w:val="bottom"/>
            <w:tcBorders>
              <w:bottom w:val="single" w:sz="8" w:color="E9E9E9"/>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1,703</w:t>
            </w:r>
          </w:p>
        </w:tc>
      </w:tr>
      <w:tr>
        <w:trPr>
          <w:trHeight w:val="279"/>
        </w:trPr>
        <w:tc>
          <w:tcPr>
            <w:tcW w:w="5160" w:type="dxa"/>
            <w:vAlign w:val="bottom"/>
            <w:tcBorders>
              <w:bottom w:val="single" w:sz="8" w:color="E9E9E9"/>
            </w:tcBorders>
            <w:shd w:val="clear" w:color="auto" w:fill="E9E9E9"/>
          </w:tcPr>
          <w:p>
            <w:pPr>
              <w:ind w:left="740"/>
              <w:spacing w:after="0"/>
              <w:rPr>
                <w:sz w:val="20"/>
                <w:szCs w:val="20"/>
                <w:color w:val="auto"/>
              </w:rPr>
            </w:pPr>
            <w:r>
              <w:rPr>
                <w:rFonts w:ascii="Times New Roman" w:cs="Times New Roman" w:eastAsia="Times New Roman" w:hAnsi="Times New Roman"/>
                <w:sz w:val="20"/>
                <w:szCs w:val="20"/>
                <w:color w:val="auto"/>
              </w:rPr>
              <w:t>Income before income taxes</w:t>
            </w:r>
          </w:p>
        </w:tc>
        <w:tc>
          <w:tcPr>
            <w:tcW w:w="360" w:type="dxa"/>
            <w:vAlign w:val="bottom"/>
            <w:tcBorders>
              <w:bottom w:val="single" w:sz="8" w:color="auto"/>
            </w:tcBorders>
            <w:shd w:val="clear" w:color="auto" w:fill="E9E9E9"/>
          </w:tcPr>
          <w:p>
            <w:pPr>
              <w:spacing w:after="0"/>
              <w:rPr>
                <w:sz w:val="24"/>
                <w:szCs w:val="24"/>
                <w:color w:val="auto"/>
              </w:rPr>
            </w:pPr>
          </w:p>
        </w:tc>
        <w:tc>
          <w:tcPr>
            <w:tcW w:w="11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430,977</w:t>
            </w:r>
          </w:p>
        </w:tc>
        <w:tc>
          <w:tcPr>
            <w:tcW w:w="60" w:type="dxa"/>
            <w:vAlign w:val="bottom"/>
            <w:tcBorders>
              <w:bottom w:val="single" w:sz="8" w:color="E9E9E9"/>
            </w:tcBorders>
            <w:shd w:val="clear" w:color="auto" w:fill="E9E9E9"/>
          </w:tcPr>
          <w:p>
            <w:pPr>
              <w:spacing w:after="0"/>
              <w:rPr>
                <w:sz w:val="24"/>
                <w:szCs w:val="24"/>
                <w:color w:val="auto"/>
              </w:rPr>
            </w:pPr>
          </w:p>
        </w:tc>
        <w:tc>
          <w:tcPr>
            <w:tcW w:w="380" w:type="dxa"/>
            <w:vAlign w:val="bottom"/>
            <w:tcBorders>
              <w:bottom w:val="single" w:sz="8" w:color="auto"/>
            </w:tcBorders>
            <w:shd w:val="clear" w:color="auto" w:fill="E9E9E9"/>
          </w:tcPr>
          <w:p>
            <w:pPr>
              <w:spacing w:after="0"/>
              <w:rPr>
                <w:sz w:val="24"/>
                <w:szCs w:val="24"/>
                <w:color w:val="auto"/>
              </w:rPr>
            </w:pPr>
          </w:p>
        </w:tc>
        <w:tc>
          <w:tcPr>
            <w:tcW w:w="11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410,943</w:t>
            </w:r>
          </w:p>
        </w:tc>
        <w:tc>
          <w:tcPr>
            <w:tcW w:w="60" w:type="dxa"/>
            <w:vAlign w:val="bottom"/>
            <w:tcBorders>
              <w:bottom w:val="single" w:sz="8" w:color="E9E9E9"/>
            </w:tcBorders>
            <w:shd w:val="clear" w:color="auto" w:fill="E9E9E9"/>
          </w:tcPr>
          <w:p>
            <w:pPr>
              <w:spacing w:after="0"/>
              <w:rPr>
                <w:sz w:val="24"/>
                <w:szCs w:val="24"/>
                <w:color w:val="auto"/>
              </w:rPr>
            </w:pPr>
          </w:p>
        </w:tc>
        <w:tc>
          <w:tcPr>
            <w:tcW w:w="420" w:type="dxa"/>
            <w:vAlign w:val="bottom"/>
            <w:tcBorders>
              <w:bottom w:val="single" w:sz="8" w:color="auto"/>
            </w:tcBorders>
            <w:shd w:val="clear" w:color="auto" w:fill="E9E9E9"/>
          </w:tcPr>
          <w:p>
            <w:pPr>
              <w:spacing w:after="0"/>
              <w:rPr>
                <w:sz w:val="24"/>
                <w:szCs w:val="24"/>
                <w:color w:val="auto"/>
              </w:rPr>
            </w:pPr>
          </w:p>
        </w:tc>
        <w:tc>
          <w:tcPr>
            <w:tcW w:w="112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26,719</w:t>
            </w:r>
          </w:p>
        </w:tc>
      </w:tr>
      <w:tr>
        <w:trPr>
          <w:trHeight w:val="240"/>
        </w:trPr>
        <w:tc>
          <w:tcPr>
            <w:tcW w:w="5160" w:type="dxa"/>
            <w:vAlign w:val="bottom"/>
            <w:tcBorders>
              <w:bottom w:val="single" w:sz="8" w:color="E9E9E9"/>
            </w:tcBorders>
          </w:tcPr>
          <w:p>
            <w:pPr>
              <w:ind w:left="40"/>
              <w:spacing w:after="0"/>
              <w:rPr>
                <w:sz w:val="20"/>
                <w:szCs w:val="20"/>
                <w:color w:val="auto"/>
              </w:rPr>
            </w:pPr>
            <w:r>
              <w:rPr>
                <w:rFonts w:ascii="Times New Roman" w:cs="Times New Roman" w:eastAsia="Times New Roman" w:hAnsi="Times New Roman"/>
                <w:sz w:val="20"/>
                <w:szCs w:val="20"/>
                <w:color w:val="auto"/>
              </w:rPr>
              <w:t>Income tax expense (benefit)</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118,535</w:t>
            </w:r>
          </w:p>
        </w:tc>
        <w:tc>
          <w:tcPr>
            <w:tcW w:w="60" w:type="dxa"/>
            <w:vAlign w:val="bottom"/>
            <w:tcBorders>
              <w:bottom w:val="single" w:sz="8" w:color="E9E9E9"/>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84,282</w:t>
            </w:r>
          </w:p>
        </w:tc>
        <w:tc>
          <w:tcPr>
            <w:tcW w:w="60" w:type="dxa"/>
            <w:vAlign w:val="bottom"/>
            <w:tcBorders>
              <w:bottom w:val="single" w:sz="8" w:color="E9E9E9"/>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(1,348)</w:t>
            </w:r>
          </w:p>
        </w:tc>
      </w:tr>
      <w:tr>
        <w:trPr>
          <w:trHeight w:val="279"/>
        </w:trPr>
        <w:tc>
          <w:tcPr>
            <w:tcW w:w="5160" w:type="dxa"/>
            <w:vAlign w:val="bottom"/>
            <w:shd w:val="clear" w:color="auto" w:fill="E9E9E9"/>
          </w:tcPr>
          <w:p>
            <w:pPr>
              <w:ind w:left="740"/>
              <w:spacing w:after="0"/>
              <w:rPr>
                <w:sz w:val="20"/>
                <w:szCs w:val="20"/>
                <w:color w:val="auto"/>
              </w:rPr>
            </w:pPr>
            <w:r>
              <w:rPr>
                <w:rFonts w:ascii="Times New Roman" w:cs="Times New Roman" w:eastAsia="Times New Roman" w:hAnsi="Times New Roman"/>
                <w:sz w:val="20"/>
                <w:szCs w:val="20"/>
                <w:color w:val="auto"/>
              </w:rPr>
              <w:t>Net income</w:t>
            </w:r>
          </w:p>
        </w:tc>
        <w:tc>
          <w:tcPr>
            <w:tcW w:w="360" w:type="dxa"/>
            <w:vAlign w:val="bottom"/>
            <w:shd w:val="clear" w:color="auto" w:fill="E9E9E9"/>
          </w:tcPr>
          <w:p>
            <w:pPr>
              <w:jc w:val="right"/>
              <w:ind w:right="122"/>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312,442</w:t>
            </w:r>
          </w:p>
        </w:tc>
        <w:tc>
          <w:tcPr>
            <w:tcW w:w="440" w:type="dxa"/>
            <w:vAlign w:val="bottom"/>
            <w:gridSpan w:val="2"/>
            <w:shd w:val="clear" w:color="auto" w:fill="E9E9E9"/>
          </w:tcPr>
          <w:p>
            <w:pPr>
              <w:jc w:val="right"/>
              <w:ind w:right="122"/>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326,661</w:t>
            </w:r>
          </w:p>
        </w:tc>
        <w:tc>
          <w:tcPr>
            <w:tcW w:w="480" w:type="dxa"/>
            <w:vAlign w:val="bottom"/>
            <w:gridSpan w:val="2"/>
            <w:shd w:val="clear" w:color="auto" w:fill="E9E9E9"/>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28,067</w:t>
            </w:r>
          </w:p>
        </w:tc>
      </w:tr>
      <w:tr>
        <w:trPr>
          <w:trHeight w:val="244"/>
        </w:trPr>
        <w:tc>
          <w:tcPr>
            <w:tcW w:w="5160" w:type="dxa"/>
            <w:vAlign w:val="bottom"/>
            <w:tcBorders>
              <w:top w:val="single" w:sz="8" w:color="E9E9E9"/>
            </w:tcBorders>
          </w:tcPr>
          <w:p>
            <w:pPr>
              <w:ind w:left="40"/>
              <w:spacing w:after="0"/>
              <w:rPr>
                <w:sz w:val="20"/>
                <w:szCs w:val="20"/>
                <w:color w:val="auto"/>
              </w:rPr>
            </w:pPr>
            <w:r>
              <w:rPr>
                <w:rFonts w:ascii="Times New Roman" w:cs="Times New Roman" w:eastAsia="Times New Roman" w:hAnsi="Times New Roman"/>
                <w:sz w:val="20"/>
                <w:szCs w:val="20"/>
                <w:color w:val="auto"/>
              </w:rPr>
              <w:t>Net income per common share:</w:t>
            </w:r>
          </w:p>
        </w:tc>
        <w:tc>
          <w:tcPr>
            <w:tcW w:w="3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60" w:type="dxa"/>
            <w:vAlign w:val="bottom"/>
            <w:tcBorders>
              <w:top w:val="single" w:sz="8" w:color="E9E9E9"/>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60" w:type="dxa"/>
            <w:vAlign w:val="bottom"/>
            <w:tcBorders>
              <w:top w:val="single" w:sz="8" w:color="E9E9E9"/>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r>
      <w:tr>
        <w:trPr>
          <w:trHeight w:val="295"/>
        </w:trPr>
        <w:tc>
          <w:tcPr>
            <w:tcW w:w="5160" w:type="dxa"/>
            <w:vAlign w:val="bottom"/>
            <w:shd w:val="clear" w:color="auto" w:fill="E9E9E9"/>
          </w:tcPr>
          <w:p>
            <w:pPr>
              <w:ind w:left="260"/>
              <w:spacing w:after="0"/>
              <w:rPr>
                <w:sz w:val="20"/>
                <w:szCs w:val="20"/>
                <w:color w:val="auto"/>
              </w:rPr>
            </w:pPr>
            <w:r>
              <w:rPr>
                <w:rFonts w:ascii="Times New Roman" w:cs="Times New Roman" w:eastAsia="Times New Roman" w:hAnsi="Times New Roman"/>
                <w:sz w:val="20"/>
                <w:szCs w:val="20"/>
                <w:color w:val="auto"/>
              </w:rPr>
              <w:t>Basic</w:t>
            </w:r>
          </w:p>
        </w:tc>
        <w:tc>
          <w:tcPr>
            <w:tcW w:w="360" w:type="dxa"/>
            <w:vAlign w:val="bottom"/>
            <w:shd w:val="clear" w:color="auto" w:fill="E9E9E9"/>
          </w:tcPr>
          <w:p>
            <w:pPr>
              <w:jc w:val="right"/>
              <w:ind w:right="122"/>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4.52</w:t>
            </w:r>
          </w:p>
        </w:tc>
        <w:tc>
          <w:tcPr>
            <w:tcW w:w="440" w:type="dxa"/>
            <w:vAlign w:val="bottom"/>
            <w:gridSpan w:val="2"/>
            <w:shd w:val="clear" w:color="auto" w:fill="E9E9E9"/>
          </w:tcPr>
          <w:p>
            <w:pPr>
              <w:jc w:val="right"/>
              <w:ind w:right="122"/>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4.79</w:t>
            </w:r>
          </w:p>
        </w:tc>
        <w:tc>
          <w:tcPr>
            <w:tcW w:w="480" w:type="dxa"/>
            <w:vAlign w:val="bottom"/>
            <w:gridSpan w:val="2"/>
            <w:shd w:val="clear" w:color="auto" w:fill="E9E9E9"/>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0.41</w:t>
            </w:r>
          </w:p>
        </w:tc>
      </w:tr>
      <w:tr>
        <w:trPr>
          <w:trHeight w:val="259"/>
        </w:trPr>
        <w:tc>
          <w:tcPr>
            <w:tcW w:w="5160" w:type="dxa"/>
            <w:vAlign w:val="bottom"/>
            <w:tcBorders>
              <w:top w:val="single" w:sz="8" w:color="E9E9E9"/>
              <w:bottom w:val="single" w:sz="8" w:color="E9E9E9"/>
            </w:tcBorders>
          </w:tcPr>
          <w:p>
            <w:pPr>
              <w:ind w:left="260"/>
              <w:spacing w:after="0" w:line="221" w:lineRule="exact"/>
              <w:rPr>
                <w:sz w:val="20"/>
                <w:szCs w:val="20"/>
                <w:color w:val="auto"/>
              </w:rPr>
            </w:pPr>
            <w:r>
              <w:rPr>
                <w:rFonts w:ascii="Times New Roman" w:cs="Times New Roman" w:eastAsia="Times New Roman" w:hAnsi="Times New Roman"/>
                <w:sz w:val="20"/>
                <w:szCs w:val="20"/>
                <w:color w:val="auto"/>
              </w:rPr>
              <w:t>Diluted</w:t>
            </w:r>
          </w:p>
        </w:tc>
        <w:tc>
          <w:tcPr>
            <w:tcW w:w="360" w:type="dxa"/>
            <w:vAlign w:val="bottom"/>
            <w:tcBorders>
              <w:top w:val="single" w:sz="8" w:color="auto"/>
              <w:bottom w:val="single" w:sz="8" w:color="auto"/>
            </w:tcBorders>
          </w:tcPr>
          <w:p>
            <w:pPr>
              <w:jc w:val="right"/>
              <w:ind w:right="122"/>
              <w:spacing w:after="0" w:line="221"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4.36</w:t>
            </w:r>
          </w:p>
        </w:tc>
        <w:tc>
          <w:tcPr>
            <w:tcW w:w="60" w:type="dxa"/>
            <w:vAlign w:val="bottom"/>
            <w:tcBorders>
              <w:top w:val="single" w:sz="8" w:color="E9E9E9"/>
              <w:bottom w:val="single" w:sz="8" w:color="E9E9E9"/>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22"/>
              <w:spacing w:after="0" w:line="221"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4.65</w:t>
            </w:r>
          </w:p>
        </w:tc>
        <w:tc>
          <w:tcPr>
            <w:tcW w:w="60" w:type="dxa"/>
            <w:vAlign w:val="bottom"/>
            <w:tcBorders>
              <w:top w:val="single" w:sz="8" w:color="E9E9E9"/>
              <w:bottom w:val="single" w:sz="8" w:color="E9E9E9"/>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162"/>
              <w:spacing w:after="0" w:line="221"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0.40</w:t>
            </w:r>
          </w:p>
        </w:tc>
      </w:tr>
      <w:tr>
        <w:trPr>
          <w:trHeight w:val="250"/>
        </w:trPr>
        <w:tc>
          <w:tcPr>
            <w:tcW w:w="516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Weighted-average common shares outstanding:</w:t>
            </w:r>
          </w:p>
        </w:tc>
        <w:tc>
          <w:tcPr>
            <w:tcW w:w="360" w:type="dxa"/>
            <w:vAlign w:val="bottom"/>
            <w:shd w:val="clear" w:color="auto" w:fill="E9E9E9"/>
          </w:tcPr>
          <w:p>
            <w:pPr>
              <w:spacing w:after="0"/>
              <w:rPr>
                <w:sz w:val="21"/>
                <w:szCs w:val="21"/>
                <w:color w:val="auto"/>
              </w:rPr>
            </w:pPr>
          </w:p>
        </w:tc>
        <w:tc>
          <w:tcPr>
            <w:tcW w:w="118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380" w:type="dxa"/>
            <w:vAlign w:val="bottom"/>
            <w:shd w:val="clear" w:color="auto" w:fill="E9E9E9"/>
          </w:tcPr>
          <w:p>
            <w:pPr>
              <w:spacing w:after="0"/>
              <w:rPr>
                <w:sz w:val="21"/>
                <w:szCs w:val="21"/>
                <w:color w:val="auto"/>
              </w:rPr>
            </w:pPr>
          </w:p>
        </w:tc>
        <w:tc>
          <w:tcPr>
            <w:tcW w:w="118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420" w:type="dxa"/>
            <w:vAlign w:val="bottom"/>
            <w:shd w:val="clear" w:color="auto" w:fill="E9E9E9"/>
          </w:tcPr>
          <w:p>
            <w:pPr>
              <w:spacing w:after="0"/>
              <w:rPr>
                <w:sz w:val="21"/>
                <w:szCs w:val="21"/>
                <w:color w:val="auto"/>
              </w:rPr>
            </w:pPr>
          </w:p>
        </w:tc>
        <w:tc>
          <w:tcPr>
            <w:tcW w:w="1120" w:type="dxa"/>
            <w:vAlign w:val="bottom"/>
            <w:shd w:val="clear" w:color="auto" w:fill="E9E9E9"/>
          </w:tcPr>
          <w:p>
            <w:pPr>
              <w:spacing w:after="0"/>
              <w:rPr>
                <w:sz w:val="21"/>
                <w:szCs w:val="21"/>
                <w:color w:val="auto"/>
              </w:rPr>
            </w:pPr>
          </w:p>
        </w:tc>
      </w:tr>
      <w:tr>
        <w:trPr>
          <w:trHeight w:val="289"/>
        </w:trPr>
        <w:tc>
          <w:tcPr>
            <w:tcW w:w="5160" w:type="dxa"/>
            <w:vAlign w:val="bottom"/>
            <w:tcBorders>
              <w:bottom w:val="single" w:sz="8" w:color="E9E9E9"/>
            </w:tcBorders>
          </w:tcPr>
          <w:p>
            <w:pPr>
              <w:ind w:left="260"/>
              <w:spacing w:after="0"/>
              <w:rPr>
                <w:sz w:val="20"/>
                <w:szCs w:val="20"/>
                <w:color w:val="auto"/>
              </w:rPr>
            </w:pPr>
            <w:r>
              <w:rPr>
                <w:rFonts w:ascii="Times New Roman" w:cs="Times New Roman" w:eastAsia="Times New Roman" w:hAnsi="Times New Roman"/>
                <w:sz w:val="20"/>
                <w:szCs w:val="20"/>
                <w:color w:val="auto"/>
              </w:rPr>
              <w:t>Basic</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69,199</w:t>
            </w:r>
          </w:p>
        </w:tc>
        <w:tc>
          <w:tcPr>
            <w:tcW w:w="60" w:type="dxa"/>
            <w:vAlign w:val="bottom"/>
            <w:tcBorders>
              <w:bottom w:val="single" w:sz="8" w:color="E9E9E9"/>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68,266</w:t>
            </w:r>
          </w:p>
        </w:tc>
        <w:tc>
          <w:tcPr>
            <w:tcW w:w="60" w:type="dxa"/>
            <w:vAlign w:val="bottom"/>
            <w:tcBorders>
              <w:bottom w:val="single" w:sz="8" w:color="E9E9E9"/>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68,487</w:t>
            </w:r>
          </w:p>
        </w:tc>
      </w:tr>
      <w:tr>
        <w:trPr>
          <w:trHeight w:val="259"/>
        </w:trPr>
        <w:tc>
          <w:tcPr>
            <w:tcW w:w="5160" w:type="dxa"/>
            <w:vAlign w:val="bottom"/>
            <w:tcBorders>
              <w:bottom w:val="single" w:sz="8" w:color="E9E9E9"/>
            </w:tcBorders>
            <w:shd w:val="clear" w:color="auto" w:fill="E9E9E9"/>
          </w:tcPr>
          <w:p>
            <w:pPr>
              <w:ind w:left="260"/>
              <w:spacing w:after="0" w:line="221" w:lineRule="exact"/>
              <w:rPr>
                <w:sz w:val="20"/>
                <w:szCs w:val="20"/>
                <w:color w:val="auto"/>
              </w:rPr>
            </w:pPr>
            <w:r>
              <w:rPr>
                <w:rFonts w:ascii="Times New Roman" w:cs="Times New Roman" w:eastAsia="Times New Roman" w:hAnsi="Times New Roman"/>
                <w:sz w:val="20"/>
                <w:szCs w:val="20"/>
                <w:color w:val="auto"/>
              </w:rPr>
              <w:t>Diluted</w:t>
            </w:r>
          </w:p>
        </w:tc>
        <w:tc>
          <w:tcPr>
            <w:tcW w:w="360" w:type="dxa"/>
            <w:vAlign w:val="bottom"/>
            <w:tcBorders>
              <w:bottom w:val="single" w:sz="8" w:color="auto"/>
            </w:tcBorders>
            <w:shd w:val="clear" w:color="auto" w:fill="E9E9E9"/>
          </w:tcPr>
          <w:p>
            <w:pPr>
              <w:spacing w:after="0"/>
              <w:rPr>
                <w:sz w:val="22"/>
                <w:szCs w:val="22"/>
                <w:color w:val="auto"/>
              </w:rPr>
            </w:pPr>
          </w:p>
        </w:tc>
        <w:tc>
          <w:tcPr>
            <w:tcW w:w="1180" w:type="dxa"/>
            <w:vAlign w:val="bottom"/>
            <w:tcBorders>
              <w:bottom w:val="single" w:sz="8" w:color="auto"/>
            </w:tcBorders>
            <w:shd w:val="clear" w:color="auto" w:fill="E9E9E9"/>
          </w:tcPr>
          <w:p>
            <w:pPr>
              <w:jc w:val="right"/>
              <w:spacing w:after="0" w:line="221" w:lineRule="exact"/>
              <w:rPr>
                <w:sz w:val="20"/>
                <w:szCs w:val="20"/>
                <w:color w:val="auto"/>
              </w:rPr>
            </w:pPr>
            <w:r>
              <w:rPr>
                <w:rFonts w:ascii="Times New Roman" w:cs="Times New Roman" w:eastAsia="Times New Roman" w:hAnsi="Times New Roman"/>
                <w:sz w:val="20"/>
                <w:szCs w:val="20"/>
                <w:color w:val="auto"/>
              </w:rPr>
              <w:t>71,651</w:t>
            </w:r>
          </w:p>
        </w:tc>
        <w:tc>
          <w:tcPr>
            <w:tcW w:w="60" w:type="dxa"/>
            <w:vAlign w:val="bottom"/>
            <w:tcBorders>
              <w:bottom w:val="single" w:sz="8" w:color="E9E9E9"/>
            </w:tcBorders>
            <w:shd w:val="clear" w:color="auto" w:fill="E9E9E9"/>
          </w:tcPr>
          <w:p>
            <w:pPr>
              <w:spacing w:after="0"/>
              <w:rPr>
                <w:sz w:val="22"/>
                <w:szCs w:val="22"/>
                <w:color w:val="auto"/>
              </w:rPr>
            </w:pPr>
          </w:p>
        </w:tc>
        <w:tc>
          <w:tcPr>
            <w:tcW w:w="380" w:type="dxa"/>
            <w:vAlign w:val="bottom"/>
            <w:tcBorders>
              <w:bottom w:val="single" w:sz="8" w:color="auto"/>
            </w:tcBorders>
            <w:shd w:val="clear" w:color="auto" w:fill="E9E9E9"/>
          </w:tcPr>
          <w:p>
            <w:pPr>
              <w:spacing w:after="0"/>
              <w:rPr>
                <w:sz w:val="22"/>
                <w:szCs w:val="22"/>
                <w:color w:val="auto"/>
              </w:rPr>
            </w:pPr>
          </w:p>
        </w:tc>
        <w:tc>
          <w:tcPr>
            <w:tcW w:w="1180" w:type="dxa"/>
            <w:vAlign w:val="bottom"/>
            <w:tcBorders>
              <w:bottom w:val="single" w:sz="8" w:color="auto"/>
            </w:tcBorders>
            <w:shd w:val="clear" w:color="auto" w:fill="E9E9E9"/>
          </w:tcPr>
          <w:p>
            <w:pPr>
              <w:jc w:val="right"/>
              <w:spacing w:after="0" w:line="221" w:lineRule="exact"/>
              <w:rPr>
                <w:sz w:val="20"/>
                <w:szCs w:val="20"/>
                <w:color w:val="auto"/>
              </w:rPr>
            </w:pPr>
            <w:r>
              <w:rPr>
                <w:rFonts w:ascii="Times New Roman" w:cs="Times New Roman" w:eastAsia="Times New Roman" w:hAnsi="Times New Roman"/>
                <w:sz w:val="20"/>
                <w:szCs w:val="20"/>
                <w:color w:val="auto"/>
              </w:rPr>
              <w:t>70,239</w:t>
            </w:r>
          </w:p>
        </w:tc>
        <w:tc>
          <w:tcPr>
            <w:tcW w:w="60" w:type="dxa"/>
            <w:vAlign w:val="bottom"/>
            <w:tcBorders>
              <w:bottom w:val="single" w:sz="8" w:color="E9E9E9"/>
            </w:tcBorders>
            <w:shd w:val="clear" w:color="auto" w:fill="E9E9E9"/>
          </w:tcPr>
          <w:p>
            <w:pPr>
              <w:spacing w:after="0"/>
              <w:rPr>
                <w:sz w:val="22"/>
                <w:szCs w:val="22"/>
                <w:color w:val="auto"/>
              </w:rPr>
            </w:pPr>
          </w:p>
        </w:tc>
        <w:tc>
          <w:tcPr>
            <w:tcW w:w="420" w:type="dxa"/>
            <w:vAlign w:val="bottom"/>
            <w:tcBorders>
              <w:bottom w:val="single" w:sz="8" w:color="auto"/>
            </w:tcBorders>
            <w:shd w:val="clear" w:color="auto" w:fill="E9E9E9"/>
          </w:tcPr>
          <w:p>
            <w:pPr>
              <w:spacing w:after="0"/>
              <w:rPr>
                <w:sz w:val="22"/>
                <w:szCs w:val="22"/>
                <w:color w:val="auto"/>
              </w:rPr>
            </w:pPr>
          </w:p>
        </w:tc>
        <w:tc>
          <w:tcPr>
            <w:tcW w:w="1120" w:type="dxa"/>
            <w:vAlign w:val="bottom"/>
            <w:tcBorders>
              <w:bottom w:val="single" w:sz="8" w:color="auto"/>
            </w:tcBorders>
            <w:shd w:val="clear" w:color="auto" w:fill="E9E9E9"/>
          </w:tcPr>
          <w:p>
            <w:pPr>
              <w:jc w:val="right"/>
              <w:spacing w:after="0" w:line="221" w:lineRule="exact"/>
              <w:rPr>
                <w:sz w:val="20"/>
                <w:szCs w:val="20"/>
                <w:color w:val="auto"/>
              </w:rPr>
            </w:pPr>
            <w:r>
              <w:rPr>
                <w:rFonts w:ascii="Times New Roman" w:cs="Times New Roman" w:eastAsia="Times New Roman" w:hAnsi="Times New Roman"/>
                <w:sz w:val="20"/>
                <w:szCs w:val="20"/>
                <w:color w:val="auto"/>
              </w:rPr>
              <w:t>70,671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-1107440</wp:posOffset>
            </wp:positionV>
            <wp:extent cx="3058795" cy="501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058795" cy="5016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-752475</wp:posOffset>
            </wp:positionV>
            <wp:extent cx="3058795" cy="501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058795" cy="5016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-575310</wp:posOffset>
            </wp:positionV>
            <wp:extent cx="3058795" cy="501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58795" cy="5016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-220345</wp:posOffset>
            </wp:positionV>
            <wp:extent cx="3058795" cy="501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58795" cy="5016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-43180</wp:posOffset>
            </wp:positionV>
            <wp:extent cx="3058795" cy="501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58795" cy="5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9920"/>
          </w:cols>
          <w:pgMar w:left="980" w:top="61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880" w:h="15480" w:orient="portrait"/>
          <w:cols w:equalWidth="0" w:num="1">
            <w:col w:w="9920"/>
          </w:cols>
          <w:pgMar w:left="980" w:top="615" w:right="980" w:bottom="0" w:gutter="0" w:footer="0" w:header="0"/>
          <w:type w:val="continuous"/>
        </w:sectPr>
      </w:pPr>
    </w:p>
    <w:bookmarkStart w:id="87" w:name="page88"/>
    <w:bookmarkEnd w:id="87"/>
    <w:p>
      <w:pPr>
        <w:jc w:val="center"/>
        <w:spacing w:after="0"/>
        <w:rPr>
          <w:sz w:val="20"/>
          <w:szCs w:val="20"/>
          <w:color w:val="auto"/>
        </w:rPr>
      </w:pPr>
      <w:r>
        <w:rPr>
          <w:rFonts w:ascii="Times New Roman" w:cs="Times New Roman" w:eastAsia="Times New Roman" w:hAnsi="Times New Roman"/>
          <w:sz w:val="20"/>
          <w:szCs w:val="20"/>
          <w:b w:val="1"/>
          <w:bCs w:val="1"/>
          <w:color w:val="auto"/>
        </w:rPr>
        <w:t>Lantheus Holdings,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5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000" w:type="dxa"/>
            <w:vAlign w:val="bottom"/>
            <w:tcBorders>
              <w:bottom w:val="single" w:sz="8" w:color="auto"/>
            </w:tcBorders>
          </w:tcPr>
          <w:p>
            <w:pPr>
              <w:spacing w:after="0"/>
              <w:rPr>
                <w:sz w:val="22"/>
                <w:szCs w:val="22"/>
                <w:color w:val="auto"/>
              </w:rPr>
            </w:pPr>
          </w:p>
        </w:tc>
      </w:tr>
      <w:tr>
        <w:trPr>
          <w:trHeight w:val="216"/>
        </w:trPr>
        <w:tc>
          <w:tcPr>
            <w:tcW w:w="5520" w:type="dxa"/>
            <w:vAlign w:val="bottom"/>
            <w:tcBorders>
              <w:bottom w:val="single" w:sz="8" w:color="E9E9E9"/>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02"/>
              <w:spacing w:after="0" w:line="215" w:lineRule="exact"/>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Borders>
              <w:bottom w:val="single" w:sz="8" w:color="E9E9E9"/>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02"/>
              <w:spacing w:after="0" w:line="215" w:lineRule="exact"/>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Borders>
              <w:bottom w:val="single" w:sz="8" w:color="E9E9E9"/>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2"/>
              <w:spacing w:after="0" w:line="215" w:lineRule="exact"/>
              <w:rPr>
                <w:sz w:val="20"/>
                <w:szCs w:val="20"/>
                <w:color w:val="auto"/>
              </w:rPr>
            </w:pPr>
            <w:r>
              <w:rPr>
                <w:rFonts w:ascii="Times New Roman" w:cs="Times New Roman" w:eastAsia="Times New Roman" w:hAnsi="Times New Roman"/>
                <w:sz w:val="20"/>
                <w:szCs w:val="20"/>
                <w:b w:val="1"/>
                <w:bCs w:val="1"/>
                <w:color w:val="auto"/>
              </w:rPr>
              <w:t>2022</w:t>
            </w:r>
          </w:p>
        </w:tc>
      </w:tr>
      <w:tr>
        <w:trPr>
          <w:trHeight w:val="269"/>
        </w:trPr>
        <w:tc>
          <w:tcPr>
            <w:tcW w:w="552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Net income</w:t>
            </w:r>
          </w:p>
        </w:tc>
        <w:tc>
          <w:tcPr>
            <w:tcW w:w="320" w:type="dxa"/>
            <w:vAlign w:val="bottom"/>
            <w:shd w:val="clear" w:color="auto" w:fill="E9E9E9"/>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312,442</w:t>
            </w:r>
          </w:p>
        </w:tc>
        <w:tc>
          <w:tcPr>
            <w:tcW w:w="420" w:type="dxa"/>
            <w:vAlign w:val="bottom"/>
            <w:gridSpan w:val="2"/>
            <w:shd w:val="clear" w:color="auto" w:fill="E9E9E9"/>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326,661</w:t>
            </w:r>
          </w:p>
        </w:tc>
        <w:tc>
          <w:tcPr>
            <w:tcW w:w="500" w:type="dxa"/>
            <w:vAlign w:val="bottom"/>
            <w:gridSpan w:val="2"/>
            <w:shd w:val="clear" w:color="auto" w:fill="E9E9E9"/>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28,067</w:t>
            </w:r>
          </w:p>
        </w:tc>
      </w:tr>
      <w:tr>
        <w:trPr>
          <w:trHeight w:val="273"/>
        </w:trPr>
        <w:tc>
          <w:tcPr>
            <w:tcW w:w="55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comprehensive income (loss):</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85"/>
        </w:trPr>
        <w:tc>
          <w:tcPr>
            <w:tcW w:w="5520" w:type="dxa"/>
            <w:vAlign w:val="bottom"/>
            <w:shd w:val="clear" w:color="auto" w:fill="E9E9E9"/>
          </w:tcPr>
          <w:p>
            <w:pPr>
              <w:ind w:left="400"/>
              <w:spacing w:after="0"/>
              <w:rPr>
                <w:sz w:val="20"/>
                <w:szCs w:val="20"/>
                <w:color w:val="auto"/>
              </w:rPr>
            </w:pPr>
            <w:r>
              <w:rPr>
                <w:rFonts w:ascii="Times New Roman" w:cs="Times New Roman" w:eastAsia="Times New Roman" w:hAnsi="Times New Roman"/>
                <w:sz w:val="20"/>
                <w:szCs w:val="20"/>
                <w:color w:val="auto"/>
              </w:rPr>
              <w:t>Foreign currency translation</w:t>
            </w:r>
          </w:p>
        </w:tc>
        <w:tc>
          <w:tcPr>
            <w:tcW w:w="320" w:type="dxa"/>
            <w:vAlign w:val="bottom"/>
            <w:shd w:val="clear" w:color="auto" w:fill="E9E9E9"/>
          </w:tcPr>
          <w:p>
            <w:pPr>
              <w:spacing w:after="0"/>
              <w:rPr>
                <w:sz w:val="24"/>
                <w:szCs w:val="24"/>
                <w:color w:val="auto"/>
              </w:rPr>
            </w:pPr>
          </w:p>
        </w:tc>
        <w:tc>
          <w:tcPr>
            <w:tcW w:w="10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(578)</w:t>
            </w:r>
          </w:p>
        </w:tc>
        <w:tc>
          <w:tcPr>
            <w:tcW w:w="80" w:type="dxa"/>
            <w:vAlign w:val="bottom"/>
            <w:shd w:val="clear" w:color="auto" w:fill="E9E9E9"/>
          </w:tcPr>
          <w:p>
            <w:pPr>
              <w:spacing w:after="0"/>
              <w:rPr>
                <w:sz w:val="24"/>
                <w:szCs w:val="24"/>
                <w:color w:val="auto"/>
              </w:rPr>
            </w:pPr>
          </w:p>
        </w:tc>
        <w:tc>
          <w:tcPr>
            <w:tcW w:w="340" w:type="dxa"/>
            <w:vAlign w:val="bottom"/>
            <w:shd w:val="clear" w:color="auto" w:fill="E9E9E9"/>
          </w:tcPr>
          <w:p>
            <w:pPr>
              <w:spacing w:after="0"/>
              <w:rPr>
                <w:sz w:val="24"/>
                <w:szCs w:val="24"/>
                <w:color w:val="auto"/>
              </w:rPr>
            </w:pPr>
          </w:p>
        </w:tc>
        <w:tc>
          <w:tcPr>
            <w:tcW w:w="10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222</w:t>
            </w:r>
          </w:p>
        </w:tc>
        <w:tc>
          <w:tcPr>
            <w:tcW w:w="80" w:type="dxa"/>
            <w:vAlign w:val="bottom"/>
            <w:shd w:val="clear" w:color="auto" w:fill="E9E9E9"/>
          </w:tcPr>
          <w:p>
            <w:pPr>
              <w:spacing w:after="0"/>
              <w:rPr>
                <w:sz w:val="24"/>
                <w:szCs w:val="24"/>
                <w:color w:val="auto"/>
              </w:rPr>
            </w:pPr>
          </w:p>
        </w:tc>
        <w:tc>
          <w:tcPr>
            <w:tcW w:w="420" w:type="dxa"/>
            <w:vAlign w:val="bottom"/>
            <w:shd w:val="clear" w:color="auto" w:fill="E9E9E9"/>
          </w:tcPr>
          <w:p>
            <w:pPr>
              <w:spacing w:after="0"/>
              <w:rPr>
                <w:sz w:val="24"/>
                <w:szCs w:val="24"/>
                <w:color w:val="auto"/>
              </w:rPr>
            </w:pPr>
          </w:p>
        </w:tc>
        <w:tc>
          <w:tcPr>
            <w:tcW w:w="10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(505)</w:t>
            </w:r>
          </w:p>
        </w:tc>
      </w:tr>
      <w:tr>
        <w:trPr>
          <w:trHeight w:val="269"/>
        </w:trPr>
        <w:tc>
          <w:tcPr>
            <w:tcW w:w="5520" w:type="dxa"/>
            <w:vAlign w:val="bottom"/>
            <w:tcBorders>
              <w:bottom w:val="single" w:sz="8" w:color="E9E9E9"/>
            </w:tcBorders>
          </w:tcPr>
          <w:p>
            <w:pPr>
              <w:ind w:left="400"/>
              <w:spacing w:after="0"/>
              <w:rPr>
                <w:sz w:val="20"/>
                <w:szCs w:val="20"/>
                <w:color w:val="auto"/>
              </w:rPr>
            </w:pPr>
            <w:r>
              <w:rPr>
                <w:rFonts w:ascii="Times New Roman" w:cs="Times New Roman" w:eastAsia="Times New Roman" w:hAnsi="Times New Roman"/>
                <w:sz w:val="20"/>
                <w:szCs w:val="20"/>
                <w:color w:val="auto"/>
              </w:rPr>
              <w:t>Realized loss on cash flow hedges, net of tax</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9E9E9"/>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9E9E9"/>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(269)</w:t>
            </w:r>
          </w:p>
        </w:tc>
      </w:tr>
      <w:tr>
        <w:trPr>
          <w:trHeight w:val="279"/>
        </w:trPr>
        <w:tc>
          <w:tcPr>
            <w:tcW w:w="5520" w:type="dxa"/>
            <w:vAlign w:val="bottom"/>
            <w:tcBorders>
              <w:bottom w:val="single" w:sz="8" w:color="E9E9E9"/>
            </w:tcBorders>
            <w:shd w:val="clear" w:color="auto" w:fill="E9E9E9"/>
          </w:tcPr>
          <w:p>
            <w:pPr>
              <w:ind w:left="740"/>
              <w:spacing w:after="0"/>
              <w:rPr>
                <w:sz w:val="20"/>
                <w:szCs w:val="20"/>
                <w:color w:val="auto"/>
              </w:rPr>
            </w:pPr>
            <w:r>
              <w:rPr>
                <w:rFonts w:ascii="Times New Roman" w:cs="Times New Roman" w:eastAsia="Times New Roman" w:hAnsi="Times New Roman"/>
                <w:sz w:val="20"/>
                <w:szCs w:val="20"/>
                <w:color w:val="auto"/>
              </w:rPr>
              <w:t>Total other comprehensive (loss) income</w:t>
            </w:r>
          </w:p>
        </w:tc>
        <w:tc>
          <w:tcPr>
            <w:tcW w:w="320" w:type="dxa"/>
            <w:vAlign w:val="bottom"/>
            <w:tcBorders>
              <w:bottom w:val="single" w:sz="8" w:color="auto"/>
            </w:tcBorders>
            <w:shd w:val="clear" w:color="auto" w:fill="E9E9E9"/>
          </w:tcPr>
          <w:p>
            <w:pPr>
              <w:spacing w:after="0"/>
              <w:rPr>
                <w:sz w:val="24"/>
                <w:szCs w:val="24"/>
                <w:color w:val="auto"/>
              </w:rPr>
            </w:pPr>
          </w:p>
        </w:tc>
        <w:tc>
          <w:tcPr>
            <w:tcW w:w="10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(578)</w:t>
            </w:r>
          </w:p>
        </w:tc>
        <w:tc>
          <w:tcPr>
            <w:tcW w:w="80" w:type="dxa"/>
            <w:vAlign w:val="bottom"/>
            <w:tcBorders>
              <w:bottom w:val="single" w:sz="8" w:color="E9E9E9"/>
            </w:tcBorders>
            <w:shd w:val="clear" w:color="auto" w:fill="E9E9E9"/>
          </w:tcPr>
          <w:p>
            <w:pPr>
              <w:spacing w:after="0"/>
              <w:rPr>
                <w:sz w:val="24"/>
                <w:szCs w:val="24"/>
                <w:color w:val="auto"/>
              </w:rPr>
            </w:pPr>
          </w:p>
        </w:tc>
        <w:tc>
          <w:tcPr>
            <w:tcW w:w="340" w:type="dxa"/>
            <w:vAlign w:val="bottom"/>
            <w:tcBorders>
              <w:bottom w:val="single" w:sz="8" w:color="auto"/>
            </w:tcBorders>
            <w:shd w:val="clear" w:color="auto" w:fill="E9E9E9"/>
          </w:tcPr>
          <w:p>
            <w:pPr>
              <w:spacing w:after="0"/>
              <w:rPr>
                <w:sz w:val="24"/>
                <w:szCs w:val="24"/>
                <w:color w:val="auto"/>
              </w:rPr>
            </w:pPr>
          </w:p>
        </w:tc>
        <w:tc>
          <w:tcPr>
            <w:tcW w:w="10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222</w:t>
            </w:r>
          </w:p>
        </w:tc>
        <w:tc>
          <w:tcPr>
            <w:tcW w:w="80" w:type="dxa"/>
            <w:vAlign w:val="bottom"/>
            <w:tcBorders>
              <w:bottom w:val="single" w:sz="8" w:color="E9E9E9"/>
            </w:tcBorders>
            <w:shd w:val="clear" w:color="auto" w:fill="E9E9E9"/>
          </w:tcPr>
          <w:p>
            <w:pPr>
              <w:spacing w:after="0"/>
              <w:rPr>
                <w:sz w:val="24"/>
                <w:szCs w:val="24"/>
                <w:color w:val="auto"/>
              </w:rPr>
            </w:pPr>
          </w:p>
        </w:tc>
        <w:tc>
          <w:tcPr>
            <w:tcW w:w="420" w:type="dxa"/>
            <w:vAlign w:val="bottom"/>
            <w:tcBorders>
              <w:bottom w:val="single" w:sz="8" w:color="auto"/>
            </w:tcBorders>
            <w:shd w:val="clear" w:color="auto" w:fill="E9E9E9"/>
          </w:tcPr>
          <w:p>
            <w:pPr>
              <w:spacing w:after="0"/>
              <w:rPr>
                <w:sz w:val="24"/>
                <w:szCs w:val="24"/>
                <w:color w:val="auto"/>
              </w:rPr>
            </w:pPr>
          </w:p>
        </w:tc>
        <w:tc>
          <w:tcPr>
            <w:tcW w:w="100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(774)</w:t>
            </w:r>
          </w:p>
        </w:tc>
      </w:tr>
      <w:tr>
        <w:trPr>
          <w:trHeight w:val="221"/>
        </w:trPr>
        <w:tc>
          <w:tcPr>
            <w:tcW w:w="5520" w:type="dxa"/>
            <w:vAlign w:val="bottom"/>
          </w:tcPr>
          <w:p>
            <w:pPr>
              <w:ind w:left="40"/>
              <w:spacing w:after="0" w:line="221" w:lineRule="exact"/>
              <w:rPr>
                <w:sz w:val="20"/>
                <w:szCs w:val="20"/>
                <w:color w:val="auto"/>
              </w:rPr>
            </w:pPr>
            <w:r>
              <w:rPr>
                <w:rFonts w:ascii="Times New Roman" w:cs="Times New Roman" w:eastAsia="Times New Roman" w:hAnsi="Times New Roman"/>
                <w:sz w:val="20"/>
                <w:szCs w:val="20"/>
                <w:color w:val="auto"/>
              </w:rPr>
              <w:t>Comprehensive income</w:t>
            </w:r>
          </w:p>
        </w:tc>
        <w:tc>
          <w:tcPr>
            <w:tcW w:w="320" w:type="dxa"/>
            <w:vAlign w:val="bottom"/>
          </w:tcPr>
          <w:p>
            <w:pPr>
              <w:jc w:val="right"/>
              <w:ind w:right="82"/>
              <w:spacing w:after="0" w:line="221"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311,864</w:t>
            </w:r>
          </w:p>
        </w:tc>
        <w:tc>
          <w:tcPr>
            <w:tcW w:w="420" w:type="dxa"/>
            <w:vAlign w:val="bottom"/>
            <w:gridSpan w:val="2"/>
          </w:tcPr>
          <w:p>
            <w:pPr>
              <w:jc w:val="right"/>
              <w:ind w:right="180"/>
              <w:spacing w:after="0" w:line="221"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326,883</w:t>
            </w:r>
          </w:p>
        </w:tc>
        <w:tc>
          <w:tcPr>
            <w:tcW w:w="500" w:type="dxa"/>
            <w:vAlign w:val="bottom"/>
            <w:gridSpan w:val="2"/>
          </w:tcPr>
          <w:p>
            <w:pPr>
              <w:jc w:val="right"/>
              <w:ind w:right="260"/>
              <w:spacing w:after="0" w:line="221"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27,293</w:t>
            </w:r>
          </w:p>
        </w:tc>
      </w:tr>
      <w:tr>
        <w:trPr>
          <w:trHeight w:val="20"/>
        </w:trPr>
        <w:tc>
          <w:tcPr>
            <w:tcW w:w="5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3491865</wp:posOffset>
            </wp:positionH>
            <wp:positionV relativeFrom="paragraph">
              <wp:posOffset>-43180</wp:posOffset>
            </wp:positionV>
            <wp:extent cx="2825750" cy="501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25750" cy="5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9920"/>
          </w:cols>
          <w:pgMar w:left="980" w:top="61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880" w:h="15480" w:orient="portrait"/>
          <w:cols w:equalWidth="0" w:num="1">
            <w:col w:w="9920"/>
          </w:cols>
          <w:pgMar w:left="980" w:top="615" w:right="980" w:bottom="0" w:gutter="0" w:footer="0" w:header="0"/>
          <w:type w:val="continuous"/>
        </w:sectPr>
      </w:pPr>
    </w:p>
    <w:bookmarkStart w:id="88" w:name="page89"/>
    <w:bookmarkEnd w:id="88"/>
    <w:p>
      <w:pPr>
        <w:jc w:val="center"/>
        <w:spacing w:after="0"/>
        <w:rPr>
          <w:sz w:val="20"/>
          <w:szCs w:val="20"/>
          <w:color w:val="auto"/>
        </w:rPr>
      </w:pPr>
      <w:r>
        <w:rPr>
          <w:rFonts w:ascii="Times New Roman" w:cs="Times New Roman" w:eastAsia="Times New Roman" w:hAnsi="Times New Roman"/>
          <w:sz w:val="19"/>
          <w:szCs w:val="19"/>
          <w:b w:val="1"/>
          <w:bCs w:val="1"/>
          <w:color w:val="auto"/>
        </w:rPr>
        <w:t>Lantheus Holdings,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Statements of Changes in Stockholders’ Equity</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restart"/>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Retained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vMerge w:val="restart"/>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173"/>
        </w:trPr>
        <w:tc>
          <w:tcPr>
            <w:tcW w:w="2500" w:type="dxa"/>
            <w:vAlign w:val="bottom"/>
          </w:tcPr>
          <w:p>
            <w:pPr>
              <w:spacing w:after="0"/>
              <w:rPr>
                <w:sz w:val="15"/>
                <w:szCs w:val="15"/>
                <w:color w:val="auto"/>
              </w:rPr>
            </w:pPr>
          </w:p>
        </w:tc>
        <w:tc>
          <w:tcPr>
            <w:tcW w:w="1760" w:type="dxa"/>
            <w:vAlign w:val="bottom"/>
            <w:gridSpan w:val="4"/>
            <w:vMerge w:val="restart"/>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60" w:type="dxa"/>
            <w:vAlign w:val="bottom"/>
          </w:tcPr>
          <w:p>
            <w:pPr>
              <w:spacing w:after="0"/>
              <w:rPr>
                <w:sz w:val="15"/>
                <w:szCs w:val="15"/>
                <w:color w:val="auto"/>
              </w:rPr>
            </w:pPr>
          </w:p>
        </w:tc>
        <w:tc>
          <w:tcPr>
            <w:tcW w:w="1760" w:type="dxa"/>
            <w:vAlign w:val="bottom"/>
            <w:gridSpan w:val="4"/>
            <w:vMerge w:val="restart"/>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Treasury Stock</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center"/>
              <w:ind w:right="74"/>
              <w:spacing w:after="0" w:line="173" w:lineRule="exact"/>
              <w:rPr>
                <w:sz w:val="20"/>
                <w:szCs w:val="20"/>
                <w:color w:val="auto"/>
              </w:rPr>
            </w:pPr>
            <w:r>
              <w:rPr>
                <w:rFonts w:ascii="Times New Roman" w:cs="Times New Roman" w:eastAsia="Times New Roman" w:hAnsi="Times New Roman"/>
                <w:sz w:val="17"/>
                <w:szCs w:val="17"/>
                <w:b w:val="1"/>
                <w:bCs w:val="1"/>
                <w:color w:val="auto"/>
              </w:rPr>
              <w:t>Other</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1760" w:type="dxa"/>
            <w:vAlign w:val="bottom"/>
            <w:tcBorders>
              <w:bottom w:val="single" w:sz="8" w:color="auto"/>
            </w:tcBorders>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1760" w:type="dxa"/>
            <w:vAlign w:val="bottom"/>
            <w:tcBorders>
              <w:bottom w:val="single" w:sz="8" w:color="auto"/>
            </w:tcBorders>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restart"/>
          </w:tcPr>
          <w:p>
            <w:pPr>
              <w:jc w:val="right"/>
              <w:ind w:right="194"/>
              <w:spacing w:after="0" w:line="173" w:lineRule="exact"/>
              <w:rPr>
                <w:sz w:val="20"/>
                <w:szCs w:val="20"/>
                <w:color w:val="auto"/>
              </w:rPr>
            </w:pPr>
            <w:r>
              <w:rPr>
                <w:rFonts w:ascii="Times New Roman" w:cs="Times New Roman" w:eastAsia="Times New Roman" w:hAnsi="Times New Roman"/>
                <w:sz w:val="17"/>
                <w:szCs w:val="17"/>
                <w:b w:val="1"/>
                <w:bCs w:val="1"/>
                <w:color w:val="auto"/>
              </w:rPr>
              <w:t>Paid-In</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vMerge w:val="restart"/>
          </w:tcPr>
          <w:p>
            <w:pPr>
              <w:jc w:val="center"/>
              <w:ind w:right="154"/>
              <w:spacing w:after="0" w:line="173" w:lineRule="exact"/>
              <w:rPr>
                <w:sz w:val="20"/>
                <w:szCs w:val="20"/>
                <w:color w:val="auto"/>
              </w:rPr>
            </w:pPr>
            <w:r>
              <w:rPr>
                <w:rFonts w:ascii="Times New Roman" w:cs="Times New Roman" w:eastAsia="Times New Roman" w:hAnsi="Times New Roman"/>
                <w:sz w:val="17"/>
                <w:szCs w:val="17"/>
                <w:b w:val="1"/>
                <w:bCs w:val="1"/>
                <w:color w:val="auto"/>
              </w:rPr>
              <w:t>(Deficit)</w:t>
            </w:r>
          </w:p>
        </w:tc>
        <w:tc>
          <w:tcPr>
            <w:tcW w:w="80" w:type="dxa"/>
            <w:vAlign w:val="bottom"/>
          </w:tcPr>
          <w:p>
            <w:pPr>
              <w:spacing w:after="0"/>
              <w:rPr>
                <w:sz w:val="11"/>
                <w:szCs w:val="11"/>
                <w:color w:val="auto"/>
              </w:rPr>
            </w:pPr>
          </w:p>
        </w:tc>
        <w:tc>
          <w:tcPr>
            <w:tcW w:w="1260" w:type="dxa"/>
            <w:vAlign w:val="bottom"/>
            <w:gridSpan w:val="2"/>
            <w:vMerge w:val="restart"/>
          </w:tcPr>
          <w:p>
            <w:pPr>
              <w:jc w:val="center"/>
              <w:spacing w:after="0" w:line="173" w:lineRule="exact"/>
              <w:rPr>
                <w:sz w:val="20"/>
                <w:szCs w:val="20"/>
                <w:color w:val="auto"/>
              </w:rPr>
            </w:pPr>
            <w:r>
              <w:rPr>
                <w:rFonts w:ascii="Times New Roman" w:cs="Times New Roman" w:eastAsia="Times New Roman" w:hAnsi="Times New Roman"/>
                <w:sz w:val="17"/>
                <w:szCs w:val="17"/>
                <w:b w:val="1"/>
                <w:bCs w:val="1"/>
                <w:color w:val="auto"/>
              </w:rPr>
              <w:t>Comprehensive</w:t>
            </w:r>
          </w:p>
        </w:tc>
        <w:tc>
          <w:tcPr>
            <w:tcW w:w="80" w:type="dxa"/>
            <w:vAlign w:val="bottom"/>
          </w:tcPr>
          <w:p>
            <w:pPr>
              <w:spacing w:after="0"/>
              <w:rPr>
                <w:sz w:val="11"/>
                <w:szCs w:val="11"/>
                <w:color w:val="auto"/>
              </w:rPr>
            </w:pPr>
          </w:p>
        </w:tc>
        <w:tc>
          <w:tcPr>
            <w:tcW w:w="1260" w:type="dxa"/>
            <w:vAlign w:val="bottom"/>
            <w:gridSpan w:val="2"/>
            <w:vMerge w:val="restart"/>
          </w:tcPr>
          <w:p>
            <w:pPr>
              <w:jc w:val="center"/>
              <w:spacing w:after="0" w:line="173" w:lineRule="exact"/>
              <w:rPr>
                <w:sz w:val="20"/>
                <w:szCs w:val="20"/>
                <w:color w:val="auto"/>
              </w:rPr>
            </w:pPr>
            <w:r>
              <w:rPr>
                <w:rFonts w:ascii="Times New Roman" w:cs="Times New Roman" w:eastAsia="Times New Roman" w:hAnsi="Times New Roman"/>
                <w:sz w:val="17"/>
                <w:szCs w:val="17"/>
                <w:b w:val="1"/>
                <w:bCs w:val="1"/>
                <w:color w:val="auto"/>
              </w:rPr>
              <w:t>Stockholders’</w:t>
            </w:r>
          </w:p>
        </w:tc>
        <w:tc>
          <w:tcPr>
            <w:tcW w:w="0" w:type="dxa"/>
            <w:vAlign w:val="bottom"/>
          </w:tcPr>
          <w:p>
            <w:pPr>
              <w:spacing w:after="0"/>
              <w:rPr>
                <w:sz w:val="1"/>
                <w:szCs w:val="1"/>
                <w:color w:val="auto"/>
              </w:rPr>
            </w:pPr>
          </w:p>
        </w:tc>
      </w:tr>
      <w:tr>
        <w:trPr>
          <w:trHeight w:val="25"/>
        </w:trPr>
        <w:tc>
          <w:tcPr>
            <w:tcW w:w="2500" w:type="dxa"/>
            <w:vAlign w:val="bottom"/>
          </w:tcPr>
          <w:p>
            <w:pPr>
              <w:spacing w:after="0"/>
              <w:rPr>
                <w:sz w:val="2"/>
                <w:szCs w:val="2"/>
                <w:color w:val="auto"/>
              </w:rPr>
            </w:pPr>
          </w:p>
        </w:tc>
        <w:tc>
          <w:tcPr>
            <w:tcW w:w="840" w:type="dxa"/>
            <w:vAlign w:val="bottom"/>
            <w:vMerge w:val="restart"/>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80" w:type="dxa"/>
            <w:vAlign w:val="bottom"/>
          </w:tcPr>
          <w:p>
            <w:pPr>
              <w:spacing w:after="0"/>
              <w:rPr>
                <w:sz w:val="2"/>
                <w:szCs w:val="2"/>
                <w:color w:val="auto"/>
              </w:rPr>
            </w:pPr>
          </w:p>
        </w:tc>
        <w:tc>
          <w:tcPr>
            <w:tcW w:w="840" w:type="dxa"/>
            <w:vAlign w:val="bottom"/>
            <w:gridSpan w:val="2"/>
            <w:vMerge w:val="restart"/>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60" w:type="dxa"/>
            <w:vAlign w:val="bottom"/>
          </w:tcPr>
          <w:p>
            <w:pPr>
              <w:spacing w:after="0"/>
              <w:rPr>
                <w:sz w:val="2"/>
                <w:szCs w:val="2"/>
                <w:color w:val="auto"/>
              </w:rPr>
            </w:pPr>
          </w:p>
        </w:tc>
        <w:tc>
          <w:tcPr>
            <w:tcW w:w="860" w:type="dxa"/>
            <w:vAlign w:val="bottom"/>
            <w:vMerge w:val="restart"/>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40" w:type="dxa"/>
            <w:vAlign w:val="bottom"/>
          </w:tcPr>
          <w:p>
            <w:pPr>
              <w:spacing w:after="0"/>
              <w:rPr>
                <w:sz w:val="2"/>
                <w:szCs w:val="2"/>
                <w:color w:val="auto"/>
              </w:rPr>
            </w:pPr>
          </w:p>
        </w:tc>
        <w:tc>
          <w:tcPr>
            <w:tcW w:w="860" w:type="dxa"/>
            <w:vAlign w:val="bottom"/>
            <w:gridSpan w:val="2"/>
            <w:vMerge w:val="restart"/>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00" w:type="dxa"/>
            <w:vAlign w:val="bottom"/>
            <w:tcBorders>
              <w:bottom w:val="single" w:sz="8" w:color="E9E9E9"/>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E9E9E9"/>
            </w:tcBorders>
          </w:tcPr>
          <w:p>
            <w:pPr>
              <w:spacing w:after="0"/>
              <w:rPr>
                <w:sz w:val="19"/>
                <w:szCs w:val="19"/>
                <w:color w:val="auto"/>
              </w:rPr>
            </w:pPr>
          </w:p>
        </w:tc>
        <w:tc>
          <w:tcPr>
            <w:tcW w:w="840" w:type="dxa"/>
            <w:vAlign w:val="bottom"/>
            <w:tcBorders>
              <w:bottom w:val="single" w:sz="8" w:color="auto"/>
            </w:tcBorders>
            <w:gridSpan w:val="2"/>
            <w:vMerge w:val="continue"/>
          </w:tcPr>
          <w:p>
            <w:pPr>
              <w:spacing w:after="0"/>
              <w:rPr>
                <w:sz w:val="19"/>
                <w:szCs w:val="19"/>
                <w:color w:val="auto"/>
              </w:rPr>
            </w:pPr>
          </w:p>
        </w:tc>
        <w:tc>
          <w:tcPr>
            <w:tcW w:w="60" w:type="dxa"/>
            <w:vAlign w:val="bottom"/>
            <w:tcBorders>
              <w:bottom w:val="single" w:sz="8" w:color="E9E9E9"/>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E9E9E9"/>
            </w:tcBorders>
          </w:tcPr>
          <w:p>
            <w:pPr>
              <w:spacing w:after="0"/>
              <w:rPr>
                <w:sz w:val="19"/>
                <w:szCs w:val="19"/>
                <w:color w:val="auto"/>
              </w:rPr>
            </w:pPr>
          </w:p>
        </w:tc>
        <w:tc>
          <w:tcPr>
            <w:tcW w:w="860" w:type="dxa"/>
            <w:vAlign w:val="bottom"/>
            <w:tcBorders>
              <w:bottom w:val="single" w:sz="8" w:color="auto"/>
            </w:tcBorders>
            <w:gridSpan w:val="2"/>
            <w:vMerge w:val="continue"/>
          </w:tcPr>
          <w:p>
            <w:pPr>
              <w:spacing w:after="0"/>
              <w:rPr>
                <w:sz w:val="19"/>
                <w:szCs w:val="19"/>
                <w:color w:val="auto"/>
              </w:rPr>
            </w:pPr>
          </w:p>
        </w:tc>
        <w:tc>
          <w:tcPr>
            <w:tcW w:w="80" w:type="dxa"/>
            <w:vAlign w:val="bottom"/>
            <w:tcBorders>
              <w:bottom w:val="single" w:sz="8" w:color="E9E9E9"/>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80" w:type="dxa"/>
            <w:vAlign w:val="bottom"/>
            <w:tcBorders>
              <w:bottom w:val="single" w:sz="8" w:color="E9E9E9"/>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w w:val="99"/>
              </w:rPr>
              <w:t>Earnings</w:t>
            </w:r>
          </w:p>
        </w:tc>
        <w:tc>
          <w:tcPr>
            <w:tcW w:w="80" w:type="dxa"/>
            <w:vAlign w:val="bottom"/>
            <w:tcBorders>
              <w:bottom w:val="single" w:sz="8" w:color="E9E9E9"/>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Loss</w:t>
            </w:r>
          </w:p>
        </w:tc>
        <w:tc>
          <w:tcPr>
            <w:tcW w:w="80" w:type="dxa"/>
            <w:vAlign w:val="bottom"/>
            <w:tcBorders>
              <w:bottom w:val="single" w:sz="8" w:color="E9E9E9"/>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263"/>
        </w:trPr>
        <w:tc>
          <w:tcPr>
            <w:tcW w:w="2500" w:type="dxa"/>
            <w:vAlign w:val="bottom"/>
            <w:shd w:val="clear" w:color="auto" w:fill="E9E9E9"/>
          </w:tcPr>
          <w:p>
            <w:pPr>
              <w:ind w:left="60"/>
              <w:spacing w:after="0"/>
              <w:rPr>
                <w:sz w:val="20"/>
                <w:szCs w:val="20"/>
                <w:color w:val="auto"/>
              </w:rPr>
            </w:pPr>
            <w:r>
              <w:rPr>
                <w:rFonts w:ascii="Times New Roman" w:cs="Times New Roman" w:eastAsia="Times New Roman" w:hAnsi="Times New Roman"/>
                <w:sz w:val="17"/>
                <w:szCs w:val="17"/>
                <w:color w:val="auto"/>
              </w:rPr>
              <w:t>Balance, January 1, 2022</w:t>
            </w:r>
          </w:p>
        </w:tc>
        <w:tc>
          <w:tcPr>
            <w:tcW w:w="8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67,739</w:t>
            </w:r>
          </w:p>
        </w:tc>
        <w:tc>
          <w:tcPr>
            <w:tcW w:w="400" w:type="dxa"/>
            <w:vAlign w:val="bottom"/>
            <w:gridSpan w:val="2"/>
            <w:shd w:val="clear" w:color="auto" w:fill="E9E9E9"/>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60" w:type="dxa"/>
            <w:vAlign w:val="bottom"/>
            <w:shd w:val="clear" w:color="auto" w:fill="E9E9E9"/>
          </w:tcPr>
          <w:p>
            <w:pPr>
              <w:spacing w:after="0"/>
              <w:rPr>
                <w:sz w:val="22"/>
                <w:szCs w:val="22"/>
                <w:color w:val="auto"/>
              </w:rPr>
            </w:pPr>
          </w:p>
        </w:tc>
        <w:tc>
          <w:tcPr>
            <w:tcW w:w="8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685,472</w:t>
            </w:r>
          </w:p>
        </w:tc>
        <w:tc>
          <w:tcPr>
            <w:tcW w:w="30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(221,225)</w:t>
            </w:r>
          </w:p>
        </w:tc>
        <w:tc>
          <w:tcPr>
            <w:tcW w:w="22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340" w:type="dxa"/>
            <w:vAlign w:val="bottom"/>
            <w:gridSpan w:val="2"/>
            <w:shd w:val="clear" w:color="auto" w:fill="E9E9E9"/>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464,439</w:t>
            </w:r>
          </w:p>
        </w:tc>
        <w:tc>
          <w:tcPr>
            <w:tcW w:w="0" w:type="dxa"/>
            <w:vAlign w:val="bottom"/>
          </w:tcPr>
          <w:p>
            <w:pPr>
              <w:spacing w:after="0"/>
              <w:rPr>
                <w:sz w:val="1"/>
                <w:szCs w:val="1"/>
                <w:color w:val="auto"/>
              </w:rPr>
            </w:pPr>
          </w:p>
        </w:tc>
      </w:tr>
      <w:tr>
        <w:trPr>
          <w:trHeight w:val="267"/>
        </w:trPr>
        <w:tc>
          <w:tcPr>
            <w:tcW w:w="2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income</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28,067</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28,067</w:t>
            </w:r>
          </w:p>
        </w:tc>
        <w:tc>
          <w:tcPr>
            <w:tcW w:w="0" w:type="dxa"/>
            <w:vAlign w:val="bottom"/>
          </w:tcPr>
          <w:p>
            <w:pPr>
              <w:spacing w:after="0"/>
              <w:rPr>
                <w:sz w:val="1"/>
                <w:szCs w:val="1"/>
                <w:color w:val="auto"/>
              </w:rPr>
            </w:pPr>
          </w:p>
        </w:tc>
      </w:tr>
      <w:tr>
        <w:trPr>
          <w:trHeight w:val="281"/>
        </w:trPr>
        <w:tc>
          <w:tcPr>
            <w:tcW w:w="2500" w:type="dxa"/>
            <w:vAlign w:val="bottom"/>
            <w:shd w:val="clear" w:color="auto" w:fill="E9E9E9"/>
          </w:tcPr>
          <w:p>
            <w:pPr>
              <w:ind w:left="18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8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9E9E9"/>
          </w:tcPr>
          <w:p>
            <w:pPr>
              <w:spacing w:after="0"/>
              <w:rPr>
                <w:sz w:val="24"/>
                <w:szCs w:val="24"/>
                <w:color w:val="auto"/>
              </w:rPr>
            </w:pPr>
          </w:p>
        </w:tc>
        <w:tc>
          <w:tcPr>
            <w:tcW w:w="320" w:type="dxa"/>
            <w:vAlign w:val="bottom"/>
            <w:shd w:val="clear" w:color="auto" w:fill="E9E9E9"/>
          </w:tcPr>
          <w:p>
            <w:pPr>
              <w:spacing w:after="0"/>
              <w:rPr>
                <w:sz w:val="24"/>
                <w:szCs w:val="24"/>
                <w:color w:val="auto"/>
              </w:rPr>
            </w:pPr>
          </w:p>
        </w:tc>
        <w:tc>
          <w:tcPr>
            <w:tcW w:w="5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E9E9E9"/>
          </w:tcPr>
          <w:p>
            <w:pPr>
              <w:spacing w:after="0"/>
              <w:rPr>
                <w:sz w:val="24"/>
                <w:szCs w:val="24"/>
                <w:color w:val="auto"/>
              </w:rPr>
            </w:pPr>
          </w:p>
        </w:tc>
        <w:tc>
          <w:tcPr>
            <w:tcW w:w="8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E9E9E9"/>
          </w:tcPr>
          <w:p>
            <w:pPr>
              <w:spacing w:after="0"/>
              <w:rPr>
                <w:sz w:val="24"/>
                <w:szCs w:val="24"/>
                <w:color w:val="auto"/>
              </w:rPr>
            </w:pPr>
          </w:p>
        </w:tc>
        <w:tc>
          <w:tcPr>
            <w:tcW w:w="160" w:type="dxa"/>
            <w:vAlign w:val="bottom"/>
            <w:shd w:val="clear" w:color="auto" w:fill="E9E9E9"/>
          </w:tcPr>
          <w:p>
            <w:pPr>
              <w:spacing w:after="0"/>
              <w:rPr>
                <w:sz w:val="24"/>
                <w:szCs w:val="24"/>
                <w:color w:val="auto"/>
              </w:rPr>
            </w:pPr>
          </w:p>
        </w:tc>
        <w:tc>
          <w:tcPr>
            <w:tcW w:w="7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9E9E9"/>
          </w:tcPr>
          <w:p>
            <w:pPr>
              <w:spacing w:after="0"/>
              <w:rPr>
                <w:sz w:val="24"/>
                <w:szCs w:val="24"/>
                <w:color w:val="auto"/>
              </w:rPr>
            </w:pPr>
          </w:p>
        </w:tc>
        <w:tc>
          <w:tcPr>
            <w:tcW w:w="140" w:type="dxa"/>
            <w:vAlign w:val="bottom"/>
            <w:shd w:val="clear" w:color="auto" w:fill="E9E9E9"/>
          </w:tcPr>
          <w:p>
            <w:pPr>
              <w:spacing w:after="0"/>
              <w:rPr>
                <w:sz w:val="24"/>
                <w:szCs w:val="24"/>
                <w:color w:val="auto"/>
              </w:rPr>
            </w:pPr>
          </w:p>
        </w:tc>
        <w:tc>
          <w:tcPr>
            <w:tcW w:w="9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9E9E9"/>
          </w:tcPr>
          <w:p>
            <w:pPr>
              <w:spacing w:after="0"/>
              <w:rPr>
                <w:sz w:val="24"/>
                <w:szCs w:val="24"/>
                <w:color w:val="auto"/>
              </w:rPr>
            </w:pPr>
          </w:p>
        </w:tc>
        <w:tc>
          <w:tcPr>
            <w:tcW w:w="220" w:type="dxa"/>
            <w:vAlign w:val="bottom"/>
            <w:shd w:val="clear" w:color="auto" w:fill="E9E9E9"/>
          </w:tcPr>
          <w:p>
            <w:pPr>
              <w:spacing w:after="0"/>
              <w:rPr>
                <w:sz w:val="24"/>
                <w:szCs w:val="24"/>
                <w:color w:val="auto"/>
              </w:rPr>
            </w:pPr>
          </w:p>
        </w:tc>
        <w:tc>
          <w:tcPr>
            <w:tcW w:w="10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9E9E9"/>
          </w:tcPr>
          <w:p>
            <w:pPr>
              <w:spacing w:after="0"/>
              <w:rPr>
                <w:sz w:val="24"/>
                <w:szCs w:val="24"/>
                <w:color w:val="auto"/>
              </w:rPr>
            </w:pPr>
          </w:p>
        </w:tc>
        <w:tc>
          <w:tcPr>
            <w:tcW w:w="140" w:type="dxa"/>
            <w:vAlign w:val="bottom"/>
            <w:shd w:val="clear" w:color="auto" w:fill="E9E9E9"/>
          </w:tcPr>
          <w:p>
            <w:pPr>
              <w:spacing w:after="0"/>
              <w:rPr>
                <w:sz w:val="24"/>
                <w:szCs w:val="24"/>
                <w:color w:val="auto"/>
              </w:rPr>
            </w:pPr>
          </w:p>
        </w:tc>
        <w:tc>
          <w:tcPr>
            <w:tcW w:w="11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(774)</w:t>
            </w:r>
          </w:p>
        </w:tc>
        <w:tc>
          <w:tcPr>
            <w:tcW w:w="80" w:type="dxa"/>
            <w:vAlign w:val="bottom"/>
            <w:shd w:val="clear" w:color="auto" w:fill="E9E9E9"/>
          </w:tcPr>
          <w:p>
            <w:pPr>
              <w:spacing w:after="0"/>
              <w:rPr>
                <w:sz w:val="24"/>
                <w:szCs w:val="24"/>
                <w:color w:val="auto"/>
              </w:rPr>
            </w:pPr>
          </w:p>
        </w:tc>
        <w:tc>
          <w:tcPr>
            <w:tcW w:w="260" w:type="dxa"/>
            <w:vAlign w:val="bottom"/>
            <w:shd w:val="clear" w:color="auto" w:fill="E9E9E9"/>
          </w:tcPr>
          <w:p>
            <w:pPr>
              <w:spacing w:after="0"/>
              <w:rPr>
                <w:sz w:val="24"/>
                <w:szCs w:val="24"/>
                <w:color w:val="auto"/>
              </w:rPr>
            </w:pPr>
          </w:p>
        </w:tc>
        <w:tc>
          <w:tcPr>
            <w:tcW w:w="10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(774)</w:t>
            </w:r>
          </w:p>
        </w:tc>
        <w:tc>
          <w:tcPr>
            <w:tcW w:w="0" w:type="dxa"/>
            <w:vAlign w:val="bottom"/>
          </w:tcPr>
          <w:p>
            <w:pPr>
              <w:spacing w:after="0"/>
              <w:rPr>
                <w:sz w:val="1"/>
                <w:szCs w:val="1"/>
                <w:color w:val="auto"/>
              </w:rPr>
            </w:pPr>
          </w:p>
        </w:tc>
      </w:tr>
      <w:tr>
        <w:trPr>
          <w:trHeight w:val="192"/>
        </w:trPr>
        <w:tc>
          <w:tcPr>
            <w:tcW w:w="2500" w:type="dxa"/>
            <w:vAlign w:val="bottom"/>
          </w:tcPr>
          <w:p>
            <w:pPr>
              <w:ind w:left="180"/>
              <w:spacing w:after="0" w:line="192" w:lineRule="exact"/>
              <w:rPr>
                <w:sz w:val="20"/>
                <w:szCs w:val="20"/>
                <w:color w:val="auto"/>
              </w:rPr>
            </w:pPr>
            <w:r>
              <w:rPr>
                <w:rFonts w:ascii="Times New Roman" w:cs="Times New Roman" w:eastAsia="Times New Roman" w:hAnsi="Times New Roman"/>
                <w:sz w:val="17"/>
                <w:szCs w:val="17"/>
                <w:color w:val="auto"/>
              </w:rPr>
              <w:t>Stock option exercises and</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employee stock plan purchases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8,912</w:t>
            </w:r>
          </w:p>
        </w:tc>
        <w:tc>
          <w:tcPr>
            <w:tcW w:w="0" w:type="dxa"/>
            <w:vAlign w:val="bottom"/>
          </w:tcPr>
          <w:p>
            <w:pPr>
              <w:spacing w:after="0"/>
              <w:rPr>
                <w:sz w:val="1"/>
                <w:szCs w:val="1"/>
                <w:color w:val="auto"/>
              </w:rPr>
            </w:pPr>
          </w:p>
        </w:tc>
      </w:tr>
      <w:tr>
        <w:trPr>
          <w:trHeight w:val="199"/>
        </w:trPr>
        <w:tc>
          <w:tcPr>
            <w:tcW w:w="2500" w:type="dxa"/>
            <w:vAlign w:val="bottom"/>
            <w:shd w:val="clear" w:color="auto" w:fill="E9E9E9"/>
          </w:tcPr>
          <w:p>
            <w:pPr>
              <w:ind w:left="180"/>
              <w:spacing w:after="0"/>
              <w:rPr>
                <w:sz w:val="20"/>
                <w:szCs w:val="20"/>
                <w:color w:val="auto"/>
              </w:rPr>
            </w:pPr>
            <w:r>
              <w:rPr>
                <w:rFonts w:ascii="Times New Roman" w:cs="Times New Roman" w:eastAsia="Times New Roman" w:hAnsi="Times New Roman"/>
                <w:sz w:val="17"/>
                <w:szCs w:val="17"/>
                <w:color w:val="auto"/>
              </w:rPr>
              <w:t>Vesting of restricted stock</w:t>
            </w:r>
          </w:p>
        </w:tc>
        <w:tc>
          <w:tcPr>
            <w:tcW w:w="840" w:type="dxa"/>
            <w:vAlign w:val="bottom"/>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c>
          <w:tcPr>
            <w:tcW w:w="320" w:type="dxa"/>
            <w:vAlign w:val="bottom"/>
            <w:shd w:val="clear" w:color="auto" w:fill="E9E9E9"/>
          </w:tcPr>
          <w:p>
            <w:pPr>
              <w:spacing w:after="0"/>
              <w:rPr>
                <w:sz w:val="17"/>
                <w:szCs w:val="17"/>
                <w:color w:val="auto"/>
              </w:rPr>
            </w:pPr>
          </w:p>
        </w:tc>
        <w:tc>
          <w:tcPr>
            <w:tcW w:w="520" w:type="dxa"/>
            <w:vAlign w:val="bottom"/>
            <w:shd w:val="clear" w:color="auto" w:fill="E9E9E9"/>
          </w:tcPr>
          <w:p>
            <w:pPr>
              <w:spacing w:after="0"/>
              <w:rPr>
                <w:sz w:val="17"/>
                <w:szCs w:val="17"/>
                <w:color w:val="auto"/>
              </w:rPr>
            </w:pPr>
          </w:p>
        </w:tc>
        <w:tc>
          <w:tcPr>
            <w:tcW w:w="60" w:type="dxa"/>
            <w:vAlign w:val="bottom"/>
            <w:shd w:val="clear" w:color="auto" w:fill="E9E9E9"/>
          </w:tcPr>
          <w:p>
            <w:pPr>
              <w:spacing w:after="0"/>
              <w:rPr>
                <w:sz w:val="17"/>
                <w:szCs w:val="17"/>
                <w:color w:val="auto"/>
              </w:rPr>
            </w:pPr>
          </w:p>
        </w:tc>
        <w:tc>
          <w:tcPr>
            <w:tcW w:w="860" w:type="dxa"/>
            <w:vAlign w:val="bottom"/>
            <w:shd w:val="clear" w:color="auto" w:fill="E9E9E9"/>
          </w:tcPr>
          <w:p>
            <w:pPr>
              <w:spacing w:after="0"/>
              <w:rPr>
                <w:sz w:val="17"/>
                <w:szCs w:val="17"/>
                <w:color w:val="auto"/>
              </w:rPr>
            </w:pPr>
          </w:p>
        </w:tc>
        <w:tc>
          <w:tcPr>
            <w:tcW w:w="40" w:type="dxa"/>
            <w:vAlign w:val="bottom"/>
            <w:shd w:val="clear" w:color="auto" w:fill="E9E9E9"/>
          </w:tcPr>
          <w:p>
            <w:pPr>
              <w:spacing w:after="0"/>
              <w:rPr>
                <w:sz w:val="17"/>
                <w:szCs w:val="17"/>
                <w:color w:val="auto"/>
              </w:rPr>
            </w:pPr>
          </w:p>
        </w:tc>
        <w:tc>
          <w:tcPr>
            <w:tcW w:w="160" w:type="dxa"/>
            <w:vAlign w:val="bottom"/>
            <w:shd w:val="clear" w:color="auto" w:fill="E9E9E9"/>
          </w:tcPr>
          <w:p>
            <w:pPr>
              <w:spacing w:after="0"/>
              <w:rPr>
                <w:sz w:val="17"/>
                <w:szCs w:val="17"/>
                <w:color w:val="auto"/>
              </w:rPr>
            </w:pPr>
          </w:p>
        </w:tc>
        <w:tc>
          <w:tcPr>
            <w:tcW w:w="700" w:type="dxa"/>
            <w:vAlign w:val="bottom"/>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c>
          <w:tcPr>
            <w:tcW w:w="140" w:type="dxa"/>
            <w:vAlign w:val="bottom"/>
            <w:shd w:val="clear" w:color="auto" w:fill="E9E9E9"/>
          </w:tcPr>
          <w:p>
            <w:pPr>
              <w:spacing w:after="0"/>
              <w:rPr>
                <w:sz w:val="17"/>
                <w:szCs w:val="17"/>
                <w:color w:val="auto"/>
              </w:rPr>
            </w:pPr>
          </w:p>
        </w:tc>
        <w:tc>
          <w:tcPr>
            <w:tcW w:w="960" w:type="dxa"/>
            <w:vAlign w:val="bottom"/>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c>
          <w:tcPr>
            <w:tcW w:w="220" w:type="dxa"/>
            <w:vAlign w:val="bottom"/>
            <w:shd w:val="clear" w:color="auto" w:fill="E9E9E9"/>
          </w:tcPr>
          <w:p>
            <w:pPr>
              <w:spacing w:after="0"/>
              <w:rPr>
                <w:sz w:val="17"/>
                <w:szCs w:val="17"/>
                <w:color w:val="auto"/>
              </w:rPr>
            </w:pPr>
          </w:p>
        </w:tc>
        <w:tc>
          <w:tcPr>
            <w:tcW w:w="1040" w:type="dxa"/>
            <w:vAlign w:val="bottom"/>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c>
          <w:tcPr>
            <w:tcW w:w="140" w:type="dxa"/>
            <w:vAlign w:val="bottom"/>
            <w:shd w:val="clear" w:color="auto" w:fill="E9E9E9"/>
          </w:tcPr>
          <w:p>
            <w:pPr>
              <w:spacing w:after="0"/>
              <w:rPr>
                <w:sz w:val="17"/>
                <w:szCs w:val="17"/>
                <w:color w:val="auto"/>
              </w:rPr>
            </w:pPr>
          </w:p>
        </w:tc>
        <w:tc>
          <w:tcPr>
            <w:tcW w:w="1120" w:type="dxa"/>
            <w:vAlign w:val="bottom"/>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c>
          <w:tcPr>
            <w:tcW w:w="260" w:type="dxa"/>
            <w:vAlign w:val="bottom"/>
            <w:shd w:val="clear" w:color="auto" w:fill="E9E9E9"/>
          </w:tcPr>
          <w:p>
            <w:pPr>
              <w:spacing w:after="0"/>
              <w:rPr>
                <w:sz w:val="17"/>
                <w:szCs w:val="17"/>
                <w:color w:val="auto"/>
              </w:rPr>
            </w:pPr>
          </w:p>
        </w:tc>
        <w:tc>
          <w:tcPr>
            <w:tcW w:w="1000" w:type="dxa"/>
            <w:vAlign w:val="bottom"/>
            <w:shd w:val="clear" w:color="auto" w:fill="E9E9E9"/>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500" w:type="dxa"/>
            <w:vAlign w:val="bottom"/>
            <w:shd w:val="clear" w:color="auto" w:fill="E9E9E9"/>
          </w:tcPr>
          <w:p>
            <w:pPr>
              <w:ind w:left="180"/>
              <w:spacing w:after="0"/>
              <w:rPr>
                <w:sz w:val="20"/>
                <w:szCs w:val="20"/>
                <w:color w:val="auto"/>
              </w:rPr>
            </w:pPr>
            <w:r>
              <w:rPr>
                <w:rFonts w:ascii="Times New Roman" w:cs="Times New Roman" w:eastAsia="Times New Roman" w:hAnsi="Times New Roman"/>
                <w:sz w:val="17"/>
                <w:szCs w:val="17"/>
                <w:color w:val="auto"/>
              </w:rPr>
              <w:t>awards</w:t>
            </w:r>
          </w:p>
        </w:tc>
        <w:tc>
          <w:tcPr>
            <w:tcW w:w="8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845</w:t>
            </w:r>
          </w:p>
        </w:tc>
        <w:tc>
          <w:tcPr>
            <w:tcW w:w="80" w:type="dxa"/>
            <w:vAlign w:val="bottom"/>
            <w:shd w:val="clear" w:color="auto" w:fill="E9E9E9"/>
          </w:tcPr>
          <w:p>
            <w:pPr>
              <w:spacing w:after="0"/>
              <w:rPr>
                <w:sz w:val="22"/>
                <w:szCs w:val="22"/>
                <w:color w:val="auto"/>
              </w:rPr>
            </w:pPr>
          </w:p>
        </w:tc>
        <w:tc>
          <w:tcPr>
            <w:tcW w:w="320" w:type="dxa"/>
            <w:vAlign w:val="bottom"/>
            <w:shd w:val="clear" w:color="auto" w:fill="E9E9E9"/>
          </w:tcPr>
          <w:p>
            <w:pPr>
              <w:spacing w:after="0"/>
              <w:rPr>
                <w:sz w:val="22"/>
                <w:szCs w:val="22"/>
                <w:color w:val="auto"/>
              </w:rPr>
            </w:pPr>
          </w:p>
        </w:tc>
        <w:tc>
          <w:tcPr>
            <w:tcW w:w="5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60" w:type="dxa"/>
            <w:vAlign w:val="bottom"/>
            <w:shd w:val="clear" w:color="auto" w:fill="E9E9E9"/>
          </w:tcPr>
          <w:p>
            <w:pPr>
              <w:spacing w:after="0"/>
              <w:rPr>
                <w:sz w:val="22"/>
                <w:szCs w:val="22"/>
                <w:color w:val="auto"/>
              </w:rPr>
            </w:pPr>
          </w:p>
        </w:tc>
        <w:tc>
          <w:tcPr>
            <w:tcW w:w="8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E9E9E9"/>
          </w:tcPr>
          <w:p>
            <w:pPr>
              <w:spacing w:after="0"/>
              <w:rPr>
                <w:sz w:val="22"/>
                <w:szCs w:val="22"/>
                <w:color w:val="auto"/>
              </w:rPr>
            </w:pPr>
          </w:p>
        </w:tc>
        <w:tc>
          <w:tcPr>
            <w:tcW w:w="160" w:type="dxa"/>
            <w:vAlign w:val="bottom"/>
            <w:shd w:val="clear" w:color="auto" w:fill="E9E9E9"/>
          </w:tcPr>
          <w:p>
            <w:pPr>
              <w:spacing w:after="0"/>
              <w:rPr>
                <w:sz w:val="22"/>
                <w:szCs w:val="22"/>
                <w:color w:val="auto"/>
              </w:rPr>
            </w:pPr>
          </w:p>
        </w:tc>
        <w:tc>
          <w:tcPr>
            <w:tcW w:w="7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9E9E9"/>
          </w:tcPr>
          <w:p>
            <w:pPr>
              <w:spacing w:after="0"/>
              <w:rPr>
                <w:sz w:val="22"/>
                <w:szCs w:val="22"/>
                <w:color w:val="auto"/>
              </w:rPr>
            </w:pPr>
          </w:p>
        </w:tc>
        <w:tc>
          <w:tcPr>
            <w:tcW w:w="140" w:type="dxa"/>
            <w:vAlign w:val="bottom"/>
            <w:shd w:val="clear" w:color="auto" w:fill="E9E9E9"/>
          </w:tcPr>
          <w:p>
            <w:pPr>
              <w:spacing w:after="0"/>
              <w:rPr>
                <w:sz w:val="22"/>
                <w:szCs w:val="22"/>
                <w:color w:val="auto"/>
              </w:rPr>
            </w:pPr>
          </w:p>
        </w:tc>
        <w:tc>
          <w:tcPr>
            <w:tcW w:w="9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shd w:val="clear" w:color="auto" w:fill="E9E9E9"/>
          </w:tcPr>
          <w:p>
            <w:pPr>
              <w:spacing w:after="0"/>
              <w:rPr>
                <w:sz w:val="22"/>
                <w:szCs w:val="22"/>
                <w:color w:val="auto"/>
              </w:rPr>
            </w:pPr>
          </w:p>
        </w:tc>
        <w:tc>
          <w:tcPr>
            <w:tcW w:w="220" w:type="dxa"/>
            <w:vAlign w:val="bottom"/>
            <w:shd w:val="clear" w:color="auto" w:fill="E9E9E9"/>
          </w:tcPr>
          <w:p>
            <w:pPr>
              <w:spacing w:after="0"/>
              <w:rPr>
                <w:sz w:val="22"/>
                <w:szCs w:val="22"/>
                <w:color w:val="auto"/>
              </w:rPr>
            </w:pPr>
          </w:p>
        </w:tc>
        <w:tc>
          <w:tcPr>
            <w:tcW w:w="10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9E9E9"/>
          </w:tcPr>
          <w:p>
            <w:pPr>
              <w:spacing w:after="0"/>
              <w:rPr>
                <w:sz w:val="22"/>
                <w:szCs w:val="22"/>
                <w:color w:val="auto"/>
              </w:rPr>
            </w:pPr>
          </w:p>
        </w:tc>
        <w:tc>
          <w:tcPr>
            <w:tcW w:w="140" w:type="dxa"/>
            <w:vAlign w:val="bottom"/>
            <w:shd w:val="clear" w:color="auto" w:fill="E9E9E9"/>
          </w:tcPr>
          <w:p>
            <w:pPr>
              <w:spacing w:after="0"/>
              <w:rPr>
                <w:sz w:val="22"/>
                <w:szCs w:val="22"/>
                <w:color w:val="auto"/>
              </w:rPr>
            </w:pPr>
          </w:p>
        </w:tc>
        <w:tc>
          <w:tcPr>
            <w:tcW w:w="11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9E9E9"/>
          </w:tcPr>
          <w:p>
            <w:pPr>
              <w:spacing w:after="0"/>
              <w:rPr>
                <w:sz w:val="22"/>
                <w:szCs w:val="22"/>
                <w:color w:val="auto"/>
              </w:rPr>
            </w:pPr>
          </w:p>
        </w:tc>
        <w:tc>
          <w:tcPr>
            <w:tcW w:w="260" w:type="dxa"/>
            <w:vAlign w:val="bottom"/>
            <w:shd w:val="clear" w:color="auto" w:fill="E9E9E9"/>
          </w:tcPr>
          <w:p>
            <w:pPr>
              <w:spacing w:after="0"/>
              <w:rPr>
                <w:sz w:val="22"/>
                <w:szCs w:val="22"/>
                <w:color w:val="auto"/>
              </w:rPr>
            </w:pPr>
          </w:p>
        </w:tc>
        <w:tc>
          <w:tcPr>
            <w:tcW w:w="10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7"/>
        </w:trPr>
        <w:tc>
          <w:tcPr>
            <w:tcW w:w="2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Shares withheld to cover taxes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(7,758)</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(7,759)</w:t>
            </w:r>
          </w:p>
        </w:tc>
        <w:tc>
          <w:tcPr>
            <w:tcW w:w="0" w:type="dxa"/>
            <w:vAlign w:val="bottom"/>
          </w:tcPr>
          <w:p>
            <w:pPr>
              <w:spacing w:after="0"/>
              <w:rPr>
                <w:sz w:val="1"/>
                <w:szCs w:val="1"/>
                <w:color w:val="auto"/>
              </w:rPr>
            </w:pPr>
          </w:p>
        </w:tc>
      </w:tr>
      <w:tr>
        <w:trPr>
          <w:trHeight w:val="295"/>
        </w:trPr>
        <w:tc>
          <w:tcPr>
            <w:tcW w:w="2500" w:type="dxa"/>
            <w:vAlign w:val="bottom"/>
            <w:shd w:val="clear" w:color="auto" w:fill="E9E9E9"/>
          </w:tcPr>
          <w:p>
            <w:pPr>
              <w:ind w:left="18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8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9E9E9"/>
          </w:tcPr>
          <w:p>
            <w:pPr>
              <w:spacing w:after="0"/>
              <w:rPr>
                <w:sz w:val="24"/>
                <w:szCs w:val="24"/>
                <w:color w:val="auto"/>
              </w:rPr>
            </w:pPr>
          </w:p>
        </w:tc>
        <w:tc>
          <w:tcPr>
            <w:tcW w:w="320" w:type="dxa"/>
            <w:vAlign w:val="bottom"/>
            <w:shd w:val="clear" w:color="auto" w:fill="E9E9E9"/>
          </w:tcPr>
          <w:p>
            <w:pPr>
              <w:spacing w:after="0"/>
              <w:rPr>
                <w:sz w:val="24"/>
                <w:szCs w:val="24"/>
                <w:color w:val="auto"/>
              </w:rPr>
            </w:pPr>
          </w:p>
        </w:tc>
        <w:tc>
          <w:tcPr>
            <w:tcW w:w="5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1,339</w:t>
            </w:r>
          </w:p>
        </w:tc>
        <w:tc>
          <w:tcPr>
            <w:tcW w:w="40" w:type="dxa"/>
            <w:vAlign w:val="bottom"/>
            <w:shd w:val="clear" w:color="auto" w:fill="E9E9E9"/>
          </w:tcPr>
          <w:p>
            <w:pPr>
              <w:spacing w:after="0"/>
              <w:rPr>
                <w:sz w:val="24"/>
                <w:szCs w:val="24"/>
                <w:color w:val="auto"/>
              </w:rPr>
            </w:pPr>
          </w:p>
        </w:tc>
        <w:tc>
          <w:tcPr>
            <w:tcW w:w="160" w:type="dxa"/>
            <w:vAlign w:val="bottom"/>
            <w:shd w:val="clear" w:color="auto" w:fill="E9E9E9"/>
          </w:tcPr>
          <w:p>
            <w:pPr>
              <w:spacing w:after="0"/>
              <w:rPr>
                <w:sz w:val="24"/>
                <w:szCs w:val="24"/>
                <w:color w:val="auto"/>
              </w:rPr>
            </w:pPr>
          </w:p>
        </w:tc>
        <w:tc>
          <w:tcPr>
            <w:tcW w:w="7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80" w:type="dxa"/>
            <w:vAlign w:val="bottom"/>
            <w:shd w:val="clear" w:color="auto" w:fill="E9E9E9"/>
          </w:tcPr>
          <w:p>
            <w:pPr>
              <w:spacing w:after="0"/>
              <w:rPr>
                <w:sz w:val="24"/>
                <w:szCs w:val="24"/>
                <w:color w:val="auto"/>
              </w:rPr>
            </w:pPr>
          </w:p>
        </w:tc>
        <w:tc>
          <w:tcPr>
            <w:tcW w:w="140" w:type="dxa"/>
            <w:vAlign w:val="bottom"/>
            <w:shd w:val="clear" w:color="auto" w:fill="E9E9E9"/>
          </w:tcPr>
          <w:p>
            <w:pPr>
              <w:spacing w:after="0"/>
              <w:rPr>
                <w:sz w:val="24"/>
                <w:szCs w:val="24"/>
                <w:color w:val="auto"/>
              </w:rPr>
            </w:pPr>
          </w:p>
        </w:tc>
        <w:tc>
          <w:tcPr>
            <w:tcW w:w="9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9E9E9"/>
          </w:tcPr>
          <w:p>
            <w:pPr>
              <w:spacing w:after="0"/>
              <w:rPr>
                <w:sz w:val="24"/>
                <w:szCs w:val="24"/>
                <w:color w:val="auto"/>
              </w:rPr>
            </w:pPr>
          </w:p>
        </w:tc>
        <w:tc>
          <w:tcPr>
            <w:tcW w:w="220" w:type="dxa"/>
            <w:vAlign w:val="bottom"/>
            <w:shd w:val="clear" w:color="auto" w:fill="E9E9E9"/>
          </w:tcPr>
          <w:p>
            <w:pPr>
              <w:spacing w:after="0"/>
              <w:rPr>
                <w:sz w:val="24"/>
                <w:szCs w:val="24"/>
                <w:color w:val="auto"/>
              </w:rPr>
            </w:pPr>
          </w:p>
        </w:tc>
        <w:tc>
          <w:tcPr>
            <w:tcW w:w="10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9E9E9"/>
          </w:tcPr>
          <w:p>
            <w:pPr>
              <w:spacing w:after="0"/>
              <w:rPr>
                <w:sz w:val="24"/>
                <w:szCs w:val="24"/>
                <w:color w:val="auto"/>
              </w:rPr>
            </w:pPr>
          </w:p>
        </w:tc>
        <w:tc>
          <w:tcPr>
            <w:tcW w:w="140" w:type="dxa"/>
            <w:vAlign w:val="bottom"/>
            <w:shd w:val="clear" w:color="auto" w:fill="E9E9E9"/>
          </w:tcPr>
          <w:p>
            <w:pPr>
              <w:spacing w:after="0"/>
              <w:rPr>
                <w:sz w:val="24"/>
                <w:szCs w:val="24"/>
                <w:color w:val="auto"/>
              </w:rPr>
            </w:pPr>
          </w:p>
        </w:tc>
        <w:tc>
          <w:tcPr>
            <w:tcW w:w="11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9E9E9"/>
          </w:tcPr>
          <w:p>
            <w:pPr>
              <w:spacing w:after="0"/>
              <w:rPr>
                <w:sz w:val="24"/>
                <w:szCs w:val="24"/>
                <w:color w:val="auto"/>
              </w:rPr>
            </w:pPr>
          </w:p>
        </w:tc>
        <w:tc>
          <w:tcPr>
            <w:tcW w:w="260" w:type="dxa"/>
            <w:vAlign w:val="bottom"/>
            <w:shd w:val="clear" w:color="auto" w:fill="E9E9E9"/>
          </w:tcPr>
          <w:p>
            <w:pPr>
              <w:spacing w:after="0"/>
              <w:rPr>
                <w:sz w:val="24"/>
                <w:szCs w:val="24"/>
                <w:color w:val="auto"/>
              </w:rPr>
            </w:pPr>
          </w:p>
        </w:tc>
        <w:tc>
          <w:tcPr>
            <w:tcW w:w="10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0" w:type="dxa"/>
            <w:vAlign w:val="bottom"/>
          </w:tcPr>
          <w:p>
            <w:pPr>
              <w:spacing w:after="0"/>
              <w:rPr>
                <w:sz w:val="1"/>
                <w:szCs w:val="1"/>
                <w:color w:val="auto"/>
              </w:rPr>
            </w:pPr>
          </w:p>
        </w:tc>
      </w:tr>
      <w:tr>
        <w:trPr>
          <w:trHeight w:val="263"/>
        </w:trPr>
        <w:tc>
          <w:tcPr>
            <w:tcW w:w="2500" w:type="dxa"/>
            <w:vAlign w:val="bottom"/>
            <w:tcBorders>
              <w:bottom w:val="single" w:sz="8" w:color="E9E9E9"/>
            </w:tcBorders>
          </w:tcPr>
          <w:p>
            <w:pPr>
              <w:ind w:left="180"/>
              <w:spacing w:after="0"/>
              <w:rPr>
                <w:sz w:val="20"/>
                <w:szCs w:val="20"/>
                <w:color w:val="auto"/>
              </w:rPr>
            </w:pPr>
            <w:r>
              <w:rPr>
                <w:rFonts w:ascii="Times New Roman" w:cs="Times New Roman" w:eastAsia="Times New Roman" w:hAnsi="Times New Roman"/>
                <w:sz w:val="17"/>
                <w:szCs w:val="17"/>
                <w:color w:val="auto"/>
              </w:rPr>
              <w:t>Stock-based compensation</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E9E9E9"/>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E9E9E9"/>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E9E9E9"/>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E9E9E9"/>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29,262</w:t>
            </w:r>
          </w:p>
        </w:tc>
        <w:tc>
          <w:tcPr>
            <w:tcW w:w="80" w:type="dxa"/>
            <w:vAlign w:val="bottom"/>
            <w:tcBorders>
              <w:bottom w:val="single" w:sz="8" w:color="E9E9E9"/>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E9E9E9"/>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E9E9E9"/>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29,262</w:t>
            </w:r>
          </w:p>
        </w:tc>
        <w:tc>
          <w:tcPr>
            <w:tcW w:w="0" w:type="dxa"/>
            <w:vAlign w:val="bottom"/>
          </w:tcPr>
          <w:p>
            <w:pPr>
              <w:spacing w:after="0"/>
              <w:rPr>
                <w:sz w:val="1"/>
                <w:szCs w:val="1"/>
                <w:color w:val="auto"/>
              </w:rPr>
            </w:pPr>
          </w:p>
        </w:tc>
      </w:tr>
      <w:tr>
        <w:trPr>
          <w:trHeight w:val="264"/>
        </w:trPr>
        <w:tc>
          <w:tcPr>
            <w:tcW w:w="2500" w:type="dxa"/>
            <w:vAlign w:val="bottom"/>
            <w:shd w:val="clear" w:color="auto" w:fill="E9E9E9"/>
          </w:tcPr>
          <w:p>
            <w:pPr>
              <w:ind w:left="60"/>
              <w:spacing w:after="0"/>
              <w:rPr>
                <w:sz w:val="20"/>
                <w:szCs w:val="20"/>
                <w:color w:val="auto"/>
              </w:rPr>
            </w:pPr>
            <w:r>
              <w:rPr>
                <w:rFonts w:ascii="Times New Roman" w:cs="Times New Roman" w:eastAsia="Times New Roman" w:hAnsi="Times New Roman"/>
                <w:sz w:val="17"/>
                <w:szCs w:val="17"/>
                <w:color w:val="auto"/>
              </w:rPr>
              <w:t>Balance, December 31, 2022</w:t>
            </w:r>
          </w:p>
        </w:tc>
        <w:tc>
          <w:tcPr>
            <w:tcW w:w="8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68,851</w:t>
            </w:r>
          </w:p>
        </w:tc>
        <w:tc>
          <w:tcPr>
            <w:tcW w:w="80" w:type="dxa"/>
            <w:vAlign w:val="bottom"/>
            <w:shd w:val="clear" w:color="auto" w:fill="E9E9E9"/>
          </w:tcPr>
          <w:p>
            <w:pPr>
              <w:spacing w:after="0"/>
              <w:rPr>
                <w:sz w:val="22"/>
                <w:szCs w:val="22"/>
                <w:color w:val="auto"/>
              </w:rPr>
            </w:pPr>
          </w:p>
        </w:tc>
        <w:tc>
          <w:tcPr>
            <w:tcW w:w="320" w:type="dxa"/>
            <w:vAlign w:val="bottom"/>
            <w:shd w:val="clear" w:color="auto" w:fill="E9E9E9"/>
          </w:tcPr>
          <w:p>
            <w:pPr>
              <w:spacing w:after="0"/>
              <w:rPr>
                <w:sz w:val="22"/>
                <w:szCs w:val="22"/>
                <w:color w:val="auto"/>
              </w:rPr>
            </w:pPr>
          </w:p>
        </w:tc>
        <w:tc>
          <w:tcPr>
            <w:tcW w:w="5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689</w:t>
            </w:r>
          </w:p>
        </w:tc>
        <w:tc>
          <w:tcPr>
            <w:tcW w:w="92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1,339</w:t>
            </w:r>
          </w:p>
        </w:tc>
        <w:tc>
          <w:tcPr>
            <w:tcW w:w="40" w:type="dxa"/>
            <w:vAlign w:val="bottom"/>
            <w:shd w:val="clear" w:color="auto" w:fill="E9E9E9"/>
          </w:tcPr>
          <w:p>
            <w:pPr>
              <w:spacing w:after="0"/>
              <w:rPr>
                <w:sz w:val="22"/>
                <w:szCs w:val="22"/>
                <w:color w:val="auto"/>
              </w:rPr>
            </w:pPr>
          </w:p>
        </w:tc>
        <w:tc>
          <w:tcPr>
            <w:tcW w:w="160" w:type="dxa"/>
            <w:vAlign w:val="bottom"/>
            <w:shd w:val="clear" w:color="auto" w:fill="E9E9E9"/>
          </w:tcPr>
          <w:p>
            <w:pPr>
              <w:spacing w:after="0"/>
              <w:rPr>
                <w:sz w:val="22"/>
                <w:szCs w:val="22"/>
                <w:color w:val="auto"/>
              </w:rPr>
            </w:pPr>
          </w:p>
        </w:tc>
        <w:tc>
          <w:tcPr>
            <w:tcW w:w="7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80" w:type="dxa"/>
            <w:vAlign w:val="bottom"/>
            <w:shd w:val="clear" w:color="auto" w:fill="E9E9E9"/>
          </w:tcPr>
          <w:p>
            <w:pPr>
              <w:spacing w:after="0"/>
              <w:rPr>
                <w:sz w:val="22"/>
                <w:szCs w:val="22"/>
                <w:color w:val="auto"/>
              </w:rPr>
            </w:pPr>
          </w:p>
        </w:tc>
        <w:tc>
          <w:tcPr>
            <w:tcW w:w="140" w:type="dxa"/>
            <w:vAlign w:val="bottom"/>
            <w:shd w:val="clear" w:color="auto" w:fill="E9E9E9"/>
          </w:tcPr>
          <w:p>
            <w:pPr>
              <w:spacing w:after="0"/>
              <w:rPr>
                <w:sz w:val="22"/>
                <w:szCs w:val="22"/>
                <w:color w:val="auto"/>
              </w:rPr>
            </w:pPr>
          </w:p>
        </w:tc>
        <w:tc>
          <w:tcPr>
            <w:tcW w:w="9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715,875</w:t>
            </w:r>
          </w:p>
        </w:tc>
        <w:tc>
          <w:tcPr>
            <w:tcW w:w="80" w:type="dxa"/>
            <w:vAlign w:val="bottom"/>
            <w:shd w:val="clear" w:color="auto" w:fill="E9E9E9"/>
          </w:tcPr>
          <w:p>
            <w:pPr>
              <w:spacing w:after="0"/>
              <w:rPr>
                <w:sz w:val="22"/>
                <w:szCs w:val="22"/>
                <w:color w:val="auto"/>
              </w:rPr>
            </w:pPr>
          </w:p>
        </w:tc>
        <w:tc>
          <w:tcPr>
            <w:tcW w:w="220" w:type="dxa"/>
            <w:vAlign w:val="bottom"/>
            <w:shd w:val="clear" w:color="auto" w:fill="E9E9E9"/>
          </w:tcPr>
          <w:p>
            <w:pPr>
              <w:spacing w:after="0"/>
              <w:rPr>
                <w:sz w:val="22"/>
                <w:szCs w:val="22"/>
                <w:color w:val="auto"/>
              </w:rPr>
            </w:pPr>
          </w:p>
        </w:tc>
        <w:tc>
          <w:tcPr>
            <w:tcW w:w="10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(193,158)</w:t>
            </w:r>
          </w:p>
        </w:tc>
        <w:tc>
          <w:tcPr>
            <w:tcW w:w="80" w:type="dxa"/>
            <w:vAlign w:val="bottom"/>
            <w:shd w:val="clear" w:color="auto" w:fill="E9E9E9"/>
          </w:tcPr>
          <w:p>
            <w:pPr>
              <w:spacing w:after="0"/>
              <w:rPr>
                <w:sz w:val="22"/>
                <w:szCs w:val="22"/>
                <w:color w:val="auto"/>
              </w:rPr>
            </w:pPr>
          </w:p>
        </w:tc>
        <w:tc>
          <w:tcPr>
            <w:tcW w:w="140" w:type="dxa"/>
            <w:vAlign w:val="bottom"/>
            <w:shd w:val="clear" w:color="auto" w:fill="E9E9E9"/>
          </w:tcPr>
          <w:p>
            <w:pPr>
              <w:spacing w:after="0"/>
              <w:rPr>
                <w:sz w:val="22"/>
                <w:szCs w:val="22"/>
                <w:color w:val="auto"/>
              </w:rPr>
            </w:pPr>
          </w:p>
        </w:tc>
        <w:tc>
          <w:tcPr>
            <w:tcW w:w="11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(1,259)</w:t>
            </w:r>
          </w:p>
        </w:tc>
        <w:tc>
          <w:tcPr>
            <w:tcW w:w="80" w:type="dxa"/>
            <w:vAlign w:val="bottom"/>
            <w:shd w:val="clear" w:color="auto" w:fill="E9E9E9"/>
          </w:tcPr>
          <w:p>
            <w:pPr>
              <w:spacing w:after="0"/>
              <w:rPr>
                <w:sz w:val="22"/>
                <w:szCs w:val="22"/>
                <w:color w:val="auto"/>
              </w:rPr>
            </w:pPr>
          </w:p>
        </w:tc>
        <w:tc>
          <w:tcPr>
            <w:tcW w:w="260" w:type="dxa"/>
            <w:vAlign w:val="bottom"/>
            <w:shd w:val="clear" w:color="auto" w:fill="E9E9E9"/>
          </w:tcPr>
          <w:p>
            <w:pPr>
              <w:spacing w:after="0"/>
              <w:rPr>
                <w:sz w:val="22"/>
                <w:szCs w:val="22"/>
                <w:color w:val="auto"/>
              </w:rPr>
            </w:pPr>
          </w:p>
        </w:tc>
        <w:tc>
          <w:tcPr>
            <w:tcW w:w="10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447,147</w:t>
            </w:r>
          </w:p>
        </w:tc>
        <w:tc>
          <w:tcPr>
            <w:tcW w:w="0" w:type="dxa"/>
            <w:vAlign w:val="bottom"/>
          </w:tcPr>
          <w:p>
            <w:pPr>
              <w:spacing w:after="0"/>
              <w:rPr>
                <w:sz w:val="1"/>
                <w:szCs w:val="1"/>
                <w:color w:val="auto"/>
              </w:rPr>
            </w:pPr>
          </w:p>
        </w:tc>
      </w:tr>
      <w:tr>
        <w:trPr>
          <w:trHeight w:val="267"/>
        </w:trPr>
        <w:tc>
          <w:tcPr>
            <w:tcW w:w="2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income</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326,661</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326,661</w:t>
            </w:r>
          </w:p>
        </w:tc>
        <w:tc>
          <w:tcPr>
            <w:tcW w:w="0" w:type="dxa"/>
            <w:vAlign w:val="bottom"/>
          </w:tcPr>
          <w:p>
            <w:pPr>
              <w:spacing w:after="0"/>
              <w:rPr>
                <w:sz w:val="1"/>
                <w:szCs w:val="1"/>
                <w:color w:val="auto"/>
              </w:rPr>
            </w:pPr>
          </w:p>
        </w:tc>
      </w:tr>
      <w:tr>
        <w:trPr>
          <w:trHeight w:val="281"/>
        </w:trPr>
        <w:tc>
          <w:tcPr>
            <w:tcW w:w="2500" w:type="dxa"/>
            <w:vAlign w:val="bottom"/>
            <w:shd w:val="clear" w:color="auto" w:fill="E9E9E9"/>
          </w:tcPr>
          <w:p>
            <w:pPr>
              <w:ind w:left="18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8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9E9E9"/>
          </w:tcPr>
          <w:p>
            <w:pPr>
              <w:spacing w:after="0"/>
              <w:rPr>
                <w:sz w:val="24"/>
                <w:szCs w:val="24"/>
                <w:color w:val="auto"/>
              </w:rPr>
            </w:pPr>
          </w:p>
        </w:tc>
        <w:tc>
          <w:tcPr>
            <w:tcW w:w="320" w:type="dxa"/>
            <w:vAlign w:val="bottom"/>
            <w:shd w:val="clear" w:color="auto" w:fill="E9E9E9"/>
          </w:tcPr>
          <w:p>
            <w:pPr>
              <w:spacing w:after="0"/>
              <w:rPr>
                <w:sz w:val="24"/>
                <w:szCs w:val="24"/>
                <w:color w:val="auto"/>
              </w:rPr>
            </w:pPr>
          </w:p>
        </w:tc>
        <w:tc>
          <w:tcPr>
            <w:tcW w:w="5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E9E9E9"/>
          </w:tcPr>
          <w:p>
            <w:pPr>
              <w:spacing w:after="0"/>
              <w:rPr>
                <w:sz w:val="24"/>
                <w:szCs w:val="24"/>
                <w:color w:val="auto"/>
              </w:rPr>
            </w:pPr>
          </w:p>
        </w:tc>
        <w:tc>
          <w:tcPr>
            <w:tcW w:w="8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E9E9E9"/>
          </w:tcPr>
          <w:p>
            <w:pPr>
              <w:spacing w:after="0"/>
              <w:rPr>
                <w:sz w:val="24"/>
                <w:szCs w:val="24"/>
                <w:color w:val="auto"/>
              </w:rPr>
            </w:pPr>
          </w:p>
        </w:tc>
        <w:tc>
          <w:tcPr>
            <w:tcW w:w="160" w:type="dxa"/>
            <w:vAlign w:val="bottom"/>
            <w:shd w:val="clear" w:color="auto" w:fill="E9E9E9"/>
          </w:tcPr>
          <w:p>
            <w:pPr>
              <w:spacing w:after="0"/>
              <w:rPr>
                <w:sz w:val="24"/>
                <w:szCs w:val="24"/>
                <w:color w:val="auto"/>
              </w:rPr>
            </w:pPr>
          </w:p>
        </w:tc>
        <w:tc>
          <w:tcPr>
            <w:tcW w:w="7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9E9E9"/>
          </w:tcPr>
          <w:p>
            <w:pPr>
              <w:spacing w:after="0"/>
              <w:rPr>
                <w:sz w:val="24"/>
                <w:szCs w:val="24"/>
                <w:color w:val="auto"/>
              </w:rPr>
            </w:pPr>
          </w:p>
        </w:tc>
        <w:tc>
          <w:tcPr>
            <w:tcW w:w="140" w:type="dxa"/>
            <w:vAlign w:val="bottom"/>
            <w:shd w:val="clear" w:color="auto" w:fill="E9E9E9"/>
          </w:tcPr>
          <w:p>
            <w:pPr>
              <w:spacing w:after="0"/>
              <w:rPr>
                <w:sz w:val="24"/>
                <w:szCs w:val="24"/>
                <w:color w:val="auto"/>
              </w:rPr>
            </w:pPr>
          </w:p>
        </w:tc>
        <w:tc>
          <w:tcPr>
            <w:tcW w:w="9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9E9E9"/>
          </w:tcPr>
          <w:p>
            <w:pPr>
              <w:spacing w:after="0"/>
              <w:rPr>
                <w:sz w:val="24"/>
                <w:szCs w:val="24"/>
                <w:color w:val="auto"/>
              </w:rPr>
            </w:pPr>
          </w:p>
        </w:tc>
        <w:tc>
          <w:tcPr>
            <w:tcW w:w="220" w:type="dxa"/>
            <w:vAlign w:val="bottom"/>
            <w:shd w:val="clear" w:color="auto" w:fill="E9E9E9"/>
          </w:tcPr>
          <w:p>
            <w:pPr>
              <w:spacing w:after="0"/>
              <w:rPr>
                <w:sz w:val="24"/>
                <w:szCs w:val="24"/>
                <w:color w:val="auto"/>
              </w:rPr>
            </w:pPr>
          </w:p>
        </w:tc>
        <w:tc>
          <w:tcPr>
            <w:tcW w:w="10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9E9E9"/>
          </w:tcPr>
          <w:p>
            <w:pPr>
              <w:spacing w:after="0"/>
              <w:rPr>
                <w:sz w:val="24"/>
                <w:szCs w:val="24"/>
                <w:color w:val="auto"/>
              </w:rPr>
            </w:pPr>
          </w:p>
        </w:tc>
        <w:tc>
          <w:tcPr>
            <w:tcW w:w="140" w:type="dxa"/>
            <w:vAlign w:val="bottom"/>
            <w:shd w:val="clear" w:color="auto" w:fill="E9E9E9"/>
          </w:tcPr>
          <w:p>
            <w:pPr>
              <w:spacing w:after="0"/>
              <w:rPr>
                <w:sz w:val="24"/>
                <w:szCs w:val="24"/>
                <w:color w:val="auto"/>
              </w:rPr>
            </w:pPr>
          </w:p>
        </w:tc>
        <w:tc>
          <w:tcPr>
            <w:tcW w:w="11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80" w:type="dxa"/>
            <w:vAlign w:val="bottom"/>
            <w:shd w:val="clear" w:color="auto" w:fill="E9E9E9"/>
          </w:tcPr>
          <w:p>
            <w:pPr>
              <w:spacing w:after="0"/>
              <w:rPr>
                <w:sz w:val="24"/>
                <w:szCs w:val="24"/>
                <w:color w:val="auto"/>
              </w:rPr>
            </w:pPr>
          </w:p>
        </w:tc>
        <w:tc>
          <w:tcPr>
            <w:tcW w:w="260" w:type="dxa"/>
            <w:vAlign w:val="bottom"/>
            <w:shd w:val="clear" w:color="auto" w:fill="E9E9E9"/>
          </w:tcPr>
          <w:p>
            <w:pPr>
              <w:spacing w:after="0"/>
              <w:rPr>
                <w:sz w:val="24"/>
                <w:szCs w:val="24"/>
                <w:color w:val="auto"/>
              </w:rPr>
            </w:pPr>
          </w:p>
        </w:tc>
        <w:tc>
          <w:tcPr>
            <w:tcW w:w="10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0" w:type="dxa"/>
            <w:vAlign w:val="bottom"/>
          </w:tcPr>
          <w:p>
            <w:pPr>
              <w:spacing w:after="0"/>
              <w:rPr>
                <w:sz w:val="1"/>
                <w:szCs w:val="1"/>
                <w:color w:val="auto"/>
              </w:rPr>
            </w:pPr>
          </w:p>
        </w:tc>
      </w:tr>
      <w:tr>
        <w:trPr>
          <w:trHeight w:val="192"/>
        </w:trPr>
        <w:tc>
          <w:tcPr>
            <w:tcW w:w="2500" w:type="dxa"/>
            <w:vAlign w:val="bottom"/>
          </w:tcPr>
          <w:p>
            <w:pPr>
              <w:ind w:left="180"/>
              <w:spacing w:after="0" w:line="192" w:lineRule="exact"/>
              <w:rPr>
                <w:sz w:val="20"/>
                <w:szCs w:val="20"/>
                <w:color w:val="auto"/>
              </w:rPr>
            </w:pPr>
            <w:r>
              <w:rPr>
                <w:rFonts w:ascii="Times New Roman" w:cs="Times New Roman" w:eastAsia="Times New Roman" w:hAnsi="Times New Roman"/>
                <w:sz w:val="17"/>
                <w:szCs w:val="17"/>
                <w:color w:val="auto"/>
              </w:rPr>
              <w:t>Stock option exercises and</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employee stock plan purchases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5,747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5,749</w:t>
            </w:r>
          </w:p>
        </w:tc>
        <w:tc>
          <w:tcPr>
            <w:tcW w:w="0" w:type="dxa"/>
            <w:vAlign w:val="bottom"/>
          </w:tcPr>
          <w:p>
            <w:pPr>
              <w:spacing w:after="0"/>
              <w:rPr>
                <w:sz w:val="1"/>
                <w:szCs w:val="1"/>
                <w:color w:val="auto"/>
              </w:rPr>
            </w:pPr>
          </w:p>
        </w:tc>
      </w:tr>
      <w:tr>
        <w:trPr>
          <w:trHeight w:val="199"/>
        </w:trPr>
        <w:tc>
          <w:tcPr>
            <w:tcW w:w="2500" w:type="dxa"/>
            <w:vAlign w:val="bottom"/>
            <w:shd w:val="clear" w:color="auto" w:fill="E9E9E9"/>
          </w:tcPr>
          <w:p>
            <w:pPr>
              <w:ind w:left="180"/>
              <w:spacing w:after="0"/>
              <w:rPr>
                <w:sz w:val="20"/>
                <w:szCs w:val="20"/>
                <w:color w:val="auto"/>
              </w:rPr>
            </w:pPr>
            <w:r>
              <w:rPr>
                <w:rFonts w:ascii="Times New Roman" w:cs="Times New Roman" w:eastAsia="Times New Roman" w:hAnsi="Times New Roman"/>
                <w:sz w:val="17"/>
                <w:szCs w:val="17"/>
                <w:color w:val="auto"/>
              </w:rPr>
              <w:t>Vesting of restricted stock</w:t>
            </w:r>
          </w:p>
        </w:tc>
        <w:tc>
          <w:tcPr>
            <w:tcW w:w="840" w:type="dxa"/>
            <w:vAlign w:val="bottom"/>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c>
          <w:tcPr>
            <w:tcW w:w="320" w:type="dxa"/>
            <w:vAlign w:val="bottom"/>
            <w:shd w:val="clear" w:color="auto" w:fill="E9E9E9"/>
          </w:tcPr>
          <w:p>
            <w:pPr>
              <w:spacing w:after="0"/>
              <w:rPr>
                <w:sz w:val="17"/>
                <w:szCs w:val="17"/>
                <w:color w:val="auto"/>
              </w:rPr>
            </w:pPr>
          </w:p>
        </w:tc>
        <w:tc>
          <w:tcPr>
            <w:tcW w:w="520" w:type="dxa"/>
            <w:vAlign w:val="bottom"/>
            <w:shd w:val="clear" w:color="auto" w:fill="E9E9E9"/>
          </w:tcPr>
          <w:p>
            <w:pPr>
              <w:spacing w:after="0"/>
              <w:rPr>
                <w:sz w:val="17"/>
                <w:szCs w:val="17"/>
                <w:color w:val="auto"/>
              </w:rPr>
            </w:pPr>
          </w:p>
        </w:tc>
        <w:tc>
          <w:tcPr>
            <w:tcW w:w="60" w:type="dxa"/>
            <w:vAlign w:val="bottom"/>
            <w:shd w:val="clear" w:color="auto" w:fill="E9E9E9"/>
          </w:tcPr>
          <w:p>
            <w:pPr>
              <w:spacing w:after="0"/>
              <w:rPr>
                <w:sz w:val="17"/>
                <w:szCs w:val="17"/>
                <w:color w:val="auto"/>
              </w:rPr>
            </w:pPr>
          </w:p>
        </w:tc>
        <w:tc>
          <w:tcPr>
            <w:tcW w:w="860" w:type="dxa"/>
            <w:vAlign w:val="bottom"/>
            <w:shd w:val="clear" w:color="auto" w:fill="E9E9E9"/>
          </w:tcPr>
          <w:p>
            <w:pPr>
              <w:spacing w:after="0"/>
              <w:rPr>
                <w:sz w:val="17"/>
                <w:szCs w:val="17"/>
                <w:color w:val="auto"/>
              </w:rPr>
            </w:pPr>
          </w:p>
        </w:tc>
        <w:tc>
          <w:tcPr>
            <w:tcW w:w="40" w:type="dxa"/>
            <w:vAlign w:val="bottom"/>
            <w:shd w:val="clear" w:color="auto" w:fill="E9E9E9"/>
          </w:tcPr>
          <w:p>
            <w:pPr>
              <w:spacing w:after="0"/>
              <w:rPr>
                <w:sz w:val="17"/>
                <w:szCs w:val="17"/>
                <w:color w:val="auto"/>
              </w:rPr>
            </w:pPr>
          </w:p>
        </w:tc>
        <w:tc>
          <w:tcPr>
            <w:tcW w:w="160" w:type="dxa"/>
            <w:vAlign w:val="bottom"/>
            <w:shd w:val="clear" w:color="auto" w:fill="E9E9E9"/>
          </w:tcPr>
          <w:p>
            <w:pPr>
              <w:spacing w:after="0"/>
              <w:rPr>
                <w:sz w:val="17"/>
                <w:szCs w:val="17"/>
                <w:color w:val="auto"/>
              </w:rPr>
            </w:pPr>
          </w:p>
        </w:tc>
        <w:tc>
          <w:tcPr>
            <w:tcW w:w="700" w:type="dxa"/>
            <w:vAlign w:val="bottom"/>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c>
          <w:tcPr>
            <w:tcW w:w="140" w:type="dxa"/>
            <w:vAlign w:val="bottom"/>
            <w:shd w:val="clear" w:color="auto" w:fill="E9E9E9"/>
          </w:tcPr>
          <w:p>
            <w:pPr>
              <w:spacing w:after="0"/>
              <w:rPr>
                <w:sz w:val="17"/>
                <w:szCs w:val="17"/>
                <w:color w:val="auto"/>
              </w:rPr>
            </w:pPr>
          </w:p>
        </w:tc>
        <w:tc>
          <w:tcPr>
            <w:tcW w:w="960" w:type="dxa"/>
            <w:vAlign w:val="bottom"/>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c>
          <w:tcPr>
            <w:tcW w:w="220" w:type="dxa"/>
            <w:vAlign w:val="bottom"/>
            <w:shd w:val="clear" w:color="auto" w:fill="E9E9E9"/>
          </w:tcPr>
          <w:p>
            <w:pPr>
              <w:spacing w:after="0"/>
              <w:rPr>
                <w:sz w:val="17"/>
                <w:szCs w:val="17"/>
                <w:color w:val="auto"/>
              </w:rPr>
            </w:pPr>
          </w:p>
        </w:tc>
        <w:tc>
          <w:tcPr>
            <w:tcW w:w="1040" w:type="dxa"/>
            <w:vAlign w:val="bottom"/>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c>
          <w:tcPr>
            <w:tcW w:w="140" w:type="dxa"/>
            <w:vAlign w:val="bottom"/>
            <w:shd w:val="clear" w:color="auto" w:fill="E9E9E9"/>
          </w:tcPr>
          <w:p>
            <w:pPr>
              <w:spacing w:after="0"/>
              <w:rPr>
                <w:sz w:val="17"/>
                <w:szCs w:val="17"/>
                <w:color w:val="auto"/>
              </w:rPr>
            </w:pPr>
          </w:p>
        </w:tc>
        <w:tc>
          <w:tcPr>
            <w:tcW w:w="1120" w:type="dxa"/>
            <w:vAlign w:val="bottom"/>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c>
          <w:tcPr>
            <w:tcW w:w="260" w:type="dxa"/>
            <w:vAlign w:val="bottom"/>
            <w:shd w:val="clear" w:color="auto" w:fill="E9E9E9"/>
          </w:tcPr>
          <w:p>
            <w:pPr>
              <w:spacing w:after="0"/>
              <w:rPr>
                <w:sz w:val="17"/>
                <w:szCs w:val="17"/>
                <w:color w:val="auto"/>
              </w:rPr>
            </w:pPr>
          </w:p>
        </w:tc>
        <w:tc>
          <w:tcPr>
            <w:tcW w:w="1000" w:type="dxa"/>
            <w:vAlign w:val="bottom"/>
            <w:shd w:val="clear" w:color="auto" w:fill="E9E9E9"/>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500" w:type="dxa"/>
            <w:vAlign w:val="bottom"/>
            <w:shd w:val="clear" w:color="auto" w:fill="E9E9E9"/>
          </w:tcPr>
          <w:p>
            <w:pPr>
              <w:ind w:left="180"/>
              <w:spacing w:after="0"/>
              <w:rPr>
                <w:sz w:val="20"/>
                <w:szCs w:val="20"/>
                <w:color w:val="auto"/>
              </w:rPr>
            </w:pPr>
            <w:r>
              <w:rPr>
                <w:rFonts w:ascii="Times New Roman" w:cs="Times New Roman" w:eastAsia="Times New Roman" w:hAnsi="Times New Roman"/>
                <w:sz w:val="17"/>
                <w:szCs w:val="17"/>
                <w:color w:val="auto"/>
              </w:rPr>
              <w:t>awards</w:t>
            </w:r>
          </w:p>
        </w:tc>
        <w:tc>
          <w:tcPr>
            <w:tcW w:w="8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962</w:t>
            </w:r>
          </w:p>
        </w:tc>
        <w:tc>
          <w:tcPr>
            <w:tcW w:w="80" w:type="dxa"/>
            <w:vAlign w:val="bottom"/>
            <w:shd w:val="clear" w:color="auto" w:fill="E9E9E9"/>
          </w:tcPr>
          <w:p>
            <w:pPr>
              <w:spacing w:after="0"/>
              <w:rPr>
                <w:sz w:val="22"/>
                <w:szCs w:val="22"/>
                <w:color w:val="auto"/>
              </w:rPr>
            </w:pPr>
          </w:p>
        </w:tc>
        <w:tc>
          <w:tcPr>
            <w:tcW w:w="320" w:type="dxa"/>
            <w:vAlign w:val="bottom"/>
            <w:shd w:val="clear" w:color="auto" w:fill="E9E9E9"/>
          </w:tcPr>
          <w:p>
            <w:pPr>
              <w:spacing w:after="0"/>
              <w:rPr>
                <w:sz w:val="22"/>
                <w:szCs w:val="22"/>
                <w:color w:val="auto"/>
              </w:rPr>
            </w:pPr>
          </w:p>
        </w:tc>
        <w:tc>
          <w:tcPr>
            <w:tcW w:w="5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60" w:type="dxa"/>
            <w:vAlign w:val="bottom"/>
            <w:shd w:val="clear" w:color="auto" w:fill="E9E9E9"/>
          </w:tcPr>
          <w:p>
            <w:pPr>
              <w:spacing w:after="0"/>
              <w:rPr>
                <w:sz w:val="22"/>
                <w:szCs w:val="22"/>
                <w:color w:val="auto"/>
              </w:rPr>
            </w:pPr>
          </w:p>
        </w:tc>
        <w:tc>
          <w:tcPr>
            <w:tcW w:w="8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E9E9E9"/>
          </w:tcPr>
          <w:p>
            <w:pPr>
              <w:spacing w:after="0"/>
              <w:rPr>
                <w:sz w:val="22"/>
                <w:szCs w:val="22"/>
                <w:color w:val="auto"/>
              </w:rPr>
            </w:pPr>
          </w:p>
        </w:tc>
        <w:tc>
          <w:tcPr>
            <w:tcW w:w="160" w:type="dxa"/>
            <w:vAlign w:val="bottom"/>
            <w:shd w:val="clear" w:color="auto" w:fill="E9E9E9"/>
          </w:tcPr>
          <w:p>
            <w:pPr>
              <w:spacing w:after="0"/>
              <w:rPr>
                <w:sz w:val="22"/>
                <w:szCs w:val="22"/>
                <w:color w:val="auto"/>
              </w:rPr>
            </w:pPr>
          </w:p>
        </w:tc>
        <w:tc>
          <w:tcPr>
            <w:tcW w:w="7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9E9E9"/>
          </w:tcPr>
          <w:p>
            <w:pPr>
              <w:spacing w:after="0"/>
              <w:rPr>
                <w:sz w:val="22"/>
                <w:szCs w:val="22"/>
                <w:color w:val="auto"/>
              </w:rPr>
            </w:pPr>
          </w:p>
        </w:tc>
        <w:tc>
          <w:tcPr>
            <w:tcW w:w="140" w:type="dxa"/>
            <w:vAlign w:val="bottom"/>
            <w:shd w:val="clear" w:color="auto" w:fill="E9E9E9"/>
          </w:tcPr>
          <w:p>
            <w:pPr>
              <w:spacing w:after="0"/>
              <w:rPr>
                <w:sz w:val="22"/>
                <w:szCs w:val="22"/>
                <w:color w:val="auto"/>
              </w:rPr>
            </w:pPr>
          </w:p>
        </w:tc>
        <w:tc>
          <w:tcPr>
            <w:tcW w:w="9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E9E9E9"/>
          </w:tcPr>
          <w:p>
            <w:pPr>
              <w:spacing w:after="0"/>
              <w:rPr>
                <w:sz w:val="22"/>
                <w:szCs w:val="22"/>
                <w:color w:val="auto"/>
              </w:rPr>
            </w:pPr>
          </w:p>
        </w:tc>
        <w:tc>
          <w:tcPr>
            <w:tcW w:w="220" w:type="dxa"/>
            <w:vAlign w:val="bottom"/>
            <w:shd w:val="clear" w:color="auto" w:fill="E9E9E9"/>
          </w:tcPr>
          <w:p>
            <w:pPr>
              <w:spacing w:after="0"/>
              <w:rPr>
                <w:sz w:val="22"/>
                <w:szCs w:val="22"/>
                <w:color w:val="auto"/>
              </w:rPr>
            </w:pPr>
          </w:p>
        </w:tc>
        <w:tc>
          <w:tcPr>
            <w:tcW w:w="10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9E9E9"/>
          </w:tcPr>
          <w:p>
            <w:pPr>
              <w:spacing w:after="0"/>
              <w:rPr>
                <w:sz w:val="22"/>
                <w:szCs w:val="22"/>
                <w:color w:val="auto"/>
              </w:rPr>
            </w:pPr>
          </w:p>
        </w:tc>
        <w:tc>
          <w:tcPr>
            <w:tcW w:w="140" w:type="dxa"/>
            <w:vAlign w:val="bottom"/>
            <w:shd w:val="clear" w:color="auto" w:fill="E9E9E9"/>
          </w:tcPr>
          <w:p>
            <w:pPr>
              <w:spacing w:after="0"/>
              <w:rPr>
                <w:sz w:val="22"/>
                <w:szCs w:val="22"/>
                <w:color w:val="auto"/>
              </w:rPr>
            </w:pPr>
          </w:p>
        </w:tc>
        <w:tc>
          <w:tcPr>
            <w:tcW w:w="11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9E9E9"/>
          </w:tcPr>
          <w:p>
            <w:pPr>
              <w:spacing w:after="0"/>
              <w:rPr>
                <w:sz w:val="22"/>
                <w:szCs w:val="22"/>
                <w:color w:val="auto"/>
              </w:rPr>
            </w:pPr>
          </w:p>
        </w:tc>
        <w:tc>
          <w:tcPr>
            <w:tcW w:w="260" w:type="dxa"/>
            <w:vAlign w:val="bottom"/>
            <w:shd w:val="clear" w:color="auto" w:fill="E9E9E9"/>
          </w:tcPr>
          <w:p>
            <w:pPr>
              <w:spacing w:after="0"/>
              <w:rPr>
                <w:sz w:val="22"/>
                <w:szCs w:val="22"/>
                <w:color w:val="auto"/>
              </w:rPr>
            </w:pPr>
          </w:p>
        </w:tc>
        <w:tc>
          <w:tcPr>
            <w:tcW w:w="10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7"/>
        </w:trPr>
        <w:tc>
          <w:tcPr>
            <w:tcW w:w="2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Shares withheld to cover taxes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(14,392)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(14,394)</w:t>
            </w:r>
          </w:p>
        </w:tc>
        <w:tc>
          <w:tcPr>
            <w:tcW w:w="0" w:type="dxa"/>
            <w:vAlign w:val="bottom"/>
          </w:tcPr>
          <w:p>
            <w:pPr>
              <w:spacing w:after="0"/>
              <w:rPr>
                <w:sz w:val="1"/>
                <w:szCs w:val="1"/>
                <w:color w:val="auto"/>
              </w:rPr>
            </w:pPr>
          </w:p>
        </w:tc>
      </w:tr>
      <w:tr>
        <w:trPr>
          <w:trHeight w:val="261"/>
        </w:trPr>
        <w:tc>
          <w:tcPr>
            <w:tcW w:w="2500" w:type="dxa"/>
            <w:vAlign w:val="bottom"/>
            <w:tcBorders>
              <w:bottom w:val="single" w:sz="8" w:color="E9E9E9"/>
            </w:tcBorders>
            <w:shd w:val="clear" w:color="auto" w:fill="E9E9E9"/>
          </w:tcPr>
          <w:p>
            <w:pPr>
              <w:ind w:left="18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840" w:type="dxa"/>
            <w:vAlign w:val="bottom"/>
            <w:tcBorders>
              <w:bottom w:val="single" w:sz="8" w:color="E9E9E9"/>
            </w:tcBorders>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E9E9E9"/>
            </w:tcBorders>
            <w:shd w:val="clear" w:color="auto" w:fill="E9E9E9"/>
          </w:tcPr>
          <w:p>
            <w:pPr>
              <w:spacing w:after="0"/>
              <w:rPr>
                <w:sz w:val="22"/>
                <w:szCs w:val="22"/>
                <w:color w:val="auto"/>
              </w:rPr>
            </w:pPr>
          </w:p>
        </w:tc>
        <w:tc>
          <w:tcPr>
            <w:tcW w:w="320" w:type="dxa"/>
            <w:vAlign w:val="bottom"/>
            <w:tcBorders>
              <w:bottom w:val="single" w:sz="8" w:color="E9E9E9"/>
            </w:tcBorders>
            <w:shd w:val="clear" w:color="auto" w:fill="E9E9E9"/>
          </w:tcPr>
          <w:p>
            <w:pPr>
              <w:spacing w:after="0"/>
              <w:rPr>
                <w:sz w:val="22"/>
                <w:szCs w:val="22"/>
                <w:color w:val="auto"/>
              </w:rPr>
            </w:pPr>
          </w:p>
        </w:tc>
        <w:tc>
          <w:tcPr>
            <w:tcW w:w="520" w:type="dxa"/>
            <w:vAlign w:val="bottom"/>
            <w:tcBorders>
              <w:bottom w:val="single" w:sz="8" w:color="E9E9E9"/>
            </w:tcBorders>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E9E9E9"/>
            </w:tcBorders>
            <w:shd w:val="clear" w:color="auto" w:fill="E9E9E9"/>
          </w:tcPr>
          <w:p>
            <w:pPr>
              <w:spacing w:after="0"/>
              <w:rPr>
                <w:sz w:val="22"/>
                <w:szCs w:val="22"/>
                <w:color w:val="auto"/>
              </w:rPr>
            </w:pPr>
          </w:p>
        </w:tc>
        <w:tc>
          <w:tcPr>
            <w:tcW w:w="860" w:type="dxa"/>
            <w:vAlign w:val="bottom"/>
            <w:tcBorders>
              <w:bottom w:val="single" w:sz="8" w:color="E9E9E9"/>
            </w:tcBorders>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E9E9E9"/>
            </w:tcBorders>
            <w:shd w:val="clear" w:color="auto" w:fill="E9E9E9"/>
          </w:tcPr>
          <w:p>
            <w:pPr>
              <w:spacing w:after="0"/>
              <w:rPr>
                <w:sz w:val="22"/>
                <w:szCs w:val="22"/>
                <w:color w:val="auto"/>
              </w:rPr>
            </w:pPr>
          </w:p>
        </w:tc>
        <w:tc>
          <w:tcPr>
            <w:tcW w:w="160" w:type="dxa"/>
            <w:vAlign w:val="bottom"/>
            <w:tcBorders>
              <w:bottom w:val="single" w:sz="8" w:color="E9E9E9"/>
            </w:tcBorders>
            <w:shd w:val="clear" w:color="auto" w:fill="E9E9E9"/>
          </w:tcPr>
          <w:p>
            <w:pPr>
              <w:spacing w:after="0"/>
              <w:rPr>
                <w:sz w:val="22"/>
                <w:szCs w:val="22"/>
                <w:color w:val="auto"/>
              </w:rPr>
            </w:pPr>
          </w:p>
        </w:tc>
        <w:tc>
          <w:tcPr>
            <w:tcW w:w="700" w:type="dxa"/>
            <w:vAlign w:val="bottom"/>
            <w:tcBorders>
              <w:bottom w:val="single" w:sz="8" w:color="E9E9E9"/>
            </w:tcBorders>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E9E9E9"/>
            </w:tcBorders>
            <w:shd w:val="clear" w:color="auto" w:fill="E9E9E9"/>
          </w:tcPr>
          <w:p>
            <w:pPr>
              <w:spacing w:after="0"/>
              <w:rPr>
                <w:sz w:val="22"/>
                <w:szCs w:val="22"/>
                <w:color w:val="auto"/>
              </w:rPr>
            </w:pPr>
          </w:p>
        </w:tc>
        <w:tc>
          <w:tcPr>
            <w:tcW w:w="140" w:type="dxa"/>
            <w:vAlign w:val="bottom"/>
            <w:tcBorders>
              <w:bottom w:val="single" w:sz="8" w:color="E9E9E9"/>
            </w:tcBorders>
            <w:shd w:val="clear" w:color="auto" w:fill="E9E9E9"/>
          </w:tcPr>
          <w:p>
            <w:pPr>
              <w:spacing w:after="0"/>
              <w:rPr>
                <w:sz w:val="22"/>
                <w:szCs w:val="22"/>
                <w:color w:val="auto"/>
              </w:rPr>
            </w:pPr>
          </w:p>
        </w:tc>
        <w:tc>
          <w:tcPr>
            <w:tcW w:w="960" w:type="dxa"/>
            <w:vAlign w:val="bottom"/>
            <w:tcBorders>
              <w:bottom w:val="single" w:sz="8" w:color="E9E9E9"/>
            </w:tcBorders>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E9E9E9"/>
            </w:tcBorders>
            <w:shd w:val="clear" w:color="auto" w:fill="E9E9E9"/>
          </w:tcPr>
          <w:p>
            <w:pPr>
              <w:spacing w:after="0"/>
              <w:rPr>
                <w:sz w:val="22"/>
                <w:szCs w:val="22"/>
                <w:color w:val="auto"/>
              </w:rPr>
            </w:pPr>
          </w:p>
        </w:tc>
        <w:tc>
          <w:tcPr>
            <w:tcW w:w="220" w:type="dxa"/>
            <w:vAlign w:val="bottom"/>
            <w:tcBorders>
              <w:bottom w:val="single" w:sz="8" w:color="E9E9E9"/>
            </w:tcBorders>
            <w:shd w:val="clear" w:color="auto" w:fill="E9E9E9"/>
          </w:tcPr>
          <w:p>
            <w:pPr>
              <w:spacing w:after="0"/>
              <w:rPr>
                <w:sz w:val="22"/>
                <w:szCs w:val="22"/>
                <w:color w:val="auto"/>
              </w:rPr>
            </w:pPr>
          </w:p>
        </w:tc>
        <w:tc>
          <w:tcPr>
            <w:tcW w:w="1040" w:type="dxa"/>
            <w:vAlign w:val="bottom"/>
            <w:tcBorders>
              <w:bottom w:val="single" w:sz="8" w:color="E9E9E9"/>
            </w:tcBorders>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E9E9E9"/>
            </w:tcBorders>
            <w:shd w:val="clear" w:color="auto" w:fill="E9E9E9"/>
          </w:tcPr>
          <w:p>
            <w:pPr>
              <w:spacing w:after="0"/>
              <w:rPr>
                <w:sz w:val="22"/>
                <w:szCs w:val="22"/>
                <w:color w:val="auto"/>
              </w:rPr>
            </w:pPr>
          </w:p>
        </w:tc>
        <w:tc>
          <w:tcPr>
            <w:tcW w:w="140" w:type="dxa"/>
            <w:vAlign w:val="bottom"/>
            <w:tcBorders>
              <w:bottom w:val="single" w:sz="8" w:color="E9E9E9"/>
            </w:tcBorders>
            <w:shd w:val="clear" w:color="auto" w:fill="E9E9E9"/>
          </w:tcPr>
          <w:p>
            <w:pPr>
              <w:spacing w:after="0"/>
              <w:rPr>
                <w:sz w:val="22"/>
                <w:szCs w:val="22"/>
                <w:color w:val="auto"/>
              </w:rPr>
            </w:pPr>
          </w:p>
        </w:tc>
        <w:tc>
          <w:tcPr>
            <w:tcW w:w="1120" w:type="dxa"/>
            <w:vAlign w:val="bottom"/>
            <w:tcBorders>
              <w:bottom w:val="single" w:sz="8" w:color="E9E9E9"/>
            </w:tcBorders>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E9E9E9"/>
            </w:tcBorders>
            <w:shd w:val="clear" w:color="auto" w:fill="E9E9E9"/>
          </w:tcPr>
          <w:p>
            <w:pPr>
              <w:spacing w:after="0"/>
              <w:rPr>
                <w:sz w:val="22"/>
                <w:szCs w:val="22"/>
                <w:color w:val="auto"/>
              </w:rPr>
            </w:pPr>
          </w:p>
        </w:tc>
        <w:tc>
          <w:tcPr>
            <w:tcW w:w="260" w:type="dxa"/>
            <w:vAlign w:val="bottom"/>
            <w:tcBorders>
              <w:bottom w:val="single" w:sz="8" w:color="E9E9E9"/>
            </w:tcBorders>
            <w:shd w:val="clear" w:color="auto" w:fill="E9E9E9"/>
          </w:tcPr>
          <w:p>
            <w:pPr>
              <w:spacing w:after="0"/>
              <w:rPr>
                <w:sz w:val="22"/>
                <w:szCs w:val="22"/>
                <w:color w:val="auto"/>
              </w:rPr>
            </w:pPr>
          </w:p>
        </w:tc>
        <w:tc>
          <w:tcPr>
            <w:tcW w:w="1000" w:type="dxa"/>
            <w:vAlign w:val="bottom"/>
            <w:tcBorders>
              <w:bottom w:val="single" w:sz="8" w:color="E9E9E9"/>
            </w:tcBorders>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3"/>
        </w:trPr>
        <w:tc>
          <w:tcPr>
            <w:tcW w:w="2500" w:type="dxa"/>
            <w:vAlign w:val="bottom"/>
            <w:tcBorders>
              <w:bottom w:val="single" w:sz="8" w:color="E9E9E9"/>
            </w:tcBorders>
          </w:tcPr>
          <w:p>
            <w:pPr>
              <w:ind w:left="180"/>
              <w:spacing w:after="0"/>
              <w:rPr>
                <w:sz w:val="20"/>
                <w:szCs w:val="20"/>
                <w:color w:val="auto"/>
              </w:rPr>
            </w:pPr>
            <w:r>
              <w:rPr>
                <w:rFonts w:ascii="Times New Roman" w:cs="Times New Roman" w:eastAsia="Times New Roman" w:hAnsi="Times New Roman"/>
                <w:sz w:val="17"/>
                <w:szCs w:val="17"/>
                <w:color w:val="auto"/>
              </w:rPr>
              <w:t>Stock-based compensation</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E9E9E9"/>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E9E9E9"/>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E9E9E9"/>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E9E9E9"/>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50,507</w:t>
            </w:r>
          </w:p>
        </w:tc>
        <w:tc>
          <w:tcPr>
            <w:tcW w:w="80" w:type="dxa"/>
            <w:vAlign w:val="bottom"/>
            <w:tcBorders>
              <w:bottom w:val="single" w:sz="8" w:color="E9E9E9"/>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E9E9E9"/>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E9E9E9"/>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50,507</w:t>
            </w:r>
          </w:p>
        </w:tc>
        <w:tc>
          <w:tcPr>
            <w:tcW w:w="0" w:type="dxa"/>
            <w:vAlign w:val="bottom"/>
          </w:tcPr>
          <w:p>
            <w:pPr>
              <w:spacing w:after="0"/>
              <w:rPr>
                <w:sz w:val="1"/>
                <w:szCs w:val="1"/>
                <w:color w:val="auto"/>
              </w:rPr>
            </w:pPr>
          </w:p>
        </w:tc>
      </w:tr>
      <w:tr>
        <w:trPr>
          <w:trHeight w:val="264"/>
        </w:trPr>
        <w:tc>
          <w:tcPr>
            <w:tcW w:w="2500" w:type="dxa"/>
            <w:vAlign w:val="bottom"/>
            <w:shd w:val="clear" w:color="auto" w:fill="E9E9E9"/>
          </w:tcPr>
          <w:p>
            <w:pPr>
              <w:ind w:left="60"/>
              <w:spacing w:after="0"/>
              <w:rPr>
                <w:sz w:val="20"/>
                <w:szCs w:val="20"/>
                <w:color w:val="auto"/>
              </w:rPr>
            </w:pPr>
            <w:r>
              <w:rPr>
                <w:rFonts w:ascii="Times New Roman" w:cs="Times New Roman" w:eastAsia="Times New Roman" w:hAnsi="Times New Roman"/>
                <w:sz w:val="17"/>
                <w:szCs w:val="17"/>
                <w:color w:val="auto"/>
              </w:rPr>
              <w:t>Balance, December 31, 2023</w:t>
            </w:r>
          </w:p>
        </w:tc>
        <w:tc>
          <w:tcPr>
            <w:tcW w:w="8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69,863</w:t>
            </w:r>
          </w:p>
        </w:tc>
        <w:tc>
          <w:tcPr>
            <w:tcW w:w="80" w:type="dxa"/>
            <w:vAlign w:val="bottom"/>
            <w:shd w:val="clear" w:color="auto" w:fill="E9E9E9"/>
          </w:tcPr>
          <w:p>
            <w:pPr>
              <w:spacing w:after="0"/>
              <w:rPr>
                <w:sz w:val="22"/>
                <w:szCs w:val="22"/>
                <w:color w:val="auto"/>
              </w:rPr>
            </w:pPr>
          </w:p>
        </w:tc>
        <w:tc>
          <w:tcPr>
            <w:tcW w:w="320" w:type="dxa"/>
            <w:vAlign w:val="bottom"/>
            <w:shd w:val="clear" w:color="auto" w:fill="E9E9E9"/>
          </w:tcPr>
          <w:p>
            <w:pPr>
              <w:spacing w:after="0"/>
              <w:rPr>
                <w:sz w:val="22"/>
                <w:szCs w:val="22"/>
                <w:color w:val="auto"/>
              </w:rPr>
            </w:pPr>
          </w:p>
        </w:tc>
        <w:tc>
          <w:tcPr>
            <w:tcW w:w="5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699</w:t>
            </w:r>
          </w:p>
        </w:tc>
        <w:tc>
          <w:tcPr>
            <w:tcW w:w="92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1,339</w:t>
            </w:r>
          </w:p>
        </w:tc>
        <w:tc>
          <w:tcPr>
            <w:tcW w:w="40" w:type="dxa"/>
            <w:vAlign w:val="bottom"/>
            <w:shd w:val="clear" w:color="auto" w:fill="E9E9E9"/>
          </w:tcPr>
          <w:p>
            <w:pPr>
              <w:spacing w:after="0"/>
              <w:rPr>
                <w:sz w:val="22"/>
                <w:szCs w:val="22"/>
                <w:color w:val="auto"/>
              </w:rPr>
            </w:pPr>
          </w:p>
        </w:tc>
        <w:tc>
          <w:tcPr>
            <w:tcW w:w="160" w:type="dxa"/>
            <w:vAlign w:val="bottom"/>
            <w:shd w:val="clear" w:color="auto" w:fill="E9E9E9"/>
          </w:tcPr>
          <w:p>
            <w:pPr>
              <w:spacing w:after="0"/>
              <w:rPr>
                <w:sz w:val="22"/>
                <w:szCs w:val="22"/>
                <w:color w:val="auto"/>
              </w:rPr>
            </w:pPr>
          </w:p>
        </w:tc>
        <w:tc>
          <w:tcPr>
            <w:tcW w:w="7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80" w:type="dxa"/>
            <w:vAlign w:val="bottom"/>
            <w:shd w:val="clear" w:color="auto" w:fill="E9E9E9"/>
          </w:tcPr>
          <w:p>
            <w:pPr>
              <w:spacing w:after="0"/>
              <w:rPr>
                <w:sz w:val="22"/>
                <w:szCs w:val="22"/>
                <w:color w:val="auto"/>
              </w:rPr>
            </w:pPr>
          </w:p>
        </w:tc>
        <w:tc>
          <w:tcPr>
            <w:tcW w:w="140" w:type="dxa"/>
            <w:vAlign w:val="bottom"/>
            <w:shd w:val="clear" w:color="auto" w:fill="E9E9E9"/>
          </w:tcPr>
          <w:p>
            <w:pPr>
              <w:spacing w:after="0"/>
              <w:rPr>
                <w:sz w:val="22"/>
                <w:szCs w:val="22"/>
                <w:color w:val="auto"/>
              </w:rPr>
            </w:pPr>
          </w:p>
        </w:tc>
        <w:tc>
          <w:tcPr>
            <w:tcW w:w="9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757,727</w:t>
            </w:r>
          </w:p>
        </w:tc>
        <w:tc>
          <w:tcPr>
            <w:tcW w:w="80" w:type="dxa"/>
            <w:vAlign w:val="bottom"/>
            <w:shd w:val="clear" w:color="auto" w:fill="E9E9E9"/>
          </w:tcPr>
          <w:p>
            <w:pPr>
              <w:spacing w:after="0"/>
              <w:rPr>
                <w:sz w:val="22"/>
                <w:szCs w:val="22"/>
                <w:color w:val="auto"/>
              </w:rPr>
            </w:pPr>
          </w:p>
        </w:tc>
        <w:tc>
          <w:tcPr>
            <w:tcW w:w="220" w:type="dxa"/>
            <w:vAlign w:val="bottom"/>
            <w:shd w:val="clear" w:color="auto" w:fill="E9E9E9"/>
          </w:tcPr>
          <w:p>
            <w:pPr>
              <w:spacing w:after="0"/>
              <w:rPr>
                <w:sz w:val="22"/>
                <w:szCs w:val="22"/>
                <w:color w:val="auto"/>
              </w:rPr>
            </w:pPr>
          </w:p>
        </w:tc>
        <w:tc>
          <w:tcPr>
            <w:tcW w:w="10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133,503</w:t>
            </w:r>
          </w:p>
        </w:tc>
        <w:tc>
          <w:tcPr>
            <w:tcW w:w="80" w:type="dxa"/>
            <w:vAlign w:val="bottom"/>
            <w:shd w:val="clear" w:color="auto" w:fill="E9E9E9"/>
          </w:tcPr>
          <w:p>
            <w:pPr>
              <w:spacing w:after="0"/>
              <w:rPr>
                <w:sz w:val="22"/>
                <w:szCs w:val="22"/>
                <w:color w:val="auto"/>
              </w:rPr>
            </w:pPr>
          </w:p>
        </w:tc>
        <w:tc>
          <w:tcPr>
            <w:tcW w:w="140" w:type="dxa"/>
            <w:vAlign w:val="bottom"/>
            <w:shd w:val="clear" w:color="auto" w:fill="E9E9E9"/>
          </w:tcPr>
          <w:p>
            <w:pPr>
              <w:spacing w:after="0"/>
              <w:rPr>
                <w:sz w:val="22"/>
                <w:szCs w:val="22"/>
                <w:color w:val="auto"/>
              </w:rPr>
            </w:pPr>
          </w:p>
        </w:tc>
        <w:tc>
          <w:tcPr>
            <w:tcW w:w="11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(1,037)</w:t>
            </w:r>
          </w:p>
        </w:tc>
        <w:tc>
          <w:tcPr>
            <w:tcW w:w="80" w:type="dxa"/>
            <w:vAlign w:val="bottom"/>
            <w:shd w:val="clear" w:color="auto" w:fill="E9E9E9"/>
          </w:tcPr>
          <w:p>
            <w:pPr>
              <w:spacing w:after="0"/>
              <w:rPr>
                <w:sz w:val="22"/>
                <w:szCs w:val="22"/>
                <w:color w:val="auto"/>
              </w:rPr>
            </w:pPr>
          </w:p>
        </w:tc>
        <w:tc>
          <w:tcPr>
            <w:tcW w:w="260" w:type="dxa"/>
            <w:vAlign w:val="bottom"/>
            <w:shd w:val="clear" w:color="auto" w:fill="E9E9E9"/>
          </w:tcPr>
          <w:p>
            <w:pPr>
              <w:spacing w:after="0"/>
              <w:rPr>
                <w:sz w:val="22"/>
                <w:szCs w:val="22"/>
                <w:color w:val="auto"/>
              </w:rPr>
            </w:pPr>
          </w:p>
        </w:tc>
        <w:tc>
          <w:tcPr>
            <w:tcW w:w="10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815,892</w:t>
            </w:r>
          </w:p>
        </w:tc>
        <w:tc>
          <w:tcPr>
            <w:tcW w:w="0" w:type="dxa"/>
            <w:vAlign w:val="bottom"/>
          </w:tcPr>
          <w:p>
            <w:pPr>
              <w:spacing w:after="0"/>
              <w:rPr>
                <w:sz w:val="1"/>
                <w:szCs w:val="1"/>
                <w:color w:val="auto"/>
              </w:rPr>
            </w:pPr>
          </w:p>
        </w:tc>
      </w:tr>
      <w:tr>
        <w:trPr>
          <w:trHeight w:val="267"/>
        </w:trPr>
        <w:tc>
          <w:tcPr>
            <w:tcW w:w="2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income</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312,442</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312,442</w:t>
            </w:r>
          </w:p>
        </w:tc>
        <w:tc>
          <w:tcPr>
            <w:tcW w:w="0" w:type="dxa"/>
            <w:vAlign w:val="bottom"/>
          </w:tcPr>
          <w:p>
            <w:pPr>
              <w:spacing w:after="0"/>
              <w:rPr>
                <w:sz w:val="1"/>
                <w:szCs w:val="1"/>
                <w:color w:val="auto"/>
              </w:rPr>
            </w:pPr>
          </w:p>
        </w:tc>
      </w:tr>
      <w:tr>
        <w:trPr>
          <w:trHeight w:val="281"/>
        </w:trPr>
        <w:tc>
          <w:tcPr>
            <w:tcW w:w="2500" w:type="dxa"/>
            <w:vAlign w:val="bottom"/>
            <w:shd w:val="clear" w:color="auto" w:fill="E9E9E9"/>
          </w:tcPr>
          <w:p>
            <w:pPr>
              <w:ind w:left="180"/>
              <w:spacing w:after="0"/>
              <w:rPr>
                <w:sz w:val="20"/>
                <w:szCs w:val="20"/>
                <w:color w:val="auto"/>
              </w:rPr>
            </w:pPr>
            <w:r>
              <w:rPr>
                <w:rFonts w:ascii="Times New Roman" w:cs="Times New Roman" w:eastAsia="Times New Roman" w:hAnsi="Times New Roman"/>
                <w:sz w:val="17"/>
                <w:szCs w:val="17"/>
                <w:color w:val="auto"/>
              </w:rPr>
              <w:t>Other comprehensive loss</w:t>
            </w:r>
          </w:p>
        </w:tc>
        <w:tc>
          <w:tcPr>
            <w:tcW w:w="8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9E9E9"/>
          </w:tcPr>
          <w:p>
            <w:pPr>
              <w:spacing w:after="0"/>
              <w:rPr>
                <w:sz w:val="24"/>
                <w:szCs w:val="24"/>
                <w:color w:val="auto"/>
              </w:rPr>
            </w:pPr>
          </w:p>
        </w:tc>
        <w:tc>
          <w:tcPr>
            <w:tcW w:w="320" w:type="dxa"/>
            <w:vAlign w:val="bottom"/>
            <w:shd w:val="clear" w:color="auto" w:fill="E9E9E9"/>
          </w:tcPr>
          <w:p>
            <w:pPr>
              <w:spacing w:after="0"/>
              <w:rPr>
                <w:sz w:val="24"/>
                <w:szCs w:val="24"/>
                <w:color w:val="auto"/>
              </w:rPr>
            </w:pPr>
          </w:p>
        </w:tc>
        <w:tc>
          <w:tcPr>
            <w:tcW w:w="5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E9E9E9"/>
          </w:tcPr>
          <w:p>
            <w:pPr>
              <w:spacing w:after="0"/>
              <w:rPr>
                <w:sz w:val="24"/>
                <w:szCs w:val="24"/>
                <w:color w:val="auto"/>
              </w:rPr>
            </w:pPr>
          </w:p>
        </w:tc>
        <w:tc>
          <w:tcPr>
            <w:tcW w:w="8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E9E9E9"/>
          </w:tcPr>
          <w:p>
            <w:pPr>
              <w:spacing w:after="0"/>
              <w:rPr>
                <w:sz w:val="24"/>
                <w:szCs w:val="24"/>
                <w:color w:val="auto"/>
              </w:rPr>
            </w:pPr>
          </w:p>
        </w:tc>
        <w:tc>
          <w:tcPr>
            <w:tcW w:w="160" w:type="dxa"/>
            <w:vAlign w:val="bottom"/>
            <w:shd w:val="clear" w:color="auto" w:fill="E9E9E9"/>
          </w:tcPr>
          <w:p>
            <w:pPr>
              <w:spacing w:after="0"/>
              <w:rPr>
                <w:sz w:val="24"/>
                <w:szCs w:val="24"/>
                <w:color w:val="auto"/>
              </w:rPr>
            </w:pPr>
          </w:p>
        </w:tc>
        <w:tc>
          <w:tcPr>
            <w:tcW w:w="7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9E9E9"/>
          </w:tcPr>
          <w:p>
            <w:pPr>
              <w:spacing w:after="0"/>
              <w:rPr>
                <w:sz w:val="24"/>
                <w:szCs w:val="24"/>
                <w:color w:val="auto"/>
              </w:rPr>
            </w:pPr>
          </w:p>
        </w:tc>
        <w:tc>
          <w:tcPr>
            <w:tcW w:w="140" w:type="dxa"/>
            <w:vAlign w:val="bottom"/>
            <w:shd w:val="clear" w:color="auto" w:fill="E9E9E9"/>
          </w:tcPr>
          <w:p>
            <w:pPr>
              <w:spacing w:after="0"/>
              <w:rPr>
                <w:sz w:val="24"/>
                <w:szCs w:val="24"/>
                <w:color w:val="auto"/>
              </w:rPr>
            </w:pPr>
          </w:p>
        </w:tc>
        <w:tc>
          <w:tcPr>
            <w:tcW w:w="9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9E9E9"/>
          </w:tcPr>
          <w:p>
            <w:pPr>
              <w:spacing w:after="0"/>
              <w:rPr>
                <w:sz w:val="24"/>
                <w:szCs w:val="24"/>
                <w:color w:val="auto"/>
              </w:rPr>
            </w:pPr>
          </w:p>
        </w:tc>
        <w:tc>
          <w:tcPr>
            <w:tcW w:w="220" w:type="dxa"/>
            <w:vAlign w:val="bottom"/>
            <w:shd w:val="clear" w:color="auto" w:fill="E9E9E9"/>
          </w:tcPr>
          <w:p>
            <w:pPr>
              <w:spacing w:after="0"/>
              <w:rPr>
                <w:sz w:val="24"/>
                <w:szCs w:val="24"/>
                <w:color w:val="auto"/>
              </w:rPr>
            </w:pPr>
          </w:p>
        </w:tc>
        <w:tc>
          <w:tcPr>
            <w:tcW w:w="10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9E9E9"/>
          </w:tcPr>
          <w:p>
            <w:pPr>
              <w:spacing w:after="0"/>
              <w:rPr>
                <w:sz w:val="24"/>
                <w:szCs w:val="24"/>
                <w:color w:val="auto"/>
              </w:rPr>
            </w:pPr>
          </w:p>
        </w:tc>
        <w:tc>
          <w:tcPr>
            <w:tcW w:w="140" w:type="dxa"/>
            <w:vAlign w:val="bottom"/>
            <w:shd w:val="clear" w:color="auto" w:fill="E9E9E9"/>
          </w:tcPr>
          <w:p>
            <w:pPr>
              <w:spacing w:after="0"/>
              <w:rPr>
                <w:sz w:val="24"/>
                <w:szCs w:val="24"/>
                <w:color w:val="auto"/>
              </w:rPr>
            </w:pPr>
          </w:p>
        </w:tc>
        <w:tc>
          <w:tcPr>
            <w:tcW w:w="11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(578)</w:t>
            </w:r>
          </w:p>
        </w:tc>
        <w:tc>
          <w:tcPr>
            <w:tcW w:w="80" w:type="dxa"/>
            <w:vAlign w:val="bottom"/>
            <w:shd w:val="clear" w:color="auto" w:fill="E9E9E9"/>
          </w:tcPr>
          <w:p>
            <w:pPr>
              <w:spacing w:after="0"/>
              <w:rPr>
                <w:sz w:val="24"/>
                <w:szCs w:val="24"/>
                <w:color w:val="auto"/>
              </w:rPr>
            </w:pPr>
          </w:p>
        </w:tc>
        <w:tc>
          <w:tcPr>
            <w:tcW w:w="260" w:type="dxa"/>
            <w:vAlign w:val="bottom"/>
            <w:shd w:val="clear" w:color="auto" w:fill="E9E9E9"/>
          </w:tcPr>
          <w:p>
            <w:pPr>
              <w:spacing w:after="0"/>
              <w:rPr>
                <w:sz w:val="24"/>
                <w:szCs w:val="24"/>
                <w:color w:val="auto"/>
              </w:rPr>
            </w:pPr>
          </w:p>
        </w:tc>
        <w:tc>
          <w:tcPr>
            <w:tcW w:w="10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(578)</w:t>
            </w:r>
          </w:p>
        </w:tc>
        <w:tc>
          <w:tcPr>
            <w:tcW w:w="0" w:type="dxa"/>
            <w:vAlign w:val="bottom"/>
          </w:tcPr>
          <w:p>
            <w:pPr>
              <w:spacing w:after="0"/>
              <w:rPr>
                <w:sz w:val="1"/>
                <w:szCs w:val="1"/>
                <w:color w:val="auto"/>
              </w:rPr>
            </w:pPr>
          </w:p>
        </w:tc>
      </w:tr>
      <w:tr>
        <w:trPr>
          <w:trHeight w:val="192"/>
        </w:trPr>
        <w:tc>
          <w:tcPr>
            <w:tcW w:w="2500" w:type="dxa"/>
            <w:vAlign w:val="bottom"/>
          </w:tcPr>
          <w:p>
            <w:pPr>
              <w:ind w:left="180"/>
              <w:spacing w:after="0" w:line="192" w:lineRule="exact"/>
              <w:rPr>
                <w:sz w:val="20"/>
                <w:szCs w:val="20"/>
                <w:color w:val="auto"/>
              </w:rPr>
            </w:pPr>
            <w:r>
              <w:rPr>
                <w:rFonts w:ascii="Times New Roman" w:cs="Times New Roman" w:eastAsia="Times New Roman" w:hAnsi="Times New Roman"/>
                <w:sz w:val="17"/>
                <w:szCs w:val="17"/>
                <w:color w:val="auto"/>
              </w:rPr>
              <w:t>Stock option exercises and</w:t>
            </w:r>
          </w:p>
        </w:tc>
        <w:tc>
          <w:tcPr>
            <w:tcW w:w="84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257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2</w:t>
            </w:r>
          </w:p>
        </w:tc>
        <w:tc>
          <w:tcPr>
            <w:tcW w:w="60" w:type="dxa"/>
            <w:vAlign w:val="bottom"/>
          </w:tcPr>
          <w:p>
            <w:pPr>
              <w:spacing w:after="0"/>
              <w:rPr>
                <w:sz w:val="16"/>
                <w:szCs w:val="16"/>
                <w:color w:val="auto"/>
              </w:rPr>
            </w:pPr>
          </w:p>
        </w:tc>
        <w:tc>
          <w:tcPr>
            <w:tcW w:w="86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6,726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6,728</w:t>
            </w:r>
          </w:p>
        </w:tc>
        <w:tc>
          <w:tcPr>
            <w:tcW w:w="0" w:type="dxa"/>
            <w:vAlign w:val="bottom"/>
          </w:tcPr>
          <w:p>
            <w:pPr>
              <w:spacing w:after="0"/>
              <w:rPr>
                <w:sz w:val="1"/>
                <w:szCs w:val="1"/>
                <w:color w:val="auto"/>
              </w:rPr>
            </w:pPr>
          </w:p>
        </w:tc>
      </w:tr>
      <w:tr>
        <w:trPr>
          <w:trHeight w:val="226"/>
        </w:trPr>
        <w:tc>
          <w:tcPr>
            <w:tcW w:w="2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employee stock plan purchases</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500" w:type="dxa"/>
            <w:vAlign w:val="bottom"/>
            <w:shd w:val="clear" w:color="auto" w:fill="E9E9E9"/>
          </w:tcPr>
          <w:p>
            <w:pPr>
              <w:ind w:left="180"/>
              <w:spacing w:after="0" w:line="192" w:lineRule="exact"/>
              <w:rPr>
                <w:sz w:val="20"/>
                <w:szCs w:val="20"/>
                <w:color w:val="auto"/>
              </w:rPr>
            </w:pPr>
            <w:r>
              <w:rPr>
                <w:rFonts w:ascii="Times New Roman" w:cs="Times New Roman" w:eastAsia="Times New Roman" w:hAnsi="Times New Roman"/>
                <w:sz w:val="17"/>
                <w:szCs w:val="17"/>
                <w:color w:val="auto"/>
              </w:rPr>
              <w:t>Vesting of restricted stock</w:t>
            </w:r>
          </w:p>
        </w:tc>
        <w:tc>
          <w:tcPr>
            <w:tcW w:w="840" w:type="dxa"/>
            <w:vAlign w:val="bottom"/>
            <w:shd w:val="clear" w:color="auto" w:fill="E9E9E9"/>
          </w:tcPr>
          <w:p>
            <w:pPr>
              <w:jc w:val="right"/>
              <w:spacing w:after="0" w:line="192" w:lineRule="exact"/>
              <w:rPr>
                <w:sz w:val="20"/>
                <w:szCs w:val="20"/>
                <w:color w:val="auto"/>
              </w:rPr>
            </w:pPr>
            <w:r>
              <w:rPr>
                <w:rFonts w:ascii="Times New Roman" w:cs="Times New Roman" w:eastAsia="Times New Roman" w:hAnsi="Times New Roman"/>
                <w:sz w:val="17"/>
                <w:szCs w:val="17"/>
                <w:color w:val="auto"/>
              </w:rPr>
              <w:t>1,118</w:t>
            </w:r>
          </w:p>
        </w:tc>
        <w:tc>
          <w:tcPr>
            <w:tcW w:w="80" w:type="dxa"/>
            <w:vAlign w:val="bottom"/>
            <w:shd w:val="clear" w:color="auto" w:fill="E9E9E9"/>
          </w:tcPr>
          <w:p>
            <w:pPr>
              <w:spacing w:after="0"/>
              <w:rPr>
                <w:sz w:val="16"/>
                <w:szCs w:val="16"/>
                <w:color w:val="auto"/>
              </w:rPr>
            </w:pPr>
          </w:p>
        </w:tc>
        <w:tc>
          <w:tcPr>
            <w:tcW w:w="320" w:type="dxa"/>
            <w:vAlign w:val="bottom"/>
            <w:shd w:val="clear" w:color="auto" w:fill="E9E9E9"/>
          </w:tcPr>
          <w:p>
            <w:pPr>
              <w:spacing w:after="0"/>
              <w:rPr>
                <w:sz w:val="16"/>
                <w:szCs w:val="16"/>
                <w:color w:val="auto"/>
              </w:rPr>
            </w:pPr>
          </w:p>
        </w:tc>
        <w:tc>
          <w:tcPr>
            <w:tcW w:w="520" w:type="dxa"/>
            <w:vAlign w:val="bottom"/>
            <w:shd w:val="clear" w:color="auto" w:fill="E9E9E9"/>
          </w:tcPr>
          <w:p>
            <w:pPr>
              <w:jc w:val="right"/>
              <w:spacing w:after="0" w:line="192" w:lineRule="exact"/>
              <w:rPr>
                <w:sz w:val="20"/>
                <w:szCs w:val="20"/>
                <w:color w:val="auto"/>
              </w:rPr>
            </w:pPr>
            <w:r>
              <w:rPr>
                <w:rFonts w:ascii="Times New Roman" w:cs="Times New Roman" w:eastAsia="Times New Roman" w:hAnsi="Times New Roman"/>
                <w:sz w:val="17"/>
                <w:szCs w:val="17"/>
                <w:color w:val="auto"/>
              </w:rPr>
              <w:t>11</w:t>
            </w:r>
          </w:p>
        </w:tc>
        <w:tc>
          <w:tcPr>
            <w:tcW w:w="60" w:type="dxa"/>
            <w:vAlign w:val="bottom"/>
            <w:shd w:val="clear" w:color="auto" w:fill="E9E9E9"/>
          </w:tcPr>
          <w:p>
            <w:pPr>
              <w:spacing w:after="0"/>
              <w:rPr>
                <w:sz w:val="16"/>
                <w:szCs w:val="16"/>
                <w:color w:val="auto"/>
              </w:rPr>
            </w:pPr>
          </w:p>
        </w:tc>
        <w:tc>
          <w:tcPr>
            <w:tcW w:w="860" w:type="dxa"/>
            <w:vAlign w:val="bottom"/>
            <w:shd w:val="clear" w:color="auto" w:fill="E9E9E9"/>
          </w:tcPr>
          <w:p>
            <w:pPr>
              <w:jc w:val="right"/>
              <w:spacing w:after="0" w:line="192"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E9E9E9"/>
          </w:tcPr>
          <w:p>
            <w:pPr>
              <w:spacing w:after="0"/>
              <w:rPr>
                <w:sz w:val="16"/>
                <w:szCs w:val="16"/>
                <w:color w:val="auto"/>
              </w:rPr>
            </w:pPr>
          </w:p>
        </w:tc>
        <w:tc>
          <w:tcPr>
            <w:tcW w:w="160" w:type="dxa"/>
            <w:vAlign w:val="bottom"/>
            <w:shd w:val="clear" w:color="auto" w:fill="E9E9E9"/>
          </w:tcPr>
          <w:p>
            <w:pPr>
              <w:spacing w:after="0"/>
              <w:rPr>
                <w:sz w:val="16"/>
                <w:szCs w:val="16"/>
                <w:color w:val="auto"/>
              </w:rPr>
            </w:pPr>
          </w:p>
        </w:tc>
        <w:tc>
          <w:tcPr>
            <w:tcW w:w="700" w:type="dxa"/>
            <w:vAlign w:val="bottom"/>
            <w:shd w:val="clear" w:color="auto" w:fill="E9E9E9"/>
          </w:tcPr>
          <w:p>
            <w:pPr>
              <w:jc w:val="right"/>
              <w:spacing w:after="0" w:line="192"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9E9E9"/>
          </w:tcPr>
          <w:p>
            <w:pPr>
              <w:spacing w:after="0"/>
              <w:rPr>
                <w:sz w:val="16"/>
                <w:szCs w:val="16"/>
                <w:color w:val="auto"/>
              </w:rPr>
            </w:pPr>
          </w:p>
        </w:tc>
        <w:tc>
          <w:tcPr>
            <w:tcW w:w="140" w:type="dxa"/>
            <w:vAlign w:val="bottom"/>
            <w:shd w:val="clear" w:color="auto" w:fill="E9E9E9"/>
          </w:tcPr>
          <w:p>
            <w:pPr>
              <w:spacing w:after="0"/>
              <w:rPr>
                <w:sz w:val="16"/>
                <w:szCs w:val="16"/>
                <w:color w:val="auto"/>
              </w:rPr>
            </w:pPr>
          </w:p>
        </w:tc>
        <w:tc>
          <w:tcPr>
            <w:tcW w:w="960" w:type="dxa"/>
            <w:vAlign w:val="bottom"/>
            <w:shd w:val="clear" w:color="auto" w:fill="E9E9E9"/>
          </w:tcPr>
          <w:p>
            <w:pPr>
              <w:jc w:val="right"/>
              <w:spacing w:after="0" w:line="192" w:lineRule="exact"/>
              <w:rPr>
                <w:sz w:val="20"/>
                <w:szCs w:val="20"/>
                <w:color w:val="auto"/>
              </w:rPr>
            </w:pPr>
            <w:r>
              <w:rPr>
                <w:rFonts w:ascii="Times New Roman" w:cs="Times New Roman" w:eastAsia="Times New Roman" w:hAnsi="Times New Roman"/>
                <w:sz w:val="17"/>
                <w:szCs w:val="17"/>
                <w:color w:val="auto"/>
              </w:rPr>
              <w:t>(11)</w:t>
            </w:r>
          </w:p>
        </w:tc>
        <w:tc>
          <w:tcPr>
            <w:tcW w:w="80" w:type="dxa"/>
            <w:vAlign w:val="bottom"/>
            <w:shd w:val="clear" w:color="auto" w:fill="E9E9E9"/>
          </w:tcPr>
          <w:p>
            <w:pPr>
              <w:spacing w:after="0"/>
              <w:rPr>
                <w:sz w:val="16"/>
                <w:szCs w:val="16"/>
                <w:color w:val="auto"/>
              </w:rPr>
            </w:pPr>
          </w:p>
        </w:tc>
        <w:tc>
          <w:tcPr>
            <w:tcW w:w="220" w:type="dxa"/>
            <w:vAlign w:val="bottom"/>
            <w:shd w:val="clear" w:color="auto" w:fill="E9E9E9"/>
          </w:tcPr>
          <w:p>
            <w:pPr>
              <w:spacing w:after="0"/>
              <w:rPr>
                <w:sz w:val="16"/>
                <w:szCs w:val="16"/>
                <w:color w:val="auto"/>
              </w:rPr>
            </w:pPr>
          </w:p>
        </w:tc>
        <w:tc>
          <w:tcPr>
            <w:tcW w:w="1040" w:type="dxa"/>
            <w:vAlign w:val="bottom"/>
            <w:shd w:val="clear" w:color="auto" w:fill="E9E9E9"/>
          </w:tcPr>
          <w:p>
            <w:pPr>
              <w:jc w:val="right"/>
              <w:spacing w:after="0" w:line="192"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9E9E9"/>
          </w:tcPr>
          <w:p>
            <w:pPr>
              <w:spacing w:after="0"/>
              <w:rPr>
                <w:sz w:val="16"/>
                <w:szCs w:val="16"/>
                <w:color w:val="auto"/>
              </w:rPr>
            </w:pPr>
          </w:p>
        </w:tc>
        <w:tc>
          <w:tcPr>
            <w:tcW w:w="140" w:type="dxa"/>
            <w:vAlign w:val="bottom"/>
            <w:shd w:val="clear" w:color="auto" w:fill="E9E9E9"/>
          </w:tcPr>
          <w:p>
            <w:pPr>
              <w:spacing w:after="0"/>
              <w:rPr>
                <w:sz w:val="16"/>
                <w:szCs w:val="16"/>
                <w:color w:val="auto"/>
              </w:rPr>
            </w:pPr>
          </w:p>
        </w:tc>
        <w:tc>
          <w:tcPr>
            <w:tcW w:w="1120" w:type="dxa"/>
            <w:vAlign w:val="bottom"/>
            <w:shd w:val="clear" w:color="auto" w:fill="E9E9E9"/>
          </w:tcPr>
          <w:p>
            <w:pPr>
              <w:jc w:val="right"/>
              <w:spacing w:after="0" w:line="192"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9E9E9"/>
          </w:tcPr>
          <w:p>
            <w:pPr>
              <w:spacing w:after="0"/>
              <w:rPr>
                <w:sz w:val="16"/>
                <w:szCs w:val="16"/>
                <w:color w:val="auto"/>
              </w:rPr>
            </w:pPr>
          </w:p>
        </w:tc>
        <w:tc>
          <w:tcPr>
            <w:tcW w:w="260" w:type="dxa"/>
            <w:vAlign w:val="bottom"/>
            <w:shd w:val="clear" w:color="auto" w:fill="E9E9E9"/>
          </w:tcPr>
          <w:p>
            <w:pPr>
              <w:spacing w:after="0"/>
              <w:rPr>
                <w:sz w:val="16"/>
                <w:szCs w:val="16"/>
                <w:color w:val="auto"/>
              </w:rPr>
            </w:pPr>
          </w:p>
        </w:tc>
        <w:tc>
          <w:tcPr>
            <w:tcW w:w="1000" w:type="dxa"/>
            <w:vAlign w:val="bottom"/>
            <w:shd w:val="clear" w:color="auto" w:fill="E9E9E9"/>
          </w:tcPr>
          <w:p>
            <w:pPr>
              <w:jc w:val="right"/>
              <w:spacing w:after="0" w:line="192"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2500" w:type="dxa"/>
            <w:vAlign w:val="bottom"/>
            <w:tcBorders>
              <w:bottom w:val="single" w:sz="8" w:color="E9E9E9"/>
            </w:tcBorders>
            <w:shd w:val="clear" w:color="auto" w:fill="E9E9E9"/>
          </w:tcPr>
          <w:p>
            <w:pPr>
              <w:ind w:left="180"/>
              <w:spacing w:after="0"/>
              <w:rPr>
                <w:sz w:val="20"/>
                <w:szCs w:val="20"/>
                <w:color w:val="auto"/>
              </w:rPr>
            </w:pPr>
            <w:r>
              <w:rPr>
                <w:rFonts w:ascii="Times New Roman" w:cs="Times New Roman" w:eastAsia="Times New Roman" w:hAnsi="Times New Roman"/>
                <w:sz w:val="17"/>
                <w:szCs w:val="17"/>
                <w:color w:val="auto"/>
              </w:rPr>
              <w:t>awards and units</w:t>
            </w:r>
          </w:p>
        </w:tc>
        <w:tc>
          <w:tcPr>
            <w:tcW w:w="840" w:type="dxa"/>
            <w:vAlign w:val="bottom"/>
            <w:tcBorders>
              <w:bottom w:val="single" w:sz="8" w:color="E9E9E9"/>
            </w:tcBorders>
            <w:shd w:val="clear" w:color="auto" w:fill="E9E9E9"/>
          </w:tcPr>
          <w:p>
            <w:pPr>
              <w:spacing w:after="0"/>
              <w:rPr>
                <w:sz w:val="20"/>
                <w:szCs w:val="20"/>
                <w:color w:val="auto"/>
              </w:rPr>
            </w:pPr>
          </w:p>
        </w:tc>
        <w:tc>
          <w:tcPr>
            <w:tcW w:w="80" w:type="dxa"/>
            <w:vAlign w:val="bottom"/>
            <w:tcBorders>
              <w:bottom w:val="single" w:sz="8" w:color="E9E9E9"/>
            </w:tcBorders>
            <w:shd w:val="clear" w:color="auto" w:fill="E9E9E9"/>
          </w:tcPr>
          <w:p>
            <w:pPr>
              <w:spacing w:after="0"/>
              <w:rPr>
                <w:sz w:val="20"/>
                <w:szCs w:val="20"/>
                <w:color w:val="auto"/>
              </w:rPr>
            </w:pPr>
          </w:p>
        </w:tc>
        <w:tc>
          <w:tcPr>
            <w:tcW w:w="320" w:type="dxa"/>
            <w:vAlign w:val="bottom"/>
            <w:tcBorders>
              <w:bottom w:val="single" w:sz="8" w:color="E9E9E9"/>
            </w:tcBorders>
            <w:shd w:val="clear" w:color="auto" w:fill="E9E9E9"/>
          </w:tcPr>
          <w:p>
            <w:pPr>
              <w:spacing w:after="0"/>
              <w:rPr>
                <w:sz w:val="20"/>
                <w:szCs w:val="20"/>
                <w:color w:val="auto"/>
              </w:rPr>
            </w:pPr>
          </w:p>
        </w:tc>
        <w:tc>
          <w:tcPr>
            <w:tcW w:w="520" w:type="dxa"/>
            <w:vAlign w:val="bottom"/>
            <w:tcBorders>
              <w:bottom w:val="single" w:sz="8" w:color="E9E9E9"/>
            </w:tcBorders>
            <w:shd w:val="clear" w:color="auto" w:fill="E9E9E9"/>
          </w:tcPr>
          <w:p>
            <w:pPr>
              <w:spacing w:after="0"/>
              <w:rPr>
                <w:sz w:val="20"/>
                <w:szCs w:val="20"/>
                <w:color w:val="auto"/>
              </w:rPr>
            </w:pPr>
          </w:p>
        </w:tc>
        <w:tc>
          <w:tcPr>
            <w:tcW w:w="60" w:type="dxa"/>
            <w:vAlign w:val="bottom"/>
            <w:tcBorders>
              <w:bottom w:val="single" w:sz="8" w:color="E9E9E9"/>
            </w:tcBorders>
            <w:shd w:val="clear" w:color="auto" w:fill="E9E9E9"/>
          </w:tcPr>
          <w:p>
            <w:pPr>
              <w:spacing w:after="0"/>
              <w:rPr>
                <w:sz w:val="20"/>
                <w:szCs w:val="20"/>
                <w:color w:val="auto"/>
              </w:rPr>
            </w:pPr>
          </w:p>
        </w:tc>
        <w:tc>
          <w:tcPr>
            <w:tcW w:w="860" w:type="dxa"/>
            <w:vAlign w:val="bottom"/>
            <w:tcBorders>
              <w:bottom w:val="single" w:sz="8" w:color="E9E9E9"/>
            </w:tcBorders>
            <w:shd w:val="clear" w:color="auto" w:fill="E9E9E9"/>
          </w:tcPr>
          <w:p>
            <w:pPr>
              <w:spacing w:after="0"/>
              <w:rPr>
                <w:sz w:val="20"/>
                <w:szCs w:val="20"/>
                <w:color w:val="auto"/>
              </w:rPr>
            </w:pPr>
          </w:p>
        </w:tc>
        <w:tc>
          <w:tcPr>
            <w:tcW w:w="40" w:type="dxa"/>
            <w:vAlign w:val="bottom"/>
            <w:tcBorders>
              <w:bottom w:val="single" w:sz="8" w:color="E9E9E9"/>
            </w:tcBorders>
            <w:shd w:val="clear" w:color="auto" w:fill="E9E9E9"/>
          </w:tcPr>
          <w:p>
            <w:pPr>
              <w:spacing w:after="0"/>
              <w:rPr>
                <w:sz w:val="20"/>
                <w:szCs w:val="20"/>
                <w:color w:val="auto"/>
              </w:rPr>
            </w:pPr>
          </w:p>
        </w:tc>
        <w:tc>
          <w:tcPr>
            <w:tcW w:w="160" w:type="dxa"/>
            <w:vAlign w:val="bottom"/>
            <w:tcBorders>
              <w:bottom w:val="single" w:sz="8" w:color="E9E9E9"/>
            </w:tcBorders>
            <w:shd w:val="clear" w:color="auto" w:fill="E9E9E9"/>
          </w:tcPr>
          <w:p>
            <w:pPr>
              <w:spacing w:after="0"/>
              <w:rPr>
                <w:sz w:val="20"/>
                <w:szCs w:val="20"/>
                <w:color w:val="auto"/>
              </w:rPr>
            </w:pPr>
          </w:p>
        </w:tc>
        <w:tc>
          <w:tcPr>
            <w:tcW w:w="700" w:type="dxa"/>
            <w:vAlign w:val="bottom"/>
            <w:tcBorders>
              <w:bottom w:val="single" w:sz="8" w:color="E9E9E9"/>
            </w:tcBorders>
            <w:shd w:val="clear" w:color="auto" w:fill="E9E9E9"/>
          </w:tcPr>
          <w:p>
            <w:pPr>
              <w:spacing w:after="0"/>
              <w:rPr>
                <w:sz w:val="20"/>
                <w:szCs w:val="20"/>
                <w:color w:val="auto"/>
              </w:rPr>
            </w:pPr>
          </w:p>
        </w:tc>
        <w:tc>
          <w:tcPr>
            <w:tcW w:w="80" w:type="dxa"/>
            <w:vAlign w:val="bottom"/>
            <w:tcBorders>
              <w:bottom w:val="single" w:sz="8" w:color="E9E9E9"/>
            </w:tcBorders>
            <w:shd w:val="clear" w:color="auto" w:fill="E9E9E9"/>
          </w:tcPr>
          <w:p>
            <w:pPr>
              <w:spacing w:after="0"/>
              <w:rPr>
                <w:sz w:val="20"/>
                <w:szCs w:val="20"/>
                <w:color w:val="auto"/>
              </w:rPr>
            </w:pPr>
          </w:p>
        </w:tc>
        <w:tc>
          <w:tcPr>
            <w:tcW w:w="140" w:type="dxa"/>
            <w:vAlign w:val="bottom"/>
            <w:tcBorders>
              <w:bottom w:val="single" w:sz="8" w:color="E9E9E9"/>
            </w:tcBorders>
            <w:shd w:val="clear" w:color="auto" w:fill="E9E9E9"/>
          </w:tcPr>
          <w:p>
            <w:pPr>
              <w:spacing w:after="0"/>
              <w:rPr>
                <w:sz w:val="20"/>
                <w:szCs w:val="20"/>
                <w:color w:val="auto"/>
              </w:rPr>
            </w:pPr>
          </w:p>
        </w:tc>
        <w:tc>
          <w:tcPr>
            <w:tcW w:w="960" w:type="dxa"/>
            <w:vAlign w:val="bottom"/>
            <w:tcBorders>
              <w:bottom w:val="single" w:sz="8" w:color="E9E9E9"/>
            </w:tcBorders>
            <w:shd w:val="clear" w:color="auto" w:fill="E9E9E9"/>
          </w:tcPr>
          <w:p>
            <w:pPr>
              <w:spacing w:after="0"/>
              <w:rPr>
                <w:sz w:val="20"/>
                <w:szCs w:val="20"/>
                <w:color w:val="auto"/>
              </w:rPr>
            </w:pPr>
          </w:p>
        </w:tc>
        <w:tc>
          <w:tcPr>
            <w:tcW w:w="80" w:type="dxa"/>
            <w:vAlign w:val="bottom"/>
            <w:tcBorders>
              <w:bottom w:val="single" w:sz="8" w:color="E9E9E9"/>
            </w:tcBorders>
            <w:shd w:val="clear" w:color="auto" w:fill="E9E9E9"/>
          </w:tcPr>
          <w:p>
            <w:pPr>
              <w:spacing w:after="0"/>
              <w:rPr>
                <w:sz w:val="20"/>
                <w:szCs w:val="20"/>
                <w:color w:val="auto"/>
              </w:rPr>
            </w:pPr>
          </w:p>
        </w:tc>
        <w:tc>
          <w:tcPr>
            <w:tcW w:w="220" w:type="dxa"/>
            <w:vAlign w:val="bottom"/>
            <w:tcBorders>
              <w:bottom w:val="single" w:sz="8" w:color="E9E9E9"/>
            </w:tcBorders>
            <w:shd w:val="clear" w:color="auto" w:fill="E9E9E9"/>
          </w:tcPr>
          <w:p>
            <w:pPr>
              <w:spacing w:after="0"/>
              <w:rPr>
                <w:sz w:val="20"/>
                <w:szCs w:val="20"/>
                <w:color w:val="auto"/>
              </w:rPr>
            </w:pPr>
          </w:p>
        </w:tc>
        <w:tc>
          <w:tcPr>
            <w:tcW w:w="1040" w:type="dxa"/>
            <w:vAlign w:val="bottom"/>
            <w:tcBorders>
              <w:bottom w:val="single" w:sz="8" w:color="E9E9E9"/>
            </w:tcBorders>
            <w:shd w:val="clear" w:color="auto" w:fill="E9E9E9"/>
          </w:tcPr>
          <w:p>
            <w:pPr>
              <w:spacing w:after="0"/>
              <w:rPr>
                <w:sz w:val="20"/>
                <w:szCs w:val="20"/>
                <w:color w:val="auto"/>
              </w:rPr>
            </w:pPr>
          </w:p>
        </w:tc>
        <w:tc>
          <w:tcPr>
            <w:tcW w:w="80" w:type="dxa"/>
            <w:vAlign w:val="bottom"/>
            <w:tcBorders>
              <w:bottom w:val="single" w:sz="8" w:color="E9E9E9"/>
            </w:tcBorders>
            <w:shd w:val="clear" w:color="auto" w:fill="E9E9E9"/>
          </w:tcPr>
          <w:p>
            <w:pPr>
              <w:spacing w:after="0"/>
              <w:rPr>
                <w:sz w:val="20"/>
                <w:szCs w:val="20"/>
                <w:color w:val="auto"/>
              </w:rPr>
            </w:pPr>
          </w:p>
        </w:tc>
        <w:tc>
          <w:tcPr>
            <w:tcW w:w="140" w:type="dxa"/>
            <w:vAlign w:val="bottom"/>
            <w:tcBorders>
              <w:bottom w:val="single" w:sz="8" w:color="E9E9E9"/>
            </w:tcBorders>
            <w:shd w:val="clear" w:color="auto" w:fill="E9E9E9"/>
          </w:tcPr>
          <w:p>
            <w:pPr>
              <w:spacing w:after="0"/>
              <w:rPr>
                <w:sz w:val="20"/>
                <w:szCs w:val="20"/>
                <w:color w:val="auto"/>
              </w:rPr>
            </w:pPr>
          </w:p>
        </w:tc>
        <w:tc>
          <w:tcPr>
            <w:tcW w:w="1120" w:type="dxa"/>
            <w:vAlign w:val="bottom"/>
            <w:tcBorders>
              <w:bottom w:val="single" w:sz="8" w:color="E9E9E9"/>
            </w:tcBorders>
            <w:shd w:val="clear" w:color="auto" w:fill="E9E9E9"/>
          </w:tcPr>
          <w:p>
            <w:pPr>
              <w:spacing w:after="0"/>
              <w:rPr>
                <w:sz w:val="20"/>
                <w:szCs w:val="20"/>
                <w:color w:val="auto"/>
              </w:rPr>
            </w:pPr>
          </w:p>
        </w:tc>
        <w:tc>
          <w:tcPr>
            <w:tcW w:w="80" w:type="dxa"/>
            <w:vAlign w:val="bottom"/>
            <w:tcBorders>
              <w:bottom w:val="single" w:sz="8" w:color="E9E9E9"/>
            </w:tcBorders>
            <w:shd w:val="clear" w:color="auto" w:fill="E9E9E9"/>
          </w:tcPr>
          <w:p>
            <w:pPr>
              <w:spacing w:after="0"/>
              <w:rPr>
                <w:sz w:val="20"/>
                <w:szCs w:val="20"/>
                <w:color w:val="auto"/>
              </w:rPr>
            </w:pPr>
          </w:p>
        </w:tc>
        <w:tc>
          <w:tcPr>
            <w:tcW w:w="260" w:type="dxa"/>
            <w:vAlign w:val="bottom"/>
            <w:tcBorders>
              <w:bottom w:val="single" w:sz="8" w:color="E9E9E9"/>
            </w:tcBorders>
            <w:shd w:val="clear" w:color="auto" w:fill="E9E9E9"/>
          </w:tcPr>
          <w:p>
            <w:pPr>
              <w:spacing w:after="0"/>
              <w:rPr>
                <w:sz w:val="20"/>
                <w:szCs w:val="20"/>
                <w:color w:val="auto"/>
              </w:rPr>
            </w:pPr>
          </w:p>
        </w:tc>
        <w:tc>
          <w:tcPr>
            <w:tcW w:w="1000" w:type="dxa"/>
            <w:vAlign w:val="bottom"/>
            <w:tcBorders>
              <w:bottom w:val="single" w:sz="8" w:color="E9E9E9"/>
            </w:tcBorders>
            <w:shd w:val="clear" w:color="auto" w:fill="E9E9E9"/>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2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Shares withheld to cover taxes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(22,612)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(22,615)</w:t>
            </w:r>
          </w:p>
        </w:tc>
        <w:tc>
          <w:tcPr>
            <w:tcW w:w="0" w:type="dxa"/>
            <w:vAlign w:val="bottom"/>
          </w:tcPr>
          <w:p>
            <w:pPr>
              <w:spacing w:after="0"/>
              <w:rPr>
                <w:sz w:val="1"/>
                <w:szCs w:val="1"/>
                <w:color w:val="auto"/>
              </w:rPr>
            </w:pPr>
          </w:p>
        </w:tc>
      </w:tr>
      <w:tr>
        <w:trPr>
          <w:trHeight w:val="199"/>
        </w:trPr>
        <w:tc>
          <w:tcPr>
            <w:tcW w:w="2500" w:type="dxa"/>
            <w:vAlign w:val="bottom"/>
            <w:shd w:val="clear" w:color="auto" w:fill="E9E9E9"/>
          </w:tcPr>
          <w:p>
            <w:pPr>
              <w:ind w:left="18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8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E9E9E9"/>
          </w:tcPr>
          <w:p>
            <w:pPr>
              <w:spacing w:after="0"/>
              <w:rPr>
                <w:sz w:val="17"/>
                <w:szCs w:val="17"/>
                <w:color w:val="auto"/>
              </w:rPr>
            </w:pPr>
          </w:p>
        </w:tc>
        <w:tc>
          <w:tcPr>
            <w:tcW w:w="320" w:type="dxa"/>
            <w:vAlign w:val="bottom"/>
            <w:shd w:val="clear" w:color="auto" w:fill="E9E9E9"/>
          </w:tcPr>
          <w:p>
            <w:pPr>
              <w:spacing w:after="0"/>
              <w:rPr>
                <w:sz w:val="17"/>
                <w:szCs w:val="17"/>
                <w:color w:val="auto"/>
              </w:rPr>
            </w:pPr>
          </w:p>
        </w:tc>
        <w:tc>
          <w:tcPr>
            <w:tcW w:w="5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1,116</w:t>
            </w:r>
          </w:p>
        </w:tc>
        <w:tc>
          <w:tcPr>
            <w:tcW w:w="40" w:type="dxa"/>
            <w:vAlign w:val="bottom"/>
            <w:shd w:val="clear" w:color="auto" w:fill="E9E9E9"/>
          </w:tcPr>
          <w:p>
            <w:pPr>
              <w:spacing w:after="0"/>
              <w:rPr>
                <w:sz w:val="17"/>
                <w:szCs w:val="17"/>
                <w:color w:val="auto"/>
              </w:rPr>
            </w:pPr>
          </w:p>
        </w:tc>
        <w:tc>
          <w:tcPr>
            <w:tcW w:w="160" w:type="dxa"/>
            <w:vAlign w:val="bottom"/>
            <w:shd w:val="clear" w:color="auto" w:fill="E9E9E9"/>
          </w:tcPr>
          <w:p>
            <w:pPr>
              <w:spacing w:after="0"/>
              <w:rPr>
                <w:sz w:val="17"/>
                <w:szCs w:val="17"/>
                <w:color w:val="auto"/>
              </w:rPr>
            </w:pPr>
          </w:p>
        </w:tc>
        <w:tc>
          <w:tcPr>
            <w:tcW w:w="7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w w:val="99"/>
              </w:rPr>
              <w:t>(100,000)</w:t>
            </w:r>
          </w:p>
        </w:tc>
        <w:tc>
          <w:tcPr>
            <w:tcW w:w="80" w:type="dxa"/>
            <w:vAlign w:val="bottom"/>
            <w:shd w:val="clear" w:color="auto" w:fill="E9E9E9"/>
          </w:tcPr>
          <w:p>
            <w:pPr>
              <w:spacing w:after="0"/>
              <w:rPr>
                <w:sz w:val="17"/>
                <w:szCs w:val="17"/>
                <w:color w:val="auto"/>
              </w:rPr>
            </w:pPr>
          </w:p>
        </w:tc>
        <w:tc>
          <w:tcPr>
            <w:tcW w:w="140" w:type="dxa"/>
            <w:vAlign w:val="bottom"/>
            <w:shd w:val="clear" w:color="auto" w:fill="E9E9E9"/>
          </w:tcPr>
          <w:p>
            <w:pPr>
              <w:spacing w:after="0"/>
              <w:rPr>
                <w:sz w:val="17"/>
                <w:szCs w:val="17"/>
                <w:color w:val="auto"/>
              </w:rPr>
            </w:pPr>
          </w:p>
        </w:tc>
        <w:tc>
          <w:tcPr>
            <w:tcW w:w="9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80" w:type="dxa"/>
            <w:vAlign w:val="bottom"/>
            <w:shd w:val="clear" w:color="auto" w:fill="E9E9E9"/>
          </w:tcPr>
          <w:p>
            <w:pPr>
              <w:spacing w:after="0"/>
              <w:rPr>
                <w:sz w:val="17"/>
                <w:szCs w:val="17"/>
                <w:color w:val="auto"/>
              </w:rPr>
            </w:pPr>
          </w:p>
        </w:tc>
        <w:tc>
          <w:tcPr>
            <w:tcW w:w="220" w:type="dxa"/>
            <w:vAlign w:val="bottom"/>
            <w:shd w:val="clear" w:color="auto" w:fill="E9E9E9"/>
          </w:tcPr>
          <w:p>
            <w:pPr>
              <w:spacing w:after="0"/>
              <w:rPr>
                <w:sz w:val="17"/>
                <w:szCs w:val="17"/>
                <w:color w:val="auto"/>
              </w:rPr>
            </w:pPr>
          </w:p>
        </w:tc>
        <w:tc>
          <w:tcPr>
            <w:tcW w:w="10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9E9E9"/>
          </w:tcPr>
          <w:p>
            <w:pPr>
              <w:spacing w:after="0"/>
              <w:rPr>
                <w:sz w:val="17"/>
                <w:szCs w:val="17"/>
                <w:color w:val="auto"/>
              </w:rPr>
            </w:pPr>
          </w:p>
        </w:tc>
        <w:tc>
          <w:tcPr>
            <w:tcW w:w="140" w:type="dxa"/>
            <w:vAlign w:val="bottom"/>
            <w:shd w:val="clear" w:color="auto" w:fill="E9E9E9"/>
          </w:tcPr>
          <w:p>
            <w:pPr>
              <w:spacing w:after="0"/>
              <w:rPr>
                <w:sz w:val="17"/>
                <w:szCs w:val="17"/>
                <w:color w:val="auto"/>
              </w:rPr>
            </w:pPr>
          </w:p>
        </w:tc>
        <w:tc>
          <w:tcPr>
            <w:tcW w:w="11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E9E9E9"/>
          </w:tcPr>
          <w:p>
            <w:pPr>
              <w:spacing w:after="0"/>
              <w:rPr>
                <w:sz w:val="17"/>
                <w:szCs w:val="17"/>
                <w:color w:val="auto"/>
              </w:rPr>
            </w:pPr>
          </w:p>
        </w:tc>
        <w:tc>
          <w:tcPr>
            <w:tcW w:w="260" w:type="dxa"/>
            <w:vAlign w:val="bottom"/>
            <w:shd w:val="clear" w:color="auto" w:fill="E9E9E9"/>
          </w:tcPr>
          <w:p>
            <w:pPr>
              <w:spacing w:after="0"/>
              <w:rPr>
                <w:sz w:val="17"/>
                <w:szCs w:val="17"/>
                <w:color w:val="auto"/>
              </w:rPr>
            </w:pPr>
          </w:p>
        </w:tc>
        <w:tc>
          <w:tcPr>
            <w:tcW w:w="1000" w:type="dxa"/>
            <w:vAlign w:val="bottom"/>
            <w:vMerge w:val="restart"/>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(100,251)</w:t>
            </w:r>
          </w:p>
        </w:tc>
        <w:tc>
          <w:tcPr>
            <w:tcW w:w="0" w:type="dxa"/>
            <w:vAlign w:val="bottom"/>
          </w:tcPr>
          <w:p>
            <w:pPr>
              <w:spacing w:after="0"/>
              <w:rPr>
                <w:sz w:val="1"/>
                <w:szCs w:val="1"/>
                <w:color w:val="auto"/>
              </w:rPr>
            </w:pPr>
          </w:p>
        </w:tc>
      </w:tr>
      <w:tr>
        <w:trPr>
          <w:trHeight w:val="212"/>
        </w:trPr>
        <w:tc>
          <w:tcPr>
            <w:tcW w:w="2500" w:type="dxa"/>
            <w:vAlign w:val="bottom"/>
            <w:shd w:val="clear" w:color="auto" w:fill="E9E9E9"/>
          </w:tcPr>
          <w:p>
            <w:pPr>
              <w:ind w:left="180"/>
              <w:spacing w:after="0"/>
              <w:rPr>
                <w:sz w:val="20"/>
                <w:szCs w:val="20"/>
                <w:color w:val="auto"/>
              </w:rPr>
            </w:pPr>
            <w:r>
              <w:rPr>
                <w:rFonts w:ascii="Times New Roman" w:cs="Times New Roman" w:eastAsia="Times New Roman" w:hAnsi="Times New Roman"/>
                <w:sz w:val="17"/>
                <w:szCs w:val="17"/>
                <w:color w:val="auto"/>
              </w:rPr>
              <w:t>including excise tax</w:t>
            </w:r>
          </w:p>
        </w:tc>
        <w:tc>
          <w:tcPr>
            <w:tcW w:w="84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c>
          <w:tcPr>
            <w:tcW w:w="320" w:type="dxa"/>
            <w:vAlign w:val="bottom"/>
            <w:shd w:val="clear" w:color="auto" w:fill="E9E9E9"/>
          </w:tcPr>
          <w:p>
            <w:pPr>
              <w:spacing w:after="0"/>
              <w:rPr>
                <w:sz w:val="18"/>
                <w:szCs w:val="18"/>
                <w:color w:val="auto"/>
              </w:rPr>
            </w:pPr>
          </w:p>
        </w:tc>
        <w:tc>
          <w:tcPr>
            <w:tcW w:w="520" w:type="dxa"/>
            <w:vAlign w:val="bottom"/>
            <w:shd w:val="clear" w:color="auto" w:fill="E9E9E9"/>
          </w:tcPr>
          <w:p>
            <w:pPr>
              <w:spacing w:after="0"/>
              <w:rPr>
                <w:sz w:val="18"/>
                <w:szCs w:val="18"/>
                <w:color w:val="auto"/>
              </w:rPr>
            </w:pPr>
          </w:p>
        </w:tc>
        <w:tc>
          <w:tcPr>
            <w:tcW w:w="60" w:type="dxa"/>
            <w:vAlign w:val="bottom"/>
            <w:shd w:val="clear" w:color="auto" w:fill="E9E9E9"/>
          </w:tcPr>
          <w:p>
            <w:pPr>
              <w:spacing w:after="0"/>
              <w:rPr>
                <w:sz w:val="18"/>
                <w:szCs w:val="18"/>
                <w:color w:val="auto"/>
              </w:rPr>
            </w:pPr>
          </w:p>
        </w:tc>
        <w:tc>
          <w:tcPr>
            <w:tcW w:w="860" w:type="dxa"/>
            <w:vAlign w:val="bottom"/>
            <w:shd w:val="clear" w:color="auto" w:fill="E9E9E9"/>
          </w:tcPr>
          <w:p>
            <w:pPr>
              <w:spacing w:after="0"/>
              <w:rPr>
                <w:sz w:val="18"/>
                <w:szCs w:val="18"/>
                <w:color w:val="auto"/>
              </w:rPr>
            </w:pPr>
          </w:p>
        </w:tc>
        <w:tc>
          <w:tcPr>
            <w:tcW w:w="40" w:type="dxa"/>
            <w:vAlign w:val="bottom"/>
            <w:shd w:val="clear" w:color="auto" w:fill="E9E9E9"/>
          </w:tcPr>
          <w:p>
            <w:pPr>
              <w:spacing w:after="0"/>
              <w:rPr>
                <w:sz w:val="18"/>
                <w:szCs w:val="18"/>
                <w:color w:val="auto"/>
              </w:rPr>
            </w:pPr>
          </w:p>
        </w:tc>
        <w:tc>
          <w:tcPr>
            <w:tcW w:w="160" w:type="dxa"/>
            <w:vAlign w:val="bottom"/>
            <w:shd w:val="clear" w:color="auto" w:fill="E9E9E9"/>
          </w:tcPr>
          <w:p>
            <w:pPr>
              <w:spacing w:after="0"/>
              <w:rPr>
                <w:sz w:val="18"/>
                <w:szCs w:val="18"/>
                <w:color w:val="auto"/>
              </w:rPr>
            </w:pPr>
          </w:p>
        </w:tc>
        <w:tc>
          <w:tcPr>
            <w:tcW w:w="70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c>
          <w:tcPr>
            <w:tcW w:w="140" w:type="dxa"/>
            <w:vAlign w:val="bottom"/>
            <w:shd w:val="clear" w:color="auto" w:fill="E9E9E9"/>
          </w:tcPr>
          <w:p>
            <w:pPr>
              <w:spacing w:after="0"/>
              <w:rPr>
                <w:sz w:val="18"/>
                <w:szCs w:val="18"/>
                <w:color w:val="auto"/>
              </w:rPr>
            </w:pPr>
          </w:p>
        </w:tc>
        <w:tc>
          <w:tcPr>
            <w:tcW w:w="96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c>
          <w:tcPr>
            <w:tcW w:w="220" w:type="dxa"/>
            <w:vAlign w:val="bottom"/>
            <w:shd w:val="clear" w:color="auto" w:fill="E9E9E9"/>
          </w:tcPr>
          <w:p>
            <w:pPr>
              <w:spacing w:after="0"/>
              <w:rPr>
                <w:sz w:val="18"/>
                <w:szCs w:val="18"/>
                <w:color w:val="auto"/>
              </w:rPr>
            </w:pPr>
          </w:p>
        </w:tc>
        <w:tc>
          <w:tcPr>
            <w:tcW w:w="104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c>
          <w:tcPr>
            <w:tcW w:w="140" w:type="dxa"/>
            <w:vAlign w:val="bottom"/>
            <w:shd w:val="clear" w:color="auto" w:fill="E9E9E9"/>
          </w:tcPr>
          <w:p>
            <w:pPr>
              <w:spacing w:after="0"/>
              <w:rPr>
                <w:sz w:val="18"/>
                <w:szCs w:val="18"/>
                <w:color w:val="auto"/>
              </w:rPr>
            </w:pPr>
          </w:p>
        </w:tc>
        <w:tc>
          <w:tcPr>
            <w:tcW w:w="112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c>
          <w:tcPr>
            <w:tcW w:w="260" w:type="dxa"/>
            <w:vAlign w:val="bottom"/>
            <w:shd w:val="clear" w:color="auto" w:fill="E9E9E9"/>
          </w:tcPr>
          <w:p>
            <w:pPr>
              <w:spacing w:after="0"/>
              <w:rPr>
                <w:sz w:val="18"/>
                <w:szCs w:val="18"/>
                <w:color w:val="auto"/>
              </w:rPr>
            </w:pPr>
          </w:p>
        </w:tc>
        <w:tc>
          <w:tcPr>
            <w:tcW w:w="1000" w:type="dxa"/>
            <w:vAlign w:val="bottom"/>
            <w:vMerge w:val="continue"/>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500" w:type="dxa"/>
            <w:vAlign w:val="bottom"/>
            <w:tcBorders>
              <w:bottom w:val="single" w:sz="8" w:color="E9E9E9"/>
            </w:tcBorders>
          </w:tcPr>
          <w:p>
            <w:pPr>
              <w:ind w:left="180"/>
              <w:spacing w:after="0"/>
              <w:rPr>
                <w:sz w:val="20"/>
                <w:szCs w:val="20"/>
                <w:color w:val="auto"/>
              </w:rPr>
            </w:pPr>
            <w:r>
              <w:rPr>
                <w:rFonts w:ascii="Times New Roman" w:cs="Times New Roman" w:eastAsia="Times New Roman" w:hAnsi="Times New Roman"/>
                <w:sz w:val="17"/>
                <w:szCs w:val="17"/>
                <w:color w:val="auto"/>
              </w:rPr>
              <w:t>Stock-based compensation</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E9E9E9"/>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E9E9E9"/>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E9E9E9"/>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E9E9E9"/>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76,393</w:t>
            </w:r>
          </w:p>
        </w:tc>
        <w:tc>
          <w:tcPr>
            <w:tcW w:w="80" w:type="dxa"/>
            <w:vAlign w:val="bottom"/>
            <w:tcBorders>
              <w:bottom w:val="single" w:sz="8" w:color="E9E9E9"/>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E9E9E9"/>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E9E9E9"/>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76,393</w:t>
            </w:r>
          </w:p>
        </w:tc>
        <w:tc>
          <w:tcPr>
            <w:tcW w:w="0" w:type="dxa"/>
            <w:vAlign w:val="bottom"/>
          </w:tcPr>
          <w:p>
            <w:pPr>
              <w:spacing w:after="0"/>
              <w:rPr>
                <w:sz w:val="1"/>
                <w:szCs w:val="1"/>
                <w:color w:val="auto"/>
              </w:rPr>
            </w:pPr>
          </w:p>
        </w:tc>
      </w:tr>
      <w:tr>
        <w:trPr>
          <w:trHeight w:val="273"/>
        </w:trPr>
        <w:tc>
          <w:tcPr>
            <w:tcW w:w="2500" w:type="dxa"/>
            <w:vAlign w:val="bottom"/>
            <w:tcBorders>
              <w:bottom w:val="single" w:sz="8" w:color="E9E9E9"/>
            </w:tcBorders>
            <w:shd w:val="clear" w:color="auto" w:fill="E9E9E9"/>
          </w:tcPr>
          <w:p>
            <w:pPr>
              <w:ind w:left="60"/>
              <w:spacing w:after="0"/>
              <w:rPr>
                <w:sz w:val="20"/>
                <w:szCs w:val="20"/>
                <w:color w:val="auto"/>
              </w:rPr>
            </w:pPr>
            <w:r>
              <w:rPr>
                <w:rFonts w:ascii="Times New Roman" w:cs="Times New Roman" w:eastAsia="Times New Roman" w:hAnsi="Times New Roman"/>
                <w:sz w:val="17"/>
                <w:szCs w:val="17"/>
                <w:color w:val="auto"/>
              </w:rPr>
              <w:t>Balance, December 31, 2024</w:t>
            </w:r>
          </w:p>
        </w:tc>
        <w:tc>
          <w:tcPr>
            <w:tcW w:w="84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70,905</w:t>
            </w:r>
          </w:p>
        </w:tc>
        <w:tc>
          <w:tcPr>
            <w:tcW w:w="80" w:type="dxa"/>
            <w:vAlign w:val="bottom"/>
            <w:tcBorders>
              <w:bottom w:val="single" w:sz="8" w:color="E9E9E9"/>
            </w:tcBorders>
            <w:shd w:val="clear" w:color="auto" w:fill="E9E9E9"/>
          </w:tcPr>
          <w:p>
            <w:pPr>
              <w:spacing w:after="0"/>
              <w:rPr>
                <w:sz w:val="23"/>
                <w:szCs w:val="23"/>
                <w:color w:val="auto"/>
              </w:rPr>
            </w:pPr>
          </w:p>
        </w:tc>
        <w:tc>
          <w:tcPr>
            <w:tcW w:w="320" w:type="dxa"/>
            <w:vAlign w:val="bottom"/>
            <w:tcBorders>
              <w:bottom w:val="single" w:sz="8" w:color="auto"/>
            </w:tcBorders>
            <w:shd w:val="clear" w:color="auto" w:fill="E9E9E9"/>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709</w:t>
            </w:r>
          </w:p>
        </w:tc>
        <w:tc>
          <w:tcPr>
            <w:tcW w:w="60" w:type="dxa"/>
            <w:vAlign w:val="bottom"/>
            <w:tcBorders>
              <w:bottom w:val="single" w:sz="8" w:color="E9E9E9"/>
            </w:tcBorders>
            <w:shd w:val="clear" w:color="auto" w:fill="E9E9E9"/>
          </w:tcPr>
          <w:p>
            <w:pPr>
              <w:spacing w:after="0"/>
              <w:rPr>
                <w:sz w:val="23"/>
                <w:szCs w:val="23"/>
                <w:color w:val="auto"/>
              </w:rPr>
            </w:pPr>
          </w:p>
        </w:tc>
        <w:tc>
          <w:tcPr>
            <w:tcW w:w="86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2,455</w:t>
            </w:r>
          </w:p>
        </w:tc>
        <w:tc>
          <w:tcPr>
            <w:tcW w:w="40" w:type="dxa"/>
            <w:vAlign w:val="bottom"/>
            <w:tcBorders>
              <w:bottom w:val="single" w:sz="8" w:color="E9E9E9"/>
            </w:tcBorders>
            <w:shd w:val="clear" w:color="auto" w:fill="E9E9E9"/>
          </w:tcPr>
          <w:p>
            <w:pPr>
              <w:spacing w:after="0"/>
              <w:rPr>
                <w:sz w:val="23"/>
                <w:szCs w:val="23"/>
                <w:color w:val="auto"/>
              </w:rPr>
            </w:pPr>
          </w:p>
        </w:tc>
        <w:tc>
          <w:tcPr>
            <w:tcW w:w="16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p>
        </w:tc>
        <w:tc>
          <w:tcPr>
            <w:tcW w:w="70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w w:val="99"/>
              </w:rPr>
              <w:t>(175,000)</w:t>
            </w:r>
          </w:p>
        </w:tc>
        <w:tc>
          <w:tcPr>
            <w:tcW w:w="80" w:type="dxa"/>
            <w:vAlign w:val="bottom"/>
            <w:tcBorders>
              <w:bottom w:val="single" w:sz="8" w:color="E9E9E9"/>
            </w:tcBorders>
            <w:shd w:val="clear" w:color="auto" w:fill="E9E9E9"/>
          </w:tcPr>
          <w:p>
            <w:pPr>
              <w:spacing w:after="0"/>
              <w:rPr>
                <w:sz w:val="23"/>
                <w:szCs w:val="23"/>
                <w:color w:val="auto"/>
              </w:rPr>
            </w:pPr>
          </w:p>
        </w:tc>
        <w:tc>
          <w:tcPr>
            <w:tcW w:w="14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817,972</w:t>
            </w:r>
          </w:p>
        </w:tc>
        <w:tc>
          <w:tcPr>
            <w:tcW w:w="80" w:type="dxa"/>
            <w:vAlign w:val="bottom"/>
            <w:tcBorders>
              <w:bottom w:val="single" w:sz="8" w:color="E9E9E9"/>
            </w:tcBorders>
            <w:shd w:val="clear" w:color="auto" w:fill="E9E9E9"/>
          </w:tcPr>
          <w:p>
            <w:pPr>
              <w:spacing w:after="0"/>
              <w:rPr>
                <w:sz w:val="23"/>
                <w:szCs w:val="23"/>
                <w:color w:val="auto"/>
              </w:rPr>
            </w:pPr>
          </w:p>
        </w:tc>
        <w:tc>
          <w:tcPr>
            <w:tcW w:w="22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445,945</w:t>
            </w:r>
          </w:p>
        </w:tc>
        <w:tc>
          <w:tcPr>
            <w:tcW w:w="80" w:type="dxa"/>
            <w:vAlign w:val="bottom"/>
            <w:tcBorders>
              <w:bottom w:val="single" w:sz="8" w:color="E9E9E9"/>
            </w:tcBorders>
            <w:shd w:val="clear" w:color="auto" w:fill="E9E9E9"/>
          </w:tcPr>
          <w:p>
            <w:pPr>
              <w:spacing w:after="0"/>
              <w:rPr>
                <w:sz w:val="23"/>
                <w:szCs w:val="23"/>
                <w:color w:val="auto"/>
              </w:rPr>
            </w:pPr>
          </w:p>
        </w:tc>
        <w:tc>
          <w:tcPr>
            <w:tcW w:w="14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(1,615)</w:t>
            </w:r>
          </w:p>
        </w:tc>
        <w:tc>
          <w:tcPr>
            <w:tcW w:w="80" w:type="dxa"/>
            <w:vAlign w:val="bottom"/>
            <w:tcBorders>
              <w:bottom w:val="single" w:sz="8" w:color="E9E9E9"/>
            </w:tcBorders>
            <w:shd w:val="clear" w:color="auto" w:fill="E9E9E9"/>
          </w:tcPr>
          <w:p>
            <w:pPr>
              <w:spacing w:after="0"/>
              <w:rPr>
                <w:sz w:val="23"/>
                <w:szCs w:val="23"/>
                <w:color w:val="auto"/>
              </w:rPr>
            </w:pPr>
          </w:p>
        </w:tc>
        <w:tc>
          <w:tcPr>
            <w:tcW w:w="260" w:type="dxa"/>
            <w:vAlign w:val="bottom"/>
            <w:tcBorders>
              <w:bottom w:val="single" w:sz="8" w:color="auto"/>
            </w:tcBorders>
            <w:shd w:val="clear" w:color="auto" w:fill="E9E9E9"/>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17"/>
                <w:szCs w:val="17"/>
                <w:color w:val="auto"/>
              </w:rPr>
              <w:t>1,088,011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1569720</wp:posOffset>
            </wp:positionH>
            <wp:positionV relativeFrom="paragraph">
              <wp:posOffset>-42545</wp:posOffset>
            </wp:positionV>
            <wp:extent cx="5606415" cy="495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06415" cy="49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The accompanying notes are an integral part of these consolidated financial statements.</w:t>
      </w:r>
    </w:p>
    <w:p>
      <w:pPr>
        <w:sectPr>
          <w:pgSz w:w="11880" w:h="15480" w:orient="portrait"/>
          <w:cols w:equalWidth="0" w:num="1">
            <w:col w:w="11280"/>
          </w:cols>
          <w:pgMar w:left="300" w:top="757" w:right="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880" w:h="15480" w:orient="portrait"/>
          <w:cols w:equalWidth="0" w:num="1">
            <w:col w:w="11280"/>
          </w:cols>
          <w:pgMar w:left="300" w:top="757" w:right="300" w:bottom="0" w:gutter="0" w:footer="0" w:header="0"/>
          <w:type w:val="continuous"/>
        </w:sectPr>
      </w:pPr>
    </w:p>
    <w:bookmarkStart w:id="89" w:name="page90"/>
    <w:bookmarkEnd w:id="89"/>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Lantheus Holdings,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r>
      <w:tr>
        <w:trPr>
          <w:trHeight w:val="230"/>
        </w:trPr>
        <w:tc>
          <w:tcPr>
            <w:tcW w:w="6500" w:type="dxa"/>
            <w:vAlign w:val="bottom"/>
            <w:tcBorders>
              <w:bottom w:val="single" w:sz="8" w:color="E9E9E9"/>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E9E9E9"/>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bottom w:val="single" w:sz="8" w:color="E9E9E9"/>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40"/>
        </w:trPr>
        <w:tc>
          <w:tcPr>
            <w:tcW w:w="6500" w:type="dxa"/>
            <w:vAlign w:val="bottom"/>
            <w:shd w:val="clear" w:color="auto" w:fill="E9E9E9"/>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00" w:type="dxa"/>
            <w:vAlign w:val="bottom"/>
            <w:shd w:val="clear" w:color="auto" w:fill="E9E9E9"/>
          </w:tcPr>
          <w:p>
            <w:pPr>
              <w:spacing w:after="0"/>
              <w:rPr>
                <w:sz w:val="20"/>
                <w:szCs w:val="20"/>
                <w:color w:val="auto"/>
              </w:rPr>
            </w:pPr>
          </w:p>
        </w:tc>
        <w:tc>
          <w:tcPr>
            <w:tcW w:w="980" w:type="dxa"/>
            <w:vAlign w:val="bottom"/>
            <w:shd w:val="clear" w:color="auto" w:fill="E9E9E9"/>
          </w:tcPr>
          <w:p>
            <w:pPr>
              <w:spacing w:after="0"/>
              <w:rPr>
                <w:sz w:val="20"/>
                <w:szCs w:val="20"/>
                <w:color w:val="auto"/>
              </w:rPr>
            </w:pPr>
          </w:p>
        </w:tc>
        <w:tc>
          <w:tcPr>
            <w:tcW w:w="80" w:type="dxa"/>
            <w:vAlign w:val="bottom"/>
            <w:shd w:val="clear" w:color="auto" w:fill="E9E9E9"/>
          </w:tcPr>
          <w:p>
            <w:pPr>
              <w:spacing w:after="0"/>
              <w:rPr>
                <w:sz w:val="20"/>
                <w:szCs w:val="20"/>
                <w:color w:val="auto"/>
              </w:rPr>
            </w:pPr>
          </w:p>
        </w:tc>
        <w:tc>
          <w:tcPr>
            <w:tcW w:w="300" w:type="dxa"/>
            <w:vAlign w:val="bottom"/>
            <w:shd w:val="clear" w:color="auto" w:fill="E9E9E9"/>
          </w:tcPr>
          <w:p>
            <w:pPr>
              <w:spacing w:after="0"/>
              <w:rPr>
                <w:sz w:val="20"/>
                <w:szCs w:val="20"/>
                <w:color w:val="auto"/>
              </w:rPr>
            </w:pPr>
          </w:p>
        </w:tc>
        <w:tc>
          <w:tcPr>
            <w:tcW w:w="980" w:type="dxa"/>
            <w:vAlign w:val="bottom"/>
            <w:shd w:val="clear" w:color="auto" w:fill="E9E9E9"/>
          </w:tcPr>
          <w:p>
            <w:pPr>
              <w:spacing w:after="0"/>
              <w:rPr>
                <w:sz w:val="20"/>
                <w:szCs w:val="20"/>
                <w:color w:val="auto"/>
              </w:rPr>
            </w:pPr>
          </w:p>
        </w:tc>
        <w:tc>
          <w:tcPr>
            <w:tcW w:w="60" w:type="dxa"/>
            <w:vAlign w:val="bottom"/>
            <w:shd w:val="clear" w:color="auto" w:fill="E9E9E9"/>
          </w:tcPr>
          <w:p>
            <w:pPr>
              <w:spacing w:after="0"/>
              <w:rPr>
                <w:sz w:val="20"/>
                <w:szCs w:val="20"/>
                <w:color w:val="auto"/>
              </w:rPr>
            </w:pPr>
          </w:p>
        </w:tc>
        <w:tc>
          <w:tcPr>
            <w:tcW w:w="380" w:type="dxa"/>
            <w:vAlign w:val="bottom"/>
            <w:shd w:val="clear" w:color="auto" w:fill="E9E9E9"/>
          </w:tcPr>
          <w:p>
            <w:pPr>
              <w:spacing w:after="0"/>
              <w:rPr>
                <w:sz w:val="20"/>
                <w:szCs w:val="20"/>
                <w:color w:val="auto"/>
              </w:rPr>
            </w:pPr>
          </w:p>
        </w:tc>
        <w:tc>
          <w:tcPr>
            <w:tcW w:w="900" w:type="dxa"/>
            <w:vAlign w:val="bottom"/>
            <w:shd w:val="clear" w:color="auto" w:fill="E9E9E9"/>
          </w:tcPr>
          <w:p>
            <w:pPr>
              <w:spacing w:after="0"/>
              <w:rPr>
                <w:sz w:val="20"/>
                <w:szCs w:val="20"/>
                <w:color w:val="auto"/>
              </w:rPr>
            </w:pPr>
          </w:p>
        </w:tc>
      </w:tr>
      <w:tr>
        <w:trPr>
          <w:trHeight w:val="249"/>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312,442</w:t>
            </w:r>
          </w:p>
        </w:tc>
        <w:tc>
          <w:tcPr>
            <w:tcW w:w="38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326,661</w:t>
            </w:r>
          </w:p>
        </w:tc>
        <w:tc>
          <w:tcPr>
            <w:tcW w:w="44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28,067</w:t>
            </w:r>
          </w:p>
        </w:tc>
      </w:tr>
      <w:tr>
        <w:trPr>
          <w:trHeight w:val="251"/>
        </w:trPr>
        <w:tc>
          <w:tcPr>
            <w:tcW w:w="6500" w:type="dxa"/>
            <w:vAlign w:val="bottom"/>
            <w:shd w:val="clear" w:color="auto" w:fill="E9E9E9"/>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flows from operating activities:</w:t>
            </w:r>
          </w:p>
        </w:tc>
        <w:tc>
          <w:tcPr>
            <w:tcW w:w="300" w:type="dxa"/>
            <w:vAlign w:val="bottom"/>
            <w:shd w:val="clear" w:color="auto" w:fill="E9E9E9"/>
          </w:tcPr>
          <w:p>
            <w:pPr>
              <w:spacing w:after="0"/>
              <w:rPr>
                <w:sz w:val="21"/>
                <w:szCs w:val="21"/>
                <w:color w:val="auto"/>
              </w:rPr>
            </w:pPr>
          </w:p>
        </w:tc>
        <w:tc>
          <w:tcPr>
            <w:tcW w:w="98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98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380" w:type="dxa"/>
            <w:vAlign w:val="bottom"/>
            <w:shd w:val="clear" w:color="auto" w:fill="E9E9E9"/>
          </w:tcPr>
          <w:p>
            <w:pPr>
              <w:spacing w:after="0"/>
              <w:rPr>
                <w:sz w:val="21"/>
                <w:szCs w:val="21"/>
                <w:color w:val="auto"/>
              </w:rPr>
            </w:pPr>
          </w:p>
        </w:tc>
        <w:tc>
          <w:tcPr>
            <w:tcW w:w="900" w:type="dxa"/>
            <w:vAlign w:val="bottom"/>
            <w:shd w:val="clear" w:color="auto" w:fill="E9E9E9"/>
          </w:tcPr>
          <w:p>
            <w:pPr>
              <w:spacing w:after="0"/>
              <w:rPr>
                <w:sz w:val="21"/>
                <w:szCs w:val="21"/>
                <w:color w:val="auto"/>
              </w:rPr>
            </w:pPr>
          </w:p>
        </w:tc>
      </w:tr>
      <w:tr>
        <w:trPr>
          <w:trHeight w:val="249"/>
        </w:trPr>
        <w:tc>
          <w:tcPr>
            <w:tcW w:w="6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64,624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60,043</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47,929</w:t>
            </w:r>
          </w:p>
        </w:tc>
      </w:tr>
      <w:tr>
        <w:trPr>
          <w:trHeight w:val="251"/>
        </w:trPr>
        <w:tc>
          <w:tcPr>
            <w:tcW w:w="6500" w:type="dxa"/>
            <w:vAlign w:val="bottom"/>
            <w:shd w:val="clear" w:color="auto" w:fill="E9E9E9"/>
          </w:tcPr>
          <w:p>
            <w:pPr>
              <w:ind w:left="26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00" w:type="dxa"/>
            <w:vAlign w:val="bottom"/>
            <w:shd w:val="clear" w:color="auto" w:fill="E9E9E9"/>
          </w:tcPr>
          <w:p>
            <w:pPr>
              <w:spacing w:after="0"/>
              <w:rPr>
                <w:sz w:val="21"/>
                <w:szCs w:val="21"/>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138,050</w:t>
            </w:r>
          </w:p>
        </w:tc>
        <w:tc>
          <w:tcPr>
            <w:tcW w:w="60" w:type="dxa"/>
            <w:vAlign w:val="bottom"/>
            <w:shd w:val="clear" w:color="auto" w:fill="E9E9E9"/>
          </w:tcPr>
          <w:p>
            <w:pPr>
              <w:spacing w:after="0"/>
              <w:rPr>
                <w:sz w:val="21"/>
                <w:szCs w:val="21"/>
                <w:color w:val="auto"/>
              </w:rPr>
            </w:pPr>
          </w:p>
        </w:tc>
        <w:tc>
          <w:tcPr>
            <w:tcW w:w="380" w:type="dxa"/>
            <w:vAlign w:val="bottom"/>
            <w:shd w:val="clear" w:color="auto" w:fill="E9E9E9"/>
          </w:tcPr>
          <w:p>
            <w:pPr>
              <w:spacing w:after="0"/>
              <w:rPr>
                <w:sz w:val="21"/>
                <w:szCs w:val="21"/>
                <w:color w:val="auto"/>
              </w:rPr>
            </w:pPr>
          </w:p>
        </w:tc>
        <w:tc>
          <w:tcPr>
            <w:tcW w:w="9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6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Asset retirement obligation acceleration</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51"/>
        </w:trPr>
        <w:tc>
          <w:tcPr>
            <w:tcW w:w="6500" w:type="dxa"/>
            <w:vAlign w:val="bottom"/>
            <w:shd w:val="clear" w:color="auto" w:fill="E9E9E9"/>
          </w:tcPr>
          <w:p>
            <w:pPr>
              <w:ind w:left="260"/>
              <w:spacing w:after="0"/>
              <w:rPr>
                <w:sz w:val="20"/>
                <w:szCs w:val="20"/>
                <w:color w:val="auto"/>
              </w:rPr>
            </w:pPr>
            <w:r>
              <w:rPr>
                <w:rFonts w:ascii="Times New Roman" w:cs="Times New Roman" w:eastAsia="Times New Roman" w:hAnsi="Times New Roman"/>
                <w:sz w:val="18"/>
                <w:szCs w:val="18"/>
                <w:color w:val="auto"/>
              </w:rPr>
              <w:t>Gain on interest rate swap termination</w:t>
            </w:r>
          </w:p>
        </w:tc>
        <w:tc>
          <w:tcPr>
            <w:tcW w:w="300" w:type="dxa"/>
            <w:vAlign w:val="bottom"/>
            <w:shd w:val="clear" w:color="auto" w:fill="E9E9E9"/>
          </w:tcPr>
          <w:p>
            <w:pPr>
              <w:spacing w:after="0"/>
              <w:rPr>
                <w:sz w:val="21"/>
                <w:szCs w:val="21"/>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E9E9E9"/>
          </w:tcPr>
          <w:p>
            <w:pPr>
              <w:spacing w:after="0"/>
              <w:rPr>
                <w:sz w:val="21"/>
                <w:szCs w:val="21"/>
                <w:color w:val="auto"/>
              </w:rPr>
            </w:pPr>
          </w:p>
        </w:tc>
        <w:tc>
          <w:tcPr>
            <w:tcW w:w="380" w:type="dxa"/>
            <w:vAlign w:val="bottom"/>
            <w:shd w:val="clear" w:color="auto" w:fill="E9E9E9"/>
          </w:tcPr>
          <w:p>
            <w:pPr>
              <w:spacing w:after="0"/>
              <w:rPr>
                <w:sz w:val="21"/>
                <w:szCs w:val="21"/>
                <w:color w:val="auto"/>
              </w:rPr>
            </w:pPr>
          </w:p>
        </w:tc>
        <w:tc>
          <w:tcPr>
            <w:tcW w:w="9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(5,494)</w:t>
            </w:r>
          </w:p>
        </w:tc>
      </w:tr>
      <w:tr>
        <w:trPr>
          <w:trHeight w:val="249"/>
        </w:trPr>
        <w:tc>
          <w:tcPr>
            <w:tcW w:w="6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debt related costs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r>
      <w:tr>
        <w:trPr>
          <w:trHeight w:val="251"/>
        </w:trPr>
        <w:tc>
          <w:tcPr>
            <w:tcW w:w="6500" w:type="dxa"/>
            <w:vAlign w:val="bottom"/>
            <w:shd w:val="clear" w:color="auto" w:fill="E9E9E9"/>
          </w:tcPr>
          <w:p>
            <w:pPr>
              <w:ind w:left="260"/>
              <w:spacing w:after="0"/>
              <w:rPr>
                <w:sz w:val="20"/>
                <w:szCs w:val="20"/>
                <w:color w:val="auto"/>
              </w:rPr>
            </w:pPr>
            <w:r>
              <w:rPr>
                <w:rFonts w:ascii="Times New Roman" w:cs="Times New Roman" w:eastAsia="Times New Roman" w:hAnsi="Times New Roman"/>
                <w:sz w:val="18"/>
                <w:szCs w:val="18"/>
                <w:color w:val="auto"/>
              </w:rPr>
              <w:t>Changes in fair value of contingent assets and liabilities</w:t>
            </w:r>
          </w:p>
        </w:tc>
        <w:tc>
          <w:tcPr>
            <w:tcW w:w="300" w:type="dxa"/>
            <w:vAlign w:val="bottom"/>
            <w:shd w:val="clear" w:color="auto" w:fill="E9E9E9"/>
          </w:tcPr>
          <w:p>
            <w:pPr>
              <w:spacing w:after="0"/>
              <w:rPr>
                <w:sz w:val="21"/>
                <w:szCs w:val="21"/>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8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(9,275)</w:t>
            </w:r>
          </w:p>
        </w:tc>
        <w:tc>
          <w:tcPr>
            <w:tcW w:w="60" w:type="dxa"/>
            <w:vAlign w:val="bottom"/>
            <w:shd w:val="clear" w:color="auto" w:fill="E9E9E9"/>
          </w:tcPr>
          <w:p>
            <w:pPr>
              <w:spacing w:after="0"/>
              <w:rPr>
                <w:sz w:val="21"/>
                <w:szCs w:val="21"/>
                <w:color w:val="auto"/>
              </w:rPr>
            </w:pPr>
          </w:p>
        </w:tc>
        <w:tc>
          <w:tcPr>
            <w:tcW w:w="380" w:type="dxa"/>
            <w:vAlign w:val="bottom"/>
            <w:shd w:val="clear" w:color="auto" w:fill="E9E9E9"/>
          </w:tcPr>
          <w:p>
            <w:pPr>
              <w:spacing w:after="0"/>
              <w:rPr>
                <w:sz w:val="21"/>
                <w:szCs w:val="21"/>
                <w:color w:val="auto"/>
              </w:rPr>
            </w:pPr>
          </w:p>
        </w:tc>
        <w:tc>
          <w:tcPr>
            <w:tcW w:w="9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34,700</w:t>
            </w:r>
          </w:p>
        </w:tc>
      </w:tr>
      <w:tr>
        <w:trPr>
          <w:trHeight w:val="249"/>
        </w:trPr>
        <w:tc>
          <w:tcPr>
            <w:tcW w:w="6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Charges incurred in connection with acquired IPR&amp;D</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260,000</w:t>
            </w:r>
          </w:p>
        </w:tc>
      </w:tr>
      <w:tr>
        <w:trPr>
          <w:trHeight w:val="251"/>
        </w:trPr>
        <w:tc>
          <w:tcPr>
            <w:tcW w:w="6500" w:type="dxa"/>
            <w:vAlign w:val="bottom"/>
            <w:shd w:val="clear" w:color="auto" w:fill="E9E9E9"/>
          </w:tcPr>
          <w:p>
            <w:pPr>
              <w:ind w:left="2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shd w:val="clear" w:color="auto" w:fill="E9E9E9"/>
          </w:tcPr>
          <w:p>
            <w:pPr>
              <w:spacing w:after="0"/>
              <w:rPr>
                <w:sz w:val="21"/>
                <w:szCs w:val="21"/>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E9E9E9"/>
          </w:tcPr>
          <w:p>
            <w:pPr>
              <w:spacing w:after="0"/>
              <w:rPr>
                <w:sz w:val="21"/>
                <w:szCs w:val="21"/>
                <w:color w:val="auto"/>
              </w:rPr>
            </w:pPr>
          </w:p>
        </w:tc>
        <w:tc>
          <w:tcPr>
            <w:tcW w:w="380" w:type="dxa"/>
            <w:vAlign w:val="bottom"/>
            <w:shd w:val="clear" w:color="auto" w:fill="E9E9E9"/>
          </w:tcPr>
          <w:p>
            <w:pPr>
              <w:spacing w:after="0"/>
              <w:rPr>
                <w:sz w:val="21"/>
                <w:szCs w:val="21"/>
                <w:color w:val="auto"/>
              </w:rPr>
            </w:pPr>
          </w:p>
        </w:tc>
        <w:tc>
          <w:tcPr>
            <w:tcW w:w="9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49"/>
        </w:trPr>
        <w:tc>
          <w:tcPr>
            <w:tcW w:w="6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7,914</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7,145</w:t>
            </w:r>
          </w:p>
        </w:tc>
      </w:tr>
      <w:tr>
        <w:trPr>
          <w:trHeight w:val="251"/>
        </w:trPr>
        <w:tc>
          <w:tcPr>
            <w:tcW w:w="6500" w:type="dxa"/>
            <w:vAlign w:val="bottom"/>
            <w:shd w:val="clear" w:color="auto" w:fill="E9E9E9"/>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E9E9E9"/>
          </w:tcPr>
          <w:p>
            <w:pPr>
              <w:spacing w:after="0"/>
              <w:rPr>
                <w:sz w:val="21"/>
                <w:szCs w:val="21"/>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76,393</w:t>
            </w:r>
          </w:p>
        </w:tc>
        <w:tc>
          <w:tcPr>
            <w:tcW w:w="8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50,507</w:t>
            </w:r>
          </w:p>
        </w:tc>
        <w:tc>
          <w:tcPr>
            <w:tcW w:w="60" w:type="dxa"/>
            <w:vAlign w:val="bottom"/>
            <w:shd w:val="clear" w:color="auto" w:fill="E9E9E9"/>
          </w:tcPr>
          <w:p>
            <w:pPr>
              <w:spacing w:after="0"/>
              <w:rPr>
                <w:sz w:val="21"/>
                <w:szCs w:val="21"/>
                <w:color w:val="auto"/>
              </w:rPr>
            </w:pPr>
          </w:p>
        </w:tc>
        <w:tc>
          <w:tcPr>
            <w:tcW w:w="380" w:type="dxa"/>
            <w:vAlign w:val="bottom"/>
            <w:shd w:val="clear" w:color="auto" w:fill="E9E9E9"/>
          </w:tcPr>
          <w:p>
            <w:pPr>
              <w:spacing w:after="0"/>
              <w:rPr>
                <w:sz w:val="21"/>
                <w:szCs w:val="21"/>
                <w:color w:val="auto"/>
              </w:rPr>
            </w:pPr>
          </w:p>
        </w:tc>
        <w:tc>
          <w:tcPr>
            <w:tcW w:w="9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29,262</w:t>
            </w:r>
          </w:p>
        </w:tc>
      </w:tr>
      <w:tr>
        <w:trPr>
          <w:trHeight w:val="249"/>
        </w:trPr>
        <w:tc>
          <w:tcPr>
            <w:tcW w:w="6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 on disposal of assets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1"/>
        </w:trPr>
        <w:tc>
          <w:tcPr>
            <w:tcW w:w="6500" w:type="dxa"/>
            <w:vAlign w:val="bottom"/>
            <w:shd w:val="clear" w:color="auto" w:fill="E9E9E9"/>
          </w:tcPr>
          <w:p>
            <w:pPr>
              <w:ind w:left="260"/>
              <w:spacing w:after="0"/>
              <w:rPr>
                <w:sz w:val="20"/>
                <w:szCs w:val="20"/>
                <w:color w:val="auto"/>
              </w:rPr>
            </w:pPr>
            <w:r>
              <w:rPr>
                <w:rFonts w:ascii="Times New Roman" w:cs="Times New Roman" w:eastAsia="Times New Roman" w:hAnsi="Times New Roman"/>
                <w:sz w:val="18"/>
                <w:szCs w:val="18"/>
                <w:color w:val="auto"/>
                <w:w w:val="99"/>
              </w:rPr>
              <w:t>Gain on sale of RELISTOR licensed intangible asset associated with net sales royalties</w:t>
            </w:r>
          </w:p>
        </w:tc>
        <w:tc>
          <w:tcPr>
            <w:tcW w:w="300" w:type="dxa"/>
            <w:vAlign w:val="bottom"/>
            <w:shd w:val="clear" w:color="auto" w:fill="E9E9E9"/>
          </w:tcPr>
          <w:p>
            <w:pPr>
              <w:spacing w:after="0"/>
              <w:rPr>
                <w:sz w:val="21"/>
                <w:szCs w:val="21"/>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(51,789)</w:t>
            </w:r>
          </w:p>
        </w:tc>
        <w:tc>
          <w:tcPr>
            <w:tcW w:w="60" w:type="dxa"/>
            <w:vAlign w:val="bottom"/>
            <w:shd w:val="clear" w:color="auto" w:fill="E9E9E9"/>
          </w:tcPr>
          <w:p>
            <w:pPr>
              <w:spacing w:after="0"/>
              <w:rPr>
                <w:sz w:val="21"/>
                <w:szCs w:val="21"/>
                <w:color w:val="auto"/>
              </w:rPr>
            </w:pPr>
          </w:p>
        </w:tc>
        <w:tc>
          <w:tcPr>
            <w:tcW w:w="380" w:type="dxa"/>
            <w:vAlign w:val="bottom"/>
            <w:shd w:val="clear" w:color="auto" w:fill="E9E9E9"/>
          </w:tcPr>
          <w:p>
            <w:pPr>
              <w:spacing w:after="0"/>
              <w:rPr>
                <w:sz w:val="21"/>
                <w:szCs w:val="21"/>
                <w:color w:val="auto"/>
              </w:rPr>
            </w:pPr>
          </w:p>
        </w:tc>
        <w:tc>
          <w:tcPr>
            <w:tcW w:w="9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6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loss on investment in equity securities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1"/>
        </w:trPr>
        <w:tc>
          <w:tcPr>
            <w:tcW w:w="6500" w:type="dxa"/>
            <w:vAlign w:val="bottom"/>
            <w:shd w:val="clear" w:color="auto" w:fill="E9E9E9"/>
          </w:tcPr>
          <w:p>
            <w:pPr>
              <w:ind w:left="260"/>
              <w:spacing w:after="0"/>
              <w:rPr>
                <w:sz w:val="20"/>
                <w:szCs w:val="20"/>
                <w:color w:val="auto"/>
              </w:rPr>
            </w:pPr>
            <w:r>
              <w:rPr>
                <w:rFonts w:ascii="Times New Roman" w:cs="Times New Roman" w:eastAsia="Times New Roman" w:hAnsi="Times New Roman"/>
                <w:sz w:val="18"/>
                <w:szCs w:val="18"/>
                <w:color w:val="auto"/>
              </w:rPr>
              <w:t>Deferred taxes</w:t>
            </w:r>
          </w:p>
        </w:tc>
        <w:tc>
          <w:tcPr>
            <w:tcW w:w="300" w:type="dxa"/>
            <w:vAlign w:val="bottom"/>
            <w:shd w:val="clear" w:color="auto" w:fill="E9E9E9"/>
          </w:tcPr>
          <w:p>
            <w:pPr>
              <w:spacing w:after="0"/>
              <w:rPr>
                <w:sz w:val="21"/>
                <w:szCs w:val="21"/>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(30,029)</w:t>
            </w:r>
          </w:p>
        </w:tc>
        <w:tc>
          <w:tcPr>
            <w:tcW w:w="8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(55,632)</w:t>
            </w:r>
          </w:p>
        </w:tc>
        <w:tc>
          <w:tcPr>
            <w:tcW w:w="60" w:type="dxa"/>
            <w:vAlign w:val="bottom"/>
            <w:shd w:val="clear" w:color="auto" w:fill="E9E9E9"/>
          </w:tcPr>
          <w:p>
            <w:pPr>
              <w:spacing w:after="0"/>
              <w:rPr>
                <w:sz w:val="21"/>
                <w:szCs w:val="21"/>
                <w:color w:val="auto"/>
              </w:rPr>
            </w:pPr>
          </w:p>
        </w:tc>
        <w:tc>
          <w:tcPr>
            <w:tcW w:w="380" w:type="dxa"/>
            <w:vAlign w:val="bottom"/>
            <w:shd w:val="clear" w:color="auto" w:fill="E9E9E9"/>
          </w:tcPr>
          <w:p>
            <w:pPr>
              <w:spacing w:after="0"/>
              <w:rPr>
                <w:sz w:val="21"/>
                <w:szCs w:val="21"/>
                <w:color w:val="auto"/>
              </w:rPr>
            </w:pPr>
          </w:p>
        </w:tc>
        <w:tc>
          <w:tcPr>
            <w:tcW w:w="9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(48,016)</w:t>
            </w:r>
          </w:p>
        </w:tc>
      </w:tr>
      <w:tr>
        <w:trPr>
          <w:trHeight w:val="249"/>
        </w:trPr>
        <w:tc>
          <w:tcPr>
            <w:tcW w:w="6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Long-term indemnification receivable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9,554</w:t>
            </w:r>
          </w:p>
        </w:tc>
      </w:tr>
      <w:tr>
        <w:trPr>
          <w:trHeight w:val="251"/>
        </w:trPr>
        <w:tc>
          <w:tcPr>
            <w:tcW w:w="6500" w:type="dxa"/>
            <w:vAlign w:val="bottom"/>
            <w:shd w:val="clear" w:color="auto" w:fill="E9E9E9"/>
          </w:tcPr>
          <w:p>
            <w:pPr>
              <w:ind w:left="260"/>
              <w:spacing w:after="0"/>
              <w:rPr>
                <w:sz w:val="20"/>
                <w:szCs w:val="20"/>
                <w:color w:val="auto"/>
              </w:rPr>
            </w:pPr>
            <w:r>
              <w:rPr>
                <w:rFonts w:ascii="Times New Roman" w:cs="Times New Roman" w:eastAsia="Times New Roman" w:hAnsi="Times New Roman"/>
                <w:sz w:val="18"/>
                <w:szCs w:val="18"/>
                <w:color w:val="auto"/>
              </w:rPr>
              <w:t>Long-term income tax payable and other long-term liabilities</w:t>
            </w:r>
          </w:p>
        </w:tc>
        <w:tc>
          <w:tcPr>
            <w:tcW w:w="300" w:type="dxa"/>
            <w:vAlign w:val="bottom"/>
            <w:shd w:val="clear" w:color="auto" w:fill="E9E9E9"/>
          </w:tcPr>
          <w:p>
            <w:pPr>
              <w:spacing w:after="0"/>
              <w:rPr>
                <w:sz w:val="21"/>
                <w:szCs w:val="21"/>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8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60" w:type="dxa"/>
            <w:vAlign w:val="bottom"/>
            <w:shd w:val="clear" w:color="auto" w:fill="E9E9E9"/>
          </w:tcPr>
          <w:p>
            <w:pPr>
              <w:spacing w:after="0"/>
              <w:rPr>
                <w:sz w:val="21"/>
                <w:szCs w:val="21"/>
                <w:color w:val="auto"/>
              </w:rPr>
            </w:pPr>
          </w:p>
        </w:tc>
        <w:tc>
          <w:tcPr>
            <w:tcW w:w="380" w:type="dxa"/>
            <w:vAlign w:val="bottom"/>
            <w:shd w:val="clear" w:color="auto" w:fill="E9E9E9"/>
          </w:tcPr>
          <w:p>
            <w:pPr>
              <w:spacing w:after="0"/>
              <w:rPr>
                <w:sz w:val="21"/>
                <w:szCs w:val="21"/>
                <w:color w:val="auto"/>
              </w:rPr>
            </w:pPr>
          </w:p>
        </w:tc>
        <w:tc>
          <w:tcPr>
            <w:tcW w:w="9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(12,477)</w:t>
            </w:r>
          </w:p>
        </w:tc>
      </w:tr>
      <w:tr>
        <w:trPr>
          <w:trHeight w:val="249"/>
        </w:trPr>
        <w:tc>
          <w:tcPr>
            <w:tcW w:w="6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w:t>
            </w:r>
          </w:p>
        </w:tc>
      </w:tr>
      <w:tr>
        <w:trPr>
          <w:trHeight w:val="251"/>
        </w:trPr>
        <w:tc>
          <w:tcPr>
            <w:tcW w:w="6500" w:type="dxa"/>
            <w:vAlign w:val="bottom"/>
            <w:shd w:val="clear" w:color="auto" w:fill="E9E9E9"/>
          </w:tcPr>
          <w:p>
            <w:pPr>
              <w:ind w:left="40"/>
              <w:spacing w:after="0"/>
              <w:rPr>
                <w:sz w:val="20"/>
                <w:szCs w:val="20"/>
                <w:color w:val="auto"/>
              </w:rPr>
            </w:pPr>
            <w:r>
              <w:rPr>
                <w:rFonts w:ascii="Times New Roman" w:cs="Times New Roman" w:eastAsia="Times New Roman" w:hAnsi="Times New Roman"/>
                <w:sz w:val="18"/>
                <w:szCs w:val="18"/>
                <w:color w:val="auto"/>
              </w:rPr>
              <w:t>Changes in assets and liabilities which provided (used) cash:</w:t>
            </w:r>
          </w:p>
        </w:tc>
        <w:tc>
          <w:tcPr>
            <w:tcW w:w="300" w:type="dxa"/>
            <w:vAlign w:val="bottom"/>
            <w:shd w:val="clear" w:color="auto" w:fill="E9E9E9"/>
          </w:tcPr>
          <w:p>
            <w:pPr>
              <w:spacing w:after="0"/>
              <w:rPr>
                <w:sz w:val="21"/>
                <w:szCs w:val="21"/>
                <w:color w:val="auto"/>
              </w:rPr>
            </w:pPr>
          </w:p>
        </w:tc>
        <w:tc>
          <w:tcPr>
            <w:tcW w:w="98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98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380" w:type="dxa"/>
            <w:vAlign w:val="bottom"/>
            <w:shd w:val="clear" w:color="auto" w:fill="E9E9E9"/>
          </w:tcPr>
          <w:p>
            <w:pPr>
              <w:spacing w:after="0"/>
              <w:rPr>
                <w:sz w:val="21"/>
                <w:szCs w:val="21"/>
                <w:color w:val="auto"/>
              </w:rPr>
            </w:pPr>
          </w:p>
        </w:tc>
        <w:tc>
          <w:tcPr>
            <w:tcW w:w="900" w:type="dxa"/>
            <w:vAlign w:val="bottom"/>
            <w:shd w:val="clear" w:color="auto" w:fill="E9E9E9"/>
          </w:tcPr>
          <w:p>
            <w:pPr>
              <w:spacing w:after="0"/>
              <w:rPr>
                <w:sz w:val="21"/>
                <w:szCs w:val="21"/>
                <w:color w:val="auto"/>
              </w:rPr>
            </w:pPr>
          </w:p>
        </w:tc>
      </w:tr>
      <w:tr>
        <w:trPr>
          <w:trHeight w:val="249"/>
        </w:trPr>
        <w:tc>
          <w:tcPr>
            <w:tcW w:w="6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(68,637)</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(128,460)</w:t>
            </w:r>
          </w:p>
        </w:tc>
      </w:tr>
      <w:tr>
        <w:trPr>
          <w:trHeight w:val="251"/>
        </w:trPr>
        <w:tc>
          <w:tcPr>
            <w:tcW w:w="6500" w:type="dxa"/>
            <w:vAlign w:val="bottom"/>
            <w:shd w:val="clear" w:color="auto" w:fill="E9E9E9"/>
          </w:tcPr>
          <w:p>
            <w:pPr>
              <w:ind w:left="26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shd w:val="clear" w:color="auto" w:fill="E9E9E9"/>
          </w:tcPr>
          <w:p>
            <w:pPr>
              <w:spacing w:after="0"/>
              <w:rPr>
                <w:sz w:val="21"/>
                <w:szCs w:val="21"/>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8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(36,220)</w:t>
            </w:r>
          </w:p>
        </w:tc>
        <w:tc>
          <w:tcPr>
            <w:tcW w:w="60" w:type="dxa"/>
            <w:vAlign w:val="bottom"/>
            <w:shd w:val="clear" w:color="auto" w:fill="E9E9E9"/>
          </w:tcPr>
          <w:p>
            <w:pPr>
              <w:spacing w:after="0"/>
              <w:rPr>
                <w:sz w:val="21"/>
                <w:szCs w:val="21"/>
                <w:color w:val="auto"/>
              </w:rPr>
            </w:pPr>
          </w:p>
        </w:tc>
        <w:tc>
          <w:tcPr>
            <w:tcW w:w="380" w:type="dxa"/>
            <w:vAlign w:val="bottom"/>
            <w:shd w:val="clear" w:color="auto" w:fill="E9E9E9"/>
          </w:tcPr>
          <w:p>
            <w:pPr>
              <w:spacing w:after="0"/>
              <w:rPr>
                <w:sz w:val="21"/>
                <w:szCs w:val="21"/>
                <w:color w:val="auto"/>
              </w:rPr>
            </w:pPr>
          </w:p>
        </w:tc>
        <w:tc>
          <w:tcPr>
            <w:tcW w:w="9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(7,508)</w:t>
            </w:r>
          </w:p>
        </w:tc>
      </w:tr>
      <w:tr>
        <w:trPr>
          <w:trHeight w:val="249"/>
        </w:trPr>
        <w:tc>
          <w:tcPr>
            <w:tcW w:w="6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w:t>
            </w:r>
          </w:p>
        </w:tc>
      </w:tr>
      <w:tr>
        <w:trPr>
          <w:trHeight w:val="251"/>
        </w:trPr>
        <w:tc>
          <w:tcPr>
            <w:tcW w:w="6500" w:type="dxa"/>
            <w:vAlign w:val="bottom"/>
            <w:shd w:val="clear" w:color="auto" w:fill="E9E9E9"/>
          </w:tcPr>
          <w:p>
            <w:pPr>
              <w:ind w:left="260"/>
              <w:spacing w:after="0"/>
              <w:rPr>
                <w:sz w:val="20"/>
                <w:szCs w:val="20"/>
                <w:color w:val="auto"/>
              </w:rPr>
            </w:pPr>
            <w:r>
              <w:rPr>
                <w:rFonts w:ascii="Times New Roman" w:cs="Times New Roman" w:eastAsia="Times New Roman" w:hAnsi="Times New Roman"/>
                <w:sz w:val="18"/>
                <w:szCs w:val="18"/>
                <w:color w:val="auto"/>
              </w:rPr>
              <w:t>Other long-term assets</w:t>
            </w:r>
          </w:p>
        </w:tc>
        <w:tc>
          <w:tcPr>
            <w:tcW w:w="300" w:type="dxa"/>
            <w:vAlign w:val="bottom"/>
            <w:shd w:val="clear" w:color="auto" w:fill="E9E9E9"/>
          </w:tcPr>
          <w:p>
            <w:pPr>
              <w:spacing w:after="0"/>
              <w:rPr>
                <w:sz w:val="21"/>
                <w:szCs w:val="21"/>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E9E9E9"/>
          </w:tcPr>
          <w:p>
            <w:pPr>
              <w:spacing w:after="0"/>
              <w:rPr>
                <w:sz w:val="21"/>
                <w:szCs w:val="21"/>
                <w:color w:val="auto"/>
              </w:rPr>
            </w:pPr>
          </w:p>
        </w:tc>
        <w:tc>
          <w:tcPr>
            <w:tcW w:w="380" w:type="dxa"/>
            <w:vAlign w:val="bottom"/>
            <w:shd w:val="clear" w:color="auto" w:fill="E9E9E9"/>
          </w:tcPr>
          <w:p>
            <w:pPr>
              <w:spacing w:after="0"/>
              <w:rPr>
                <w:sz w:val="21"/>
                <w:szCs w:val="21"/>
                <w:color w:val="auto"/>
              </w:rPr>
            </w:pPr>
          </w:p>
        </w:tc>
        <w:tc>
          <w:tcPr>
            <w:tcW w:w="9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49"/>
        </w:trPr>
        <w:tc>
          <w:tcPr>
            <w:tcW w:w="6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17,189</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41"/>
        </w:trPr>
        <w:tc>
          <w:tcPr>
            <w:tcW w:w="6500" w:type="dxa"/>
            <w:vAlign w:val="bottom"/>
            <w:tcBorders>
              <w:bottom w:val="single" w:sz="8" w:color="E9E9E9"/>
            </w:tcBorders>
            <w:shd w:val="clear" w:color="auto" w:fill="E9E9E9"/>
          </w:tcPr>
          <w:p>
            <w:pPr>
              <w:ind w:left="2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00" w:type="dxa"/>
            <w:vAlign w:val="bottom"/>
            <w:tcBorders>
              <w:bottom w:val="single" w:sz="8" w:color="auto"/>
            </w:tcBorders>
            <w:shd w:val="clear" w:color="auto" w:fill="E9E9E9"/>
          </w:tcPr>
          <w:p>
            <w:pPr>
              <w:spacing w:after="0"/>
              <w:rPr>
                <w:sz w:val="20"/>
                <w:szCs w:val="20"/>
                <w:color w:val="auto"/>
              </w:rPr>
            </w:pPr>
          </w:p>
        </w:tc>
        <w:tc>
          <w:tcPr>
            <w:tcW w:w="9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46,767</w:t>
            </w:r>
          </w:p>
        </w:tc>
        <w:tc>
          <w:tcPr>
            <w:tcW w:w="80" w:type="dxa"/>
            <w:vAlign w:val="bottom"/>
            <w:tcBorders>
              <w:bottom w:val="single" w:sz="8" w:color="E9E9E9"/>
            </w:tcBorders>
            <w:shd w:val="clear" w:color="auto" w:fill="E9E9E9"/>
          </w:tcPr>
          <w:p>
            <w:pPr>
              <w:spacing w:after="0"/>
              <w:rPr>
                <w:sz w:val="20"/>
                <w:szCs w:val="20"/>
                <w:color w:val="auto"/>
              </w:rPr>
            </w:pPr>
          </w:p>
        </w:tc>
        <w:tc>
          <w:tcPr>
            <w:tcW w:w="300" w:type="dxa"/>
            <w:vAlign w:val="bottom"/>
            <w:tcBorders>
              <w:bottom w:val="single" w:sz="8" w:color="auto"/>
            </w:tcBorders>
            <w:shd w:val="clear" w:color="auto" w:fill="E9E9E9"/>
          </w:tcPr>
          <w:p>
            <w:pPr>
              <w:spacing w:after="0"/>
              <w:rPr>
                <w:sz w:val="20"/>
                <w:szCs w:val="20"/>
                <w:color w:val="auto"/>
              </w:rPr>
            </w:pPr>
          </w:p>
        </w:tc>
        <w:tc>
          <w:tcPr>
            <w:tcW w:w="9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(81,114)</w:t>
            </w:r>
          </w:p>
        </w:tc>
        <w:tc>
          <w:tcPr>
            <w:tcW w:w="60" w:type="dxa"/>
            <w:vAlign w:val="bottom"/>
            <w:tcBorders>
              <w:bottom w:val="single" w:sz="8" w:color="E9E9E9"/>
            </w:tcBorders>
            <w:shd w:val="clear" w:color="auto" w:fill="E9E9E9"/>
          </w:tcPr>
          <w:p>
            <w:pPr>
              <w:spacing w:after="0"/>
              <w:rPr>
                <w:sz w:val="20"/>
                <w:szCs w:val="20"/>
                <w:color w:val="auto"/>
              </w:rPr>
            </w:pPr>
          </w:p>
        </w:tc>
        <w:tc>
          <w:tcPr>
            <w:tcW w:w="380" w:type="dxa"/>
            <w:vAlign w:val="bottom"/>
            <w:tcBorders>
              <w:bottom w:val="single" w:sz="8" w:color="auto"/>
            </w:tcBorders>
            <w:shd w:val="clear" w:color="auto" w:fill="E9E9E9"/>
          </w:tcPr>
          <w:p>
            <w:pPr>
              <w:spacing w:after="0"/>
              <w:rPr>
                <w:sz w:val="20"/>
                <w:szCs w:val="20"/>
                <w:color w:val="auto"/>
              </w:rPr>
            </w:pPr>
          </w:p>
        </w:tc>
        <w:tc>
          <w:tcPr>
            <w:tcW w:w="90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63,575</w:t>
            </w:r>
          </w:p>
        </w:tc>
      </w:tr>
      <w:tr>
        <w:trPr>
          <w:trHeight w:val="230"/>
        </w:trPr>
        <w:tc>
          <w:tcPr>
            <w:tcW w:w="6500" w:type="dxa"/>
            <w:vAlign w:val="bottom"/>
            <w:tcBorders>
              <w:bottom w:val="single" w:sz="8" w:color="E9E9E9"/>
            </w:tcBorders>
          </w:tcPr>
          <w:p>
            <w:pPr>
              <w:ind w:left="5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544,750</w:t>
            </w:r>
          </w:p>
        </w:tc>
        <w:tc>
          <w:tcPr>
            <w:tcW w:w="80" w:type="dxa"/>
            <w:vAlign w:val="bottom"/>
            <w:tcBorders>
              <w:bottom w:val="single" w:sz="8" w:color="E9E9E9"/>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305,260</w:t>
            </w:r>
          </w:p>
        </w:tc>
        <w:tc>
          <w:tcPr>
            <w:tcW w:w="60" w:type="dxa"/>
            <w:vAlign w:val="bottom"/>
            <w:tcBorders>
              <w:bottom w:val="single" w:sz="8" w:color="E9E9E9"/>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281,781</w:t>
            </w:r>
          </w:p>
        </w:tc>
      </w:tr>
      <w:tr>
        <w:trPr>
          <w:trHeight w:val="240"/>
        </w:trPr>
        <w:tc>
          <w:tcPr>
            <w:tcW w:w="6500" w:type="dxa"/>
            <w:vAlign w:val="bottom"/>
            <w:shd w:val="clear" w:color="auto" w:fill="E9E9E9"/>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00" w:type="dxa"/>
            <w:vAlign w:val="bottom"/>
            <w:shd w:val="clear" w:color="auto" w:fill="E9E9E9"/>
          </w:tcPr>
          <w:p>
            <w:pPr>
              <w:spacing w:after="0"/>
              <w:rPr>
                <w:sz w:val="20"/>
                <w:szCs w:val="20"/>
                <w:color w:val="auto"/>
              </w:rPr>
            </w:pPr>
          </w:p>
        </w:tc>
        <w:tc>
          <w:tcPr>
            <w:tcW w:w="980" w:type="dxa"/>
            <w:vAlign w:val="bottom"/>
            <w:shd w:val="clear" w:color="auto" w:fill="E9E9E9"/>
          </w:tcPr>
          <w:p>
            <w:pPr>
              <w:spacing w:after="0"/>
              <w:rPr>
                <w:sz w:val="20"/>
                <w:szCs w:val="20"/>
                <w:color w:val="auto"/>
              </w:rPr>
            </w:pPr>
          </w:p>
        </w:tc>
        <w:tc>
          <w:tcPr>
            <w:tcW w:w="80" w:type="dxa"/>
            <w:vAlign w:val="bottom"/>
            <w:shd w:val="clear" w:color="auto" w:fill="E9E9E9"/>
          </w:tcPr>
          <w:p>
            <w:pPr>
              <w:spacing w:after="0"/>
              <w:rPr>
                <w:sz w:val="20"/>
                <w:szCs w:val="20"/>
                <w:color w:val="auto"/>
              </w:rPr>
            </w:pPr>
          </w:p>
        </w:tc>
        <w:tc>
          <w:tcPr>
            <w:tcW w:w="300" w:type="dxa"/>
            <w:vAlign w:val="bottom"/>
            <w:shd w:val="clear" w:color="auto" w:fill="E9E9E9"/>
          </w:tcPr>
          <w:p>
            <w:pPr>
              <w:spacing w:after="0"/>
              <w:rPr>
                <w:sz w:val="20"/>
                <w:szCs w:val="20"/>
                <w:color w:val="auto"/>
              </w:rPr>
            </w:pPr>
          </w:p>
        </w:tc>
        <w:tc>
          <w:tcPr>
            <w:tcW w:w="980" w:type="dxa"/>
            <w:vAlign w:val="bottom"/>
            <w:shd w:val="clear" w:color="auto" w:fill="E9E9E9"/>
          </w:tcPr>
          <w:p>
            <w:pPr>
              <w:spacing w:after="0"/>
              <w:rPr>
                <w:sz w:val="20"/>
                <w:szCs w:val="20"/>
                <w:color w:val="auto"/>
              </w:rPr>
            </w:pPr>
          </w:p>
        </w:tc>
        <w:tc>
          <w:tcPr>
            <w:tcW w:w="60" w:type="dxa"/>
            <w:vAlign w:val="bottom"/>
            <w:shd w:val="clear" w:color="auto" w:fill="E9E9E9"/>
          </w:tcPr>
          <w:p>
            <w:pPr>
              <w:spacing w:after="0"/>
              <w:rPr>
                <w:sz w:val="20"/>
                <w:szCs w:val="20"/>
                <w:color w:val="auto"/>
              </w:rPr>
            </w:pPr>
          </w:p>
        </w:tc>
        <w:tc>
          <w:tcPr>
            <w:tcW w:w="380" w:type="dxa"/>
            <w:vAlign w:val="bottom"/>
            <w:shd w:val="clear" w:color="auto" w:fill="E9E9E9"/>
          </w:tcPr>
          <w:p>
            <w:pPr>
              <w:spacing w:after="0"/>
              <w:rPr>
                <w:sz w:val="20"/>
                <w:szCs w:val="20"/>
                <w:color w:val="auto"/>
              </w:rPr>
            </w:pPr>
          </w:p>
        </w:tc>
        <w:tc>
          <w:tcPr>
            <w:tcW w:w="900" w:type="dxa"/>
            <w:vAlign w:val="bottom"/>
            <w:shd w:val="clear" w:color="auto" w:fill="E9E9E9"/>
          </w:tcPr>
          <w:p>
            <w:pPr>
              <w:spacing w:after="0"/>
              <w:rPr>
                <w:sz w:val="20"/>
                <w:szCs w:val="20"/>
                <w:color w:val="auto"/>
              </w:rPr>
            </w:pPr>
          </w:p>
        </w:tc>
      </w:tr>
      <w:tr>
        <w:trPr>
          <w:trHeight w:val="249"/>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(51,625)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(46,555)</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(18,347)</w:t>
            </w:r>
          </w:p>
        </w:tc>
      </w:tr>
      <w:tr>
        <w:trPr>
          <w:trHeight w:val="251"/>
        </w:trPr>
        <w:tc>
          <w:tcPr>
            <w:tcW w:w="6500" w:type="dxa"/>
            <w:vAlign w:val="bottom"/>
            <w:shd w:val="clear" w:color="auto" w:fill="E9E9E9"/>
          </w:tcPr>
          <w:p>
            <w:pPr>
              <w:ind w:left="40"/>
              <w:spacing w:after="0"/>
              <w:rPr>
                <w:sz w:val="20"/>
                <w:szCs w:val="20"/>
                <w:color w:val="auto"/>
              </w:rPr>
            </w:pPr>
            <w:r>
              <w:rPr>
                <w:rFonts w:ascii="Times New Roman" w:cs="Times New Roman" w:eastAsia="Times New Roman" w:hAnsi="Times New Roman"/>
                <w:sz w:val="18"/>
                <w:szCs w:val="18"/>
                <w:color w:val="auto"/>
              </w:rPr>
              <w:t>Proceeds from sale of assets, net</w:t>
            </w:r>
          </w:p>
        </w:tc>
        <w:tc>
          <w:tcPr>
            <w:tcW w:w="300" w:type="dxa"/>
            <w:vAlign w:val="bottom"/>
            <w:shd w:val="clear" w:color="auto" w:fill="E9E9E9"/>
          </w:tcPr>
          <w:p>
            <w:pPr>
              <w:spacing w:after="0"/>
              <w:rPr>
                <w:sz w:val="21"/>
                <w:szCs w:val="21"/>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17,767</w:t>
            </w:r>
          </w:p>
        </w:tc>
        <w:tc>
          <w:tcPr>
            <w:tcW w:w="8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97,839</w:t>
            </w:r>
          </w:p>
        </w:tc>
        <w:tc>
          <w:tcPr>
            <w:tcW w:w="60" w:type="dxa"/>
            <w:vAlign w:val="bottom"/>
            <w:shd w:val="clear" w:color="auto" w:fill="E9E9E9"/>
          </w:tcPr>
          <w:p>
            <w:pPr>
              <w:spacing w:after="0"/>
              <w:rPr>
                <w:sz w:val="21"/>
                <w:szCs w:val="21"/>
                <w:color w:val="auto"/>
              </w:rPr>
            </w:pPr>
          </w:p>
        </w:tc>
        <w:tc>
          <w:tcPr>
            <w:tcW w:w="380" w:type="dxa"/>
            <w:vAlign w:val="bottom"/>
            <w:shd w:val="clear" w:color="auto" w:fill="E9E9E9"/>
          </w:tcPr>
          <w:p>
            <w:pPr>
              <w:spacing w:after="0"/>
              <w:rPr>
                <w:sz w:val="21"/>
                <w:szCs w:val="21"/>
                <w:color w:val="auto"/>
              </w:rPr>
            </w:pPr>
          </w:p>
        </w:tc>
        <w:tc>
          <w:tcPr>
            <w:tcW w:w="9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1,800</w:t>
            </w:r>
          </w:p>
        </w:tc>
      </w:tr>
      <w:tr>
        <w:trPr>
          <w:trHeight w:val="249"/>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Purchases of investment in equity securities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(83,246)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1"/>
        </w:trPr>
        <w:tc>
          <w:tcPr>
            <w:tcW w:w="6500" w:type="dxa"/>
            <w:vAlign w:val="bottom"/>
            <w:shd w:val="clear" w:color="auto" w:fill="E9E9E9"/>
          </w:tcPr>
          <w:p>
            <w:pPr>
              <w:ind w:left="40"/>
              <w:spacing w:after="0"/>
              <w:rPr>
                <w:sz w:val="20"/>
                <w:szCs w:val="20"/>
                <w:color w:val="auto"/>
              </w:rPr>
            </w:pPr>
            <w:r>
              <w:rPr>
                <w:rFonts w:ascii="Times New Roman" w:cs="Times New Roman" w:eastAsia="Times New Roman" w:hAnsi="Times New Roman"/>
                <w:sz w:val="18"/>
                <w:szCs w:val="18"/>
                <w:color w:val="auto"/>
              </w:rPr>
              <w:t>Acquisition of assets, net</w:t>
            </w:r>
          </w:p>
        </w:tc>
        <w:tc>
          <w:tcPr>
            <w:tcW w:w="300" w:type="dxa"/>
            <w:vAlign w:val="bottom"/>
            <w:shd w:val="clear" w:color="auto" w:fill="E9E9E9"/>
          </w:tcPr>
          <w:p>
            <w:pPr>
              <w:spacing w:after="0"/>
              <w:rPr>
                <w:sz w:val="21"/>
                <w:szCs w:val="21"/>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(80,911)</w:t>
            </w:r>
          </w:p>
        </w:tc>
        <w:tc>
          <w:tcPr>
            <w:tcW w:w="8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(45,345)</w:t>
            </w:r>
          </w:p>
        </w:tc>
        <w:tc>
          <w:tcPr>
            <w:tcW w:w="60" w:type="dxa"/>
            <w:vAlign w:val="bottom"/>
            <w:shd w:val="clear" w:color="auto" w:fill="E9E9E9"/>
          </w:tcPr>
          <w:p>
            <w:pPr>
              <w:spacing w:after="0"/>
              <w:rPr>
                <w:sz w:val="21"/>
                <w:szCs w:val="21"/>
                <w:color w:val="auto"/>
              </w:rPr>
            </w:pPr>
          </w:p>
        </w:tc>
        <w:tc>
          <w:tcPr>
            <w:tcW w:w="380" w:type="dxa"/>
            <w:vAlign w:val="bottom"/>
            <w:shd w:val="clear" w:color="auto" w:fill="E9E9E9"/>
          </w:tcPr>
          <w:p>
            <w:pPr>
              <w:spacing w:after="0"/>
              <w:rPr>
                <w:sz w:val="21"/>
                <w:szCs w:val="21"/>
                <w:color w:val="auto"/>
              </w:rPr>
            </w:pPr>
          </w:p>
        </w:tc>
        <w:tc>
          <w:tcPr>
            <w:tcW w:w="9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(260,000)</w:t>
            </w:r>
          </w:p>
        </w:tc>
      </w:tr>
      <w:tr>
        <w:trPr>
          <w:trHeight w:val="240"/>
        </w:trPr>
        <w:tc>
          <w:tcPr>
            <w:tcW w:w="6500" w:type="dxa"/>
            <w:vAlign w:val="bottom"/>
            <w:tcBorders>
              <w:bottom w:val="single" w:sz="8" w:color="E9E9E9"/>
            </w:tcBorders>
          </w:tcPr>
          <w:p>
            <w:pPr>
              <w:ind w:left="40"/>
              <w:spacing w:after="0"/>
              <w:rPr>
                <w:sz w:val="20"/>
                <w:szCs w:val="20"/>
                <w:color w:val="auto"/>
              </w:rPr>
            </w:pPr>
            <w:r>
              <w:rPr>
                <w:rFonts w:ascii="Times New Roman" w:cs="Times New Roman" w:eastAsia="Times New Roman" w:hAnsi="Times New Roman"/>
                <w:sz w:val="18"/>
                <w:szCs w:val="18"/>
                <w:color w:val="auto"/>
              </w:rPr>
              <w:t>Acquisition of exclusive license option</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80" w:type="dxa"/>
            <w:vAlign w:val="bottom"/>
            <w:tcBorders>
              <w:bottom w:val="single" w:sz="8" w:color="E9E9E9"/>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E9E9E9"/>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500" w:type="dxa"/>
            <w:vAlign w:val="bottom"/>
            <w:tcBorders>
              <w:bottom w:val="single" w:sz="8" w:color="E9E9E9"/>
            </w:tcBorders>
            <w:shd w:val="clear" w:color="auto" w:fill="E9E9E9"/>
          </w:tcPr>
          <w:p>
            <w:pPr>
              <w:ind w:left="5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00" w:type="dxa"/>
            <w:vAlign w:val="bottom"/>
            <w:tcBorders>
              <w:bottom w:val="single" w:sz="8" w:color="auto"/>
            </w:tcBorders>
            <w:shd w:val="clear" w:color="auto" w:fill="E9E9E9"/>
          </w:tcPr>
          <w:p>
            <w:pPr>
              <w:spacing w:after="0"/>
              <w:rPr>
                <w:sz w:val="21"/>
                <w:szCs w:val="21"/>
                <w:color w:val="auto"/>
              </w:rPr>
            </w:pPr>
          </w:p>
        </w:tc>
        <w:tc>
          <w:tcPr>
            <w:tcW w:w="9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(226,015)</w:t>
            </w:r>
          </w:p>
        </w:tc>
        <w:tc>
          <w:tcPr>
            <w:tcW w:w="80" w:type="dxa"/>
            <w:vAlign w:val="bottom"/>
            <w:tcBorders>
              <w:bottom w:val="single" w:sz="8" w:color="E9E9E9"/>
            </w:tcBorders>
            <w:shd w:val="clear" w:color="auto" w:fill="E9E9E9"/>
          </w:tcPr>
          <w:p>
            <w:pPr>
              <w:spacing w:after="0"/>
              <w:rPr>
                <w:sz w:val="21"/>
                <w:szCs w:val="21"/>
                <w:color w:val="auto"/>
              </w:rPr>
            </w:pPr>
          </w:p>
        </w:tc>
        <w:tc>
          <w:tcPr>
            <w:tcW w:w="300" w:type="dxa"/>
            <w:vAlign w:val="bottom"/>
            <w:tcBorders>
              <w:bottom w:val="single" w:sz="8" w:color="auto"/>
            </w:tcBorders>
            <w:shd w:val="clear" w:color="auto" w:fill="E9E9E9"/>
          </w:tcPr>
          <w:p>
            <w:pPr>
              <w:spacing w:after="0"/>
              <w:rPr>
                <w:sz w:val="21"/>
                <w:szCs w:val="21"/>
                <w:color w:val="auto"/>
              </w:rPr>
            </w:pPr>
          </w:p>
        </w:tc>
        <w:tc>
          <w:tcPr>
            <w:tcW w:w="9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5,939</w:t>
            </w:r>
          </w:p>
        </w:tc>
        <w:tc>
          <w:tcPr>
            <w:tcW w:w="60" w:type="dxa"/>
            <w:vAlign w:val="bottom"/>
            <w:tcBorders>
              <w:bottom w:val="single" w:sz="8" w:color="E9E9E9"/>
            </w:tcBorders>
            <w:shd w:val="clear" w:color="auto" w:fill="E9E9E9"/>
          </w:tcPr>
          <w:p>
            <w:pPr>
              <w:spacing w:after="0"/>
              <w:rPr>
                <w:sz w:val="21"/>
                <w:szCs w:val="21"/>
                <w:color w:val="auto"/>
              </w:rPr>
            </w:pPr>
          </w:p>
        </w:tc>
        <w:tc>
          <w:tcPr>
            <w:tcW w:w="380" w:type="dxa"/>
            <w:vAlign w:val="bottom"/>
            <w:tcBorders>
              <w:bottom w:val="single" w:sz="8" w:color="auto"/>
            </w:tcBorders>
            <w:shd w:val="clear" w:color="auto" w:fill="E9E9E9"/>
          </w:tcPr>
          <w:p>
            <w:pPr>
              <w:spacing w:after="0"/>
              <w:rPr>
                <w:sz w:val="21"/>
                <w:szCs w:val="21"/>
                <w:color w:val="auto"/>
              </w:rPr>
            </w:pPr>
          </w:p>
        </w:tc>
        <w:tc>
          <w:tcPr>
            <w:tcW w:w="90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(276,547)</w:t>
            </w:r>
          </w:p>
        </w:tc>
      </w:tr>
      <w:tr>
        <w:trPr>
          <w:trHeight w:val="217"/>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2"/>
        </w:trPr>
        <w:tc>
          <w:tcPr>
            <w:tcW w:w="6500" w:type="dxa"/>
            <w:vAlign w:val="bottom"/>
            <w:shd w:val="clear" w:color="auto" w:fill="E9E9E9"/>
          </w:tcPr>
          <w:p>
            <w:pPr>
              <w:ind w:left="4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00" w:type="dxa"/>
            <w:vAlign w:val="bottom"/>
            <w:shd w:val="clear" w:color="auto" w:fill="E9E9E9"/>
          </w:tcPr>
          <w:p>
            <w:pPr>
              <w:spacing w:after="0"/>
              <w:rPr>
                <w:sz w:val="21"/>
                <w:szCs w:val="21"/>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8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60" w:type="dxa"/>
            <w:vAlign w:val="bottom"/>
            <w:shd w:val="clear" w:color="auto" w:fill="E9E9E9"/>
          </w:tcPr>
          <w:p>
            <w:pPr>
              <w:spacing w:after="0"/>
              <w:rPr>
                <w:sz w:val="21"/>
                <w:szCs w:val="21"/>
                <w:color w:val="auto"/>
              </w:rPr>
            </w:pPr>
          </w:p>
        </w:tc>
        <w:tc>
          <w:tcPr>
            <w:tcW w:w="380" w:type="dxa"/>
            <w:vAlign w:val="bottom"/>
            <w:shd w:val="clear" w:color="auto" w:fill="E9E9E9"/>
          </w:tcPr>
          <w:p>
            <w:pPr>
              <w:spacing w:after="0"/>
              <w:rPr>
                <w:sz w:val="21"/>
                <w:szCs w:val="21"/>
                <w:color w:val="auto"/>
              </w:rPr>
            </w:pPr>
          </w:p>
        </w:tc>
        <w:tc>
          <w:tcPr>
            <w:tcW w:w="9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1,375</w:t>
            </w:r>
          </w:p>
        </w:tc>
      </w:tr>
      <w:tr>
        <w:trPr>
          <w:trHeight w:val="249"/>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 issuance costs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51"/>
        </w:trPr>
        <w:tc>
          <w:tcPr>
            <w:tcW w:w="6500" w:type="dxa"/>
            <w:vAlign w:val="bottom"/>
            <w:shd w:val="clear" w:color="auto" w:fill="E9E9E9"/>
          </w:tcPr>
          <w:p>
            <w:pPr>
              <w:ind w:left="40"/>
              <w:spacing w:after="0"/>
              <w:rPr>
                <w:sz w:val="20"/>
                <w:szCs w:val="20"/>
                <w:color w:val="auto"/>
              </w:rPr>
            </w:pPr>
            <w:r>
              <w:rPr>
                <w:rFonts w:ascii="Times New Roman" w:cs="Times New Roman" w:eastAsia="Times New Roman" w:hAnsi="Times New Roman"/>
                <w:sz w:val="18"/>
                <w:szCs w:val="18"/>
                <w:color w:val="auto"/>
              </w:rPr>
              <w:t>Proceeds from issuance of long-term debt, net</w:t>
            </w:r>
          </w:p>
        </w:tc>
        <w:tc>
          <w:tcPr>
            <w:tcW w:w="300" w:type="dxa"/>
            <w:vAlign w:val="bottom"/>
            <w:shd w:val="clear" w:color="auto" w:fill="E9E9E9"/>
          </w:tcPr>
          <w:p>
            <w:pPr>
              <w:spacing w:after="0"/>
              <w:rPr>
                <w:sz w:val="21"/>
                <w:szCs w:val="21"/>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E9E9E9"/>
          </w:tcPr>
          <w:p>
            <w:pPr>
              <w:spacing w:after="0"/>
              <w:rPr>
                <w:sz w:val="21"/>
                <w:szCs w:val="21"/>
                <w:color w:val="auto"/>
              </w:rPr>
            </w:pPr>
          </w:p>
        </w:tc>
        <w:tc>
          <w:tcPr>
            <w:tcW w:w="380" w:type="dxa"/>
            <w:vAlign w:val="bottom"/>
            <w:shd w:val="clear" w:color="auto" w:fill="E9E9E9"/>
          </w:tcPr>
          <w:p>
            <w:pPr>
              <w:spacing w:after="0"/>
              <w:rPr>
                <w:sz w:val="21"/>
                <w:szCs w:val="21"/>
                <w:color w:val="auto"/>
              </w:rPr>
            </w:pPr>
          </w:p>
        </w:tc>
        <w:tc>
          <w:tcPr>
            <w:tcW w:w="9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557,750</w:t>
            </w:r>
          </w:p>
        </w:tc>
      </w:tr>
      <w:tr>
        <w:trPr>
          <w:trHeight w:val="250"/>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Contingent value rights settlement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r>
      <w:tr>
        <w:trPr>
          <w:trHeight w:val="250"/>
        </w:trPr>
        <w:tc>
          <w:tcPr>
            <w:tcW w:w="6500" w:type="dxa"/>
            <w:vAlign w:val="bottom"/>
            <w:shd w:val="clear" w:color="auto" w:fill="E9E9E9"/>
          </w:tcPr>
          <w:p>
            <w:pPr>
              <w:ind w:left="40"/>
              <w:spacing w:after="0"/>
              <w:rPr>
                <w:sz w:val="20"/>
                <w:szCs w:val="20"/>
                <w:color w:val="auto"/>
              </w:rPr>
            </w:pPr>
            <w:r>
              <w:rPr>
                <w:rFonts w:ascii="Times New Roman" w:cs="Times New Roman" w:eastAsia="Times New Roman" w:hAnsi="Times New Roman"/>
                <w:sz w:val="18"/>
                <w:szCs w:val="18"/>
                <w:color w:val="auto"/>
              </w:rPr>
              <w:t>Payments on long-term debt and other borrowings</w:t>
            </w:r>
          </w:p>
        </w:tc>
        <w:tc>
          <w:tcPr>
            <w:tcW w:w="300" w:type="dxa"/>
            <w:vAlign w:val="bottom"/>
            <w:shd w:val="clear" w:color="auto" w:fill="E9E9E9"/>
          </w:tcPr>
          <w:p>
            <w:pPr>
              <w:spacing w:after="0"/>
              <w:rPr>
                <w:sz w:val="21"/>
                <w:szCs w:val="21"/>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60" w:type="dxa"/>
            <w:vAlign w:val="bottom"/>
            <w:shd w:val="clear" w:color="auto" w:fill="E9E9E9"/>
          </w:tcPr>
          <w:p>
            <w:pPr>
              <w:spacing w:after="0"/>
              <w:rPr>
                <w:sz w:val="21"/>
                <w:szCs w:val="21"/>
                <w:color w:val="auto"/>
              </w:rPr>
            </w:pPr>
          </w:p>
        </w:tc>
        <w:tc>
          <w:tcPr>
            <w:tcW w:w="380" w:type="dxa"/>
            <w:vAlign w:val="bottom"/>
            <w:shd w:val="clear" w:color="auto" w:fill="E9E9E9"/>
          </w:tcPr>
          <w:p>
            <w:pPr>
              <w:spacing w:after="0"/>
              <w:rPr>
                <w:sz w:val="21"/>
                <w:szCs w:val="21"/>
                <w:color w:val="auto"/>
              </w:rPr>
            </w:pPr>
          </w:p>
        </w:tc>
        <w:tc>
          <w:tcPr>
            <w:tcW w:w="9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(175,385)</w:t>
            </w:r>
          </w:p>
        </w:tc>
      </w:tr>
      <w:tr>
        <w:trPr>
          <w:trHeight w:val="249"/>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financing costs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r>
      <w:tr>
        <w:trPr>
          <w:trHeight w:val="251"/>
        </w:trPr>
        <w:tc>
          <w:tcPr>
            <w:tcW w:w="6500" w:type="dxa"/>
            <w:vAlign w:val="bottom"/>
            <w:shd w:val="clear" w:color="auto" w:fill="E9E9E9"/>
          </w:tcPr>
          <w:p>
            <w:pPr>
              <w:ind w:left="40"/>
              <w:spacing w:after="0"/>
              <w:rPr>
                <w:sz w:val="20"/>
                <w:szCs w:val="20"/>
                <w:color w:val="auto"/>
              </w:rPr>
            </w:pPr>
            <w:r>
              <w:rPr>
                <w:rFonts w:ascii="Times New Roman" w:cs="Times New Roman" w:eastAsia="Times New Roman" w:hAnsi="Times New Roman"/>
                <w:sz w:val="18"/>
                <w:szCs w:val="18"/>
                <w:color w:val="auto"/>
              </w:rPr>
              <w:t>Proceeds from interest rate swap termination</w:t>
            </w:r>
          </w:p>
        </w:tc>
        <w:tc>
          <w:tcPr>
            <w:tcW w:w="300" w:type="dxa"/>
            <w:vAlign w:val="bottom"/>
            <w:shd w:val="clear" w:color="auto" w:fill="E9E9E9"/>
          </w:tcPr>
          <w:p>
            <w:pPr>
              <w:spacing w:after="0"/>
              <w:rPr>
                <w:sz w:val="21"/>
                <w:szCs w:val="21"/>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E9E9E9"/>
          </w:tcPr>
          <w:p>
            <w:pPr>
              <w:spacing w:after="0"/>
              <w:rPr>
                <w:sz w:val="21"/>
                <w:szCs w:val="21"/>
                <w:color w:val="auto"/>
              </w:rPr>
            </w:pPr>
          </w:p>
        </w:tc>
        <w:tc>
          <w:tcPr>
            <w:tcW w:w="380" w:type="dxa"/>
            <w:vAlign w:val="bottom"/>
            <w:shd w:val="clear" w:color="auto" w:fill="E9E9E9"/>
          </w:tcPr>
          <w:p>
            <w:pPr>
              <w:spacing w:after="0"/>
              <w:rPr>
                <w:sz w:val="21"/>
                <w:szCs w:val="21"/>
                <w:color w:val="auto"/>
              </w:rPr>
            </w:pPr>
          </w:p>
        </w:tc>
        <w:tc>
          <w:tcPr>
            <w:tcW w:w="9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5,583</w:t>
            </w:r>
          </w:p>
        </w:tc>
      </w:tr>
      <w:tr>
        <w:trPr>
          <w:trHeight w:val="249"/>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7,537</w:t>
            </w:r>
          </w:p>
        </w:tc>
      </w:tr>
      <w:tr>
        <w:trPr>
          <w:trHeight w:val="197"/>
        </w:trPr>
        <w:tc>
          <w:tcPr>
            <w:tcW w:w="6500" w:type="dxa"/>
            <w:vAlign w:val="bottom"/>
            <w:shd w:val="clear" w:color="auto" w:fill="E9E9E9"/>
          </w:tcPr>
          <w:p>
            <w:pPr>
              <w:ind w:left="40"/>
              <w:spacing w:after="0" w:line="197" w:lineRule="exact"/>
              <w:rPr>
                <w:sz w:val="20"/>
                <w:szCs w:val="20"/>
                <w:color w:val="auto"/>
              </w:rPr>
            </w:pPr>
            <w:r>
              <w:rPr>
                <w:rFonts w:ascii="Times New Roman" w:cs="Times New Roman" w:eastAsia="Times New Roman" w:hAnsi="Times New Roman"/>
                <w:sz w:val="18"/>
                <w:szCs w:val="18"/>
                <w:color w:val="auto"/>
                <w:w w:val="99"/>
              </w:rPr>
              <w:t>Payments for minimum statutory tax withholding related to net share settlement of equity</w:t>
            </w:r>
          </w:p>
        </w:tc>
        <w:tc>
          <w:tcPr>
            <w:tcW w:w="300" w:type="dxa"/>
            <w:vAlign w:val="bottom"/>
            <w:shd w:val="clear" w:color="auto" w:fill="E9E9E9"/>
          </w:tcPr>
          <w:p>
            <w:pPr>
              <w:spacing w:after="0"/>
              <w:rPr>
                <w:sz w:val="17"/>
                <w:szCs w:val="17"/>
                <w:color w:val="auto"/>
              </w:rPr>
            </w:pPr>
          </w:p>
        </w:tc>
        <w:tc>
          <w:tcPr>
            <w:tcW w:w="980" w:type="dxa"/>
            <w:vAlign w:val="bottom"/>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c>
          <w:tcPr>
            <w:tcW w:w="300" w:type="dxa"/>
            <w:vAlign w:val="bottom"/>
            <w:shd w:val="clear" w:color="auto" w:fill="E9E9E9"/>
          </w:tcPr>
          <w:p>
            <w:pPr>
              <w:spacing w:after="0"/>
              <w:rPr>
                <w:sz w:val="17"/>
                <w:szCs w:val="17"/>
                <w:color w:val="auto"/>
              </w:rPr>
            </w:pPr>
          </w:p>
        </w:tc>
        <w:tc>
          <w:tcPr>
            <w:tcW w:w="980" w:type="dxa"/>
            <w:vAlign w:val="bottom"/>
            <w:shd w:val="clear" w:color="auto" w:fill="E9E9E9"/>
          </w:tcPr>
          <w:p>
            <w:pPr>
              <w:spacing w:after="0"/>
              <w:rPr>
                <w:sz w:val="17"/>
                <w:szCs w:val="17"/>
                <w:color w:val="auto"/>
              </w:rPr>
            </w:pPr>
          </w:p>
        </w:tc>
        <w:tc>
          <w:tcPr>
            <w:tcW w:w="60" w:type="dxa"/>
            <w:vAlign w:val="bottom"/>
            <w:shd w:val="clear" w:color="auto" w:fill="E9E9E9"/>
          </w:tcPr>
          <w:p>
            <w:pPr>
              <w:spacing w:after="0"/>
              <w:rPr>
                <w:sz w:val="17"/>
                <w:szCs w:val="17"/>
                <w:color w:val="auto"/>
              </w:rPr>
            </w:pPr>
          </w:p>
        </w:tc>
        <w:tc>
          <w:tcPr>
            <w:tcW w:w="380" w:type="dxa"/>
            <w:vAlign w:val="bottom"/>
            <w:shd w:val="clear" w:color="auto" w:fill="E9E9E9"/>
          </w:tcPr>
          <w:p>
            <w:pPr>
              <w:spacing w:after="0"/>
              <w:rPr>
                <w:sz w:val="17"/>
                <w:szCs w:val="17"/>
                <w:color w:val="auto"/>
              </w:rPr>
            </w:pPr>
          </w:p>
        </w:tc>
        <w:tc>
          <w:tcPr>
            <w:tcW w:w="900" w:type="dxa"/>
            <w:vAlign w:val="bottom"/>
            <w:shd w:val="clear" w:color="auto" w:fill="E9E9E9"/>
          </w:tcPr>
          <w:p>
            <w:pPr>
              <w:spacing w:after="0"/>
              <w:rPr>
                <w:sz w:val="17"/>
                <w:szCs w:val="17"/>
                <w:color w:val="auto"/>
              </w:rPr>
            </w:pPr>
          </w:p>
        </w:tc>
      </w:tr>
      <w:tr>
        <w:trPr>
          <w:trHeight w:val="260"/>
        </w:trPr>
        <w:tc>
          <w:tcPr>
            <w:tcW w:w="6500" w:type="dxa"/>
            <w:vAlign w:val="bottom"/>
            <w:shd w:val="clear" w:color="auto" w:fill="E9E9E9"/>
          </w:tcPr>
          <w:p>
            <w:pPr>
              <w:ind w:left="40"/>
              <w:spacing w:after="0"/>
              <w:rPr>
                <w:sz w:val="20"/>
                <w:szCs w:val="20"/>
                <w:color w:val="auto"/>
              </w:rPr>
            </w:pPr>
            <w:r>
              <w:rPr>
                <w:rFonts w:ascii="Times New Roman" w:cs="Times New Roman" w:eastAsia="Times New Roman" w:hAnsi="Times New Roman"/>
                <w:sz w:val="18"/>
                <w:szCs w:val="18"/>
                <w:color w:val="auto"/>
              </w:rPr>
              <w:t>awards</w:t>
            </w:r>
          </w:p>
        </w:tc>
        <w:tc>
          <w:tcPr>
            <w:tcW w:w="300" w:type="dxa"/>
            <w:vAlign w:val="bottom"/>
            <w:shd w:val="clear" w:color="auto" w:fill="E9E9E9"/>
          </w:tcPr>
          <w:p>
            <w:pPr>
              <w:spacing w:after="0"/>
              <w:rPr>
                <w:sz w:val="22"/>
                <w:szCs w:val="22"/>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(22,615)</w:t>
            </w:r>
          </w:p>
        </w:tc>
        <w:tc>
          <w:tcPr>
            <w:tcW w:w="80" w:type="dxa"/>
            <w:vAlign w:val="bottom"/>
            <w:shd w:val="clear" w:color="auto" w:fill="E9E9E9"/>
          </w:tcPr>
          <w:p>
            <w:pPr>
              <w:spacing w:after="0"/>
              <w:rPr>
                <w:sz w:val="22"/>
                <w:szCs w:val="22"/>
                <w:color w:val="auto"/>
              </w:rPr>
            </w:pPr>
          </w:p>
        </w:tc>
        <w:tc>
          <w:tcPr>
            <w:tcW w:w="300" w:type="dxa"/>
            <w:vAlign w:val="bottom"/>
            <w:shd w:val="clear" w:color="auto" w:fill="E9E9E9"/>
          </w:tcPr>
          <w:p>
            <w:pPr>
              <w:spacing w:after="0"/>
              <w:rPr>
                <w:sz w:val="22"/>
                <w:szCs w:val="22"/>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(14,394)</w:t>
            </w:r>
          </w:p>
        </w:tc>
        <w:tc>
          <w:tcPr>
            <w:tcW w:w="60" w:type="dxa"/>
            <w:vAlign w:val="bottom"/>
            <w:shd w:val="clear" w:color="auto" w:fill="E9E9E9"/>
          </w:tcPr>
          <w:p>
            <w:pPr>
              <w:spacing w:after="0"/>
              <w:rPr>
                <w:sz w:val="22"/>
                <w:szCs w:val="22"/>
                <w:color w:val="auto"/>
              </w:rPr>
            </w:pPr>
          </w:p>
        </w:tc>
        <w:tc>
          <w:tcPr>
            <w:tcW w:w="380" w:type="dxa"/>
            <w:vAlign w:val="bottom"/>
            <w:shd w:val="clear" w:color="auto" w:fill="E9E9E9"/>
          </w:tcPr>
          <w:p>
            <w:pPr>
              <w:spacing w:after="0"/>
              <w:rPr>
                <w:sz w:val="22"/>
                <w:szCs w:val="22"/>
                <w:color w:val="auto"/>
              </w:rPr>
            </w:pPr>
          </w:p>
        </w:tc>
        <w:tc>
          <w:tcPr>
            <w:tcW w:w="9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(7,759)</w:t>
            </w:r>
          </w:p>
        </w:tc>
      </w:tr>
      <w:tr>
        <w:trPr>
          <w:trHeight w:val="240"/>
        </w:trPr>
        <w:tc>
          <w:tcPr>
            <w:tcW w:w="6500" w:type="dxa"/>
            <w:vAlign w:val="bottom"/>
            <w:tcBorders>
              <w:bottom w:val="single" w:sz="8" w:color="E9E9E9"/>
            </w:tcBorders>
          </w:tcPr>
          <w:p>
            <w:pPr>
              <w:ind w:left="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tcBorders>
              <w:bottom w:val="single" w:sz="8" w:color="E9E9E9"/>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E9E9E9"/>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230"/>
        </w:trPr>
        <w:tc>
          <w:tcPr>
            <w:tcW w:w="6500" w:type="dxa"/>
            <w:vAlign w:val="bottom"/>
            <w:tcBorders>
              <w:bottom w:val="single" w:sz="8" w:color="E9E9E9"/>
            </w:tcBorders>
            <w:shd w:val="clear" w:color="auto" w:fill="E9E9E9"/>
          </w:tcPr>
          <w:p>
            <w:pPr>
              <w:ind w:left="5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00" w:type="dxa"/>
            <w:vAlign w:val="bottom"/>
            <w:tcBorders>
              <w:bottom w:val="single" w:sz="8" w:color="auto"/>
            </w:tcBorders>
            <w:shd w:val="clear" w:color="auto" w:fill="E9E9E9"/>
          </w:tcPr>
          <w:p>
            <w:pPr>
              <w:spacing w:after="0"/>
              <w:rPr>
                <w:sz w:val="19"/>
                <w:szCs w:val="19"/>
                <w:color w:val="auto"/>
              </w:rPr>
            </w:pPr>
          </w:p>
        </w:tc>
        <w:tc>
          <w:tcPr>
            <w:tcW w:w="9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(118,536)</w:t>
            </w:r>
          </w:p>
        </w:tc>
        <w:tc>
          <w:tcPr>
            <w:tcW w:w="80" w:type="dxa"/>
            <w:vAlign w:val="bottom"/>
            <w:tcBorders>
              <w:bottom w:val="single" w:sz="8" w:color="E9E9E9"/>
            </w:tcBorders>
            <w:shd w:val="clear" w:color="auto" w:fill="E9E9E9"/>
          </w:tcPr>
          <w:p>
            <w:pPr>
              <w:spacing w:after="0"/>
              <w:rPr>
                <w:sz w:val="19"/>
                <w:szCs w:val="19"/>
                <w:color w:val="auto"/>
              </w:rPr>
            </w:pPr>
          </w:p>
        </w:tc>
        <w:tc>
          <w:tcPr>
            <w:tcW w:w="300" w:type="dxa"/>
            <w:vAlign w:val="bottom"/>
            <w:tcBorders>
              <w:bottom w:val="single" w:sz="8" w:color="auto"/>
            </w:tcBorders>
            <w:shd w:val="clear" w:color="auto" w:fill="E9E9E9"/>
          </w:tcPr>
          <w:p>
            <w:pPr>
              <w:spacing w:after="0"/>
              <w:rPr>
                <w:sz w:val="19"/>
                <w:szCs w:val="19"/>
                <w:color w:val="auto"/>
              </w:rPr>
            </w:pPr>
          </w:p>
        </w:tc>
        <w:tc>
          <w:tcPr>
            <w:tcW w:w="9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(13,062)</w:t>
            </w:r>
          </w:p>
        </w:tc>
        <w:tc>
          <w:tcPr>
            <w:tcW w:w="60" w:type="dxa"/>
            <w:vAlign w:val="bottom"/>
            <w:tcBorders>
              <w:bottom w:val="single" w:sz="8" w:color="E9E9E9"/>
            </w:tcBorders>
            <w:shd w:val="clear" w:color="auto" w:fill="E9E9E9"/>
          </w:tcPr>
          <w:p>
            <w:pPr>
              <w:spacing w:after="0"/>
              <w:rPr>
                <w:sz w:val="19"/>
                <w:szCs w:val="19"/>
                <w:color w:val="auto"/>
              </w:rPr>
            </w:pPr>
          </w:p>
        </w:tc>
        <w:tc>
          <w:tcPr>
            <w:tcW w:w="380" w:type="dxa"/>
            <w:vAlign w:val="bottom"/>
            <w:tcBorders>
              <w:bottom w:val="single" w:sz="8" w:color="auto"/>
            </w:tcBorders>
            <w:shd w:val="clear" w:color="auto" w:fill="E9E9E9"/>
          </w:tcPr>
          <w:p>
            <w:pPr>
              <w:spacing w:after="0"/>
              <w:rPr>
                <w:sz w:val="19"/>
                <w:szCs w:val="19"/>
                <w:color w:val="auto"/>
              </w:rPr>
            </w:pPr>
          </w:p>
        </w:tc>
        <w:tc>
          <w:tcPr>
            <w:tcW w:w="90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311,691</w:t>
            </w:r>
          </w:p>
        </w:tc>
      </w:tr>
      <w:tr>
        <w:trPr>
          <w:trHeight w:val="230"/>
        </w:trPr>
        <w:tc>
          <w:tcPr>
            <w:tcW w:w="6500" w:type="dxa"/>
            <w:vAlign w:val="bottom"/>
            <w:tcBorders>
              <w:bottom w:val="single" w:sz="8" w:color="E9E9E9"/>
            </w:tcBorders>
          </w:tcPr>
          <w:p>
            <w:pPr>
              <w:ind w:left="40"/>
              <w:spacing w:after="0"/>
              <w:rPr>
                <w:sz w:val="20"/>
                <w:szCs w:val="20"/>
                <w:color w:val="auto"/>
              </w:rPr>
            </w:pPr>
            <w:r>
              <w:rPr>
                <w:rFonts w:ascii="Times New Roman" w:cs="Times New Roman" w:eastAsia="Times New Roman" w:hAnsi="Times New Roman"/>
                <w:sz w:val="18"/>
                <w:szCs w:val="18"/>
                <w:color w:val="auto"/>
              </w:rPr>
              <w:t>Effect of foreign exchange rates on cash and cash equivalents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80" w:type="dxa"/>
            <w:vAlign w:val="bottom"/>
            <w:tcBorders>
              <w:bottom w:val="single" w:sz="8" w:color="E9E9E9"/>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tcBorders>
              <w:bottom w:val="single" w:sz="8" w:color="E9E9E9"/>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40"/>
        </w:trPr>
        <w:tc>
          <w:tcPr>
            <w:tcW w:w="6500" w:type="dxa"/>
            <w:vAlign w:val="bottom"/>
            <w:shd w:val="clear" w:color="auto" w:fill="E9E9E9"/>
          </w:tcPr>
          <w:p>
            <w:pPr>
              <w:ind w:left="40"/>
              <w:spacing w:after="0"/>
              <w:rPr>
                <w:sz w:val="20"/>
                <w:szCs w:val="20"/>
                <w:color w:val="auto"/>
              </w:rPr>
            </w:pPr>
            <w:r>
              <w:rPr>
                <w:rFonts w:ascii="Times New Roman" w:cs="Times New Roman" w:eastAsia="Times New Roman" w:hAnsi="Times New Roman"/>
                <w:sz w:val="18"/>
                <w:szCs w:val="18"/>
                <w:color w:val="auto"/>
              </w:rPr>
              <w:t>Net increase in cash and cash equivalents and restricted cash</w:t>
            </w:r>
          </w:p>
        </w:tc>
        <w:tc>
          <w:tcPr>
            <w:tcW w:w="300" w:type="dxa"/>
            <w:vAlign w:val="bottom"/>
            <w:shd w:val="clear" w:color="auto" w:fill="E9E9E9"/>
          </w:tcPr>
          <w:p>
            <w:pPr>
              <w:spacing w:after="0"/>
              <w:rPr>
                <w:sz w:val="20"/>
                <w:szCs w:val="20"/>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199,201</w:t>
            </w:r>
          </w:p>
        </w:tc>
        <w:tc>
          <w:tcPr>
            <w:tcW w:w="80" w:type="dxa"/>
            <w:vAlign w:val="bottom"/>
            <w:shd w:val="clear" w:color="auto" w:fill="E9E9E9"/>
          </w:tcPr>
          <w:p>
            <w:pPr>
              <w:spacing w:after="0"/>
              <w:rPr>
                <w:sz w:val="20"/>
                <w:szCs w:val="20"/>
                <w:color w:val="auto"/>
              </w:rPr>
            </w:pPr>
          </w:p>
        </w:tc>
        <w:tc>
          <w:tcPr>
            <w:tcW w:w="300" w:type="dxa"/>
            <w:vAlign w:val="bottom"/>
            <w:shd w:val="clear" w:color="auto" w:fill="E9E9E9"/>
          </w:tcPr>
          <w:p>
            <w:pPr>
              <w:spacing w:after="0"/>
              <w:rPr>
                <w:sz w:val="20"/>
                <w:szCs w:val="20"/>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298,044</w:t>
            </w:r>
          </w:p>
        </w:tc>
        <w:tc>
          <w:tcPr>
            <w:tcW w:w="60" w:type="dxa"/>
            <w:vAlign w:val="bottom"/>
            <w:shd w:val="clear" w:color="auto" w:fill="E9E9E9"/>
          </w:tcPr>
          <w:p>
            <w:pPr>
              <w:spacing w:after="0"/>
              <w:rPr>
                <w:sz w:val="20"/>
                <w:szCs w:val="20"/>
                <w:color w:val="auto"/>
              </w:rPr>
            </w:pPr>
          </w:p>
        </w:tc>
        <w:tc>
          <w:tcPr>
            <w:tcW w:w="380" w:type="dxa"/>
            <w:vAlign w:val="bottom"/>
            <w:shd w:val="clear" w:color="auto" w:fill="E9E9E9"/>
          </w:tcPr>
          <w:p>
            <w:pPr>
              <w:spacing w:after="0"/>
              <w:rPr>
                <w:sz w:val="20"/>
                <w:szCs w:val="20"/>
                <w:color w:val="auto"/>
              </w:rPr>
            </w:pPr>
          </w:p>
        </w:tc>
        <w:tc>
          <w:tcPr>
            <w:tcW w:w="9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316,590</w:t>
            </w:r>
          </w:p>
        </w:tc>
      </w:tr>
      <w:tr>
        <w:trPr>
          <w:trHeight w:val="240"/>
        </w:trPr>
        <w:tc>
          <w:tcPr>
            <w:tcW w:w="6500" w:type="dxa"/>
            <w:vAlign w:val="bottom"/>
            <w:tcBorders>
              <w:bottom w:val="single" w:sz="8" w:color="E9E9E9"/>
            </w:tcBorders>
          </w:tcPr>
          <w:p>
            <w:pPr>
              <w:ind w:left="40"/>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year</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715,285</w:t>
            </w:r>
          </w:p>
        </w:tc>
        <w:tc>
          <w:tcPr>
            <w:tcW w:w="80" w:type="dxa"/>
            <w:vAlign w:val="bottom"/>
            <w:tcBorders>
              <w:bottom w:val="single" w:sz="8" w:color="E9E9E9"/>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417,241</w:t>
            </w:r>
          </w:p>
        </w:tc>
        <w:tc>
          <w:tcPr>
            <w:tcW w:w="60" w:type="dxa"/>
            <w:vAlign w:val="bottom"/>
            <w:tcBorders>
              <w:bottom w:val="single" w:sz="8" w:color="E9E9E9"/>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100,651</w:t>
            </w:r>
          </w:p>
        </w:tc>
      </w:tr>
      <w:tr>
        <w:trPr>
          <w:trHeight w:val="249"/>
        </w:trPr>
        <w:tc>
          <w:tcPr>
            <w:tcW w:w="6500" w:type="dxa"/>
            <w:vAlign w:val="bottom"/>
            <w:tcBorders>
              <w:bottom w:val="single" w:sz="8" w:color="E9E9E9"/>
            </w:tcBorders>
            <w:shd w:val="clear" w:color="auto" w:fill="E9E9E9"/>
          </w:tcPr>
          <w:p>
            <w:pPr>
              <w:ind w:left="40"/>
              <w:spacing w:after="0"/>
              <w:rPr>
                <w:sz w:val="20"/>
                <w:szCs w:val="20"/>
                <w:color w:val="auto"/>
              </w:rPr>
            </w:pPr>
            <w:r>
              <w:rPr>
                <w:rFonts w:ascii="Times New Roman" w:cs="Times New Roman" w:eastAsia="Times New Roman" w:hAnsi="Times New Roman"/>
                <w:sz w:val="18"/>
                <w:szCs w:val="18"/>
                <w:color w:val="auto"/>
              </w:rPr>
              <w:t>Cash and cash equivalents and restricted cash, end of year</w:t>
            </w:r>
          </w:p>
        </w:tc>
        <w:tc>
          <w:tcPr>
            <w:tcW w:w="300" w:type="dxa"/>
            <w:vAlign w:val="bottom"/>
            <w:tcBorders>
              <w:bottom w:val="single" w:sz="8" w:color="auto"/>
            </w:tcBorders>
            <w:shd w:val="clear" w:color="auto" w:fill="E9E9E9"/>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914,486</w:t>
            </w:r>
          </w:p>
        </w:tc>
        <w:tc>
          <w:tcPr>
            <w:tcW w:w="80" w:type="dxa"/>
            <w:vAlign w:val="bottom"/>
            <w:tcBorders>
              <w:bottom w:val="single" w:sz="8" w:color="E9E9E9"/>
            </w:tcBorders>
            <w:shd w:val="clear" w:color="auto" w:fill="E9E9E9"/>
          </w:tcPr>
          <w:p>
            <w:pPr>
              <w:spacing w:after="0"/>
              <w:rPr>
                <w:sz w:val="21"/>
                <w:szCs w:val="21"/>
                <w:color w:val="auto"/>
              </w:rPr>
            </w:pPr>
          </w:p>
        </w:tc>
        <w:tc>
          <w:tcPr>
            <w:tcW w:w="300" w:type="dxa"/>
            <w:vAlign w:val="bottom"/>
            <w:tcBorders>
              <w:bottom w:val="single" w:sz="8" w:color="auto"/>
            </w:tcBorders>
            <w:shd w:val="clear" w:color="auto" w:fill="E9E9E9"/>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715,285</w:t>
            </w:r>
          </w:p>
        </w:tc>
        <w:tc>
          <w:tcPr>
            <w:tcW w:w="60" w:type="dxa"/>
            <w:vAlign w:val="bottom"/>
            <w:tcBorders>
              <w:bottom w:val="single" w:sz="8" w:color="E9E9E9"/>
            </w:tcBorders>
            <w:shd w:val="clear" w:color="auto" w:fill="E9E9E9"/>
          </w:tcPr>
          <w:p>
            <w:pPr>
              <w:spacing w:after="0"/>
              <w:rPr>
                <w:sz w:val="21"/>
                <w:szCs w:val="21"/>
                <w:color w:val="auto"/>
              </w:rPr>
            </w:pPr>
          </w:p>
        </w:tc>
        <w:tc>
          <w:tcPr>
            <w:tcW w:w="380" w:type="dxa"/>
            <w:vAlign w:val="bottom"/>
            <w:tcBorders>
              <w:bottom w:val="single" w:sz="8" w:color="auto"/>
            </w:tcBorders>
            <w:shd w:val="clear" w:color="auto" w:fill="E9E9E9"/>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18"/>
                <w:szCs w:val="18"/>
                <w:color w:val="auto"/>
              </w:rPr>
              <w:t>417,241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4117340</wp:posOffset>
            </wp:positionH>
            <wp:positionV relativeFrom="paragraph">
              <wp:posOffset>-43180</wp:posOffset>
            </wp:positionV>
            <wp:extent cx="2555240" cy="501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55240" cy="50165"/>
                    </a:xfrm>
                    <a:prstGeom prst="rect">
                      <a:avLst/>
                    </a:prstGeom>
                    <a:noFill/>
                  </pic:spPr>
                </pic:pic>
              </a:graphicData>
            </a:graphic>
          </wp:anchor>
        </w:drawing>
      </w:r>
    </w:p>
    <w:p>
      <w:pPr>
        <w:sectPr>
          <w:pgSz w:w="11880" w:h="15480" w:orient="portrait"/>
          <w:cols w:equalWidth="0" w:num="1">
            <w:col w:w="10480"/>
          </w:cols>
          <w:pgMar w:left="700" w:top="615" w:right="700" w:bottom="0" w:gutter="0" w:footer="0" w:header="0"/>
        </w:sectPr>
      </w:pP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880" w:h="15480" w:orient="portrait"/>
          <w:cols w:equalWidth="0" w:num="1">
            <w:col w:w="10480"/>
          </w:cols>
          <w:pgMar w:left="700" w:top="615" w:right="700" w:bottom="0" w:gutter="0" w:footer="0" w:header="0"/>
          <w:type w:val="continuous"/>
        </w:sectPr>
      </w:pPr>
    </w:p>
    <w:bookmarkStart w:id="90" w:name="page91"/>
    <w:bookmarkEnd w:id="90"/>
    <w:p>
      <w:pPr>
        <w:jc w:val="center"/>
        <w:spacing w:after="0"/>
        <w:rPr>
          <w:sz w:val="20"/>
          <w:szCs w:val="20"/>
          <w:color w:val="auto"/>
        </w:rPr>
      </w:pPr>
      <w:r>
        <w:rPr>
          <w:rFonts w:ascii="Times New Roman" w:cs="Times New Roman" w:eastAsia="Times New Roman" w:hAnsi="Times New Roman"/>
          <w:sz w:val="20"/>
          <w:szCs w:val="20"/>
          <w:b w:val="1"/>
          <w:bCs w:val="1"/>
          <w:color w:val="auto"/>
        </w:rPr>
        <w:t>Lantheus Holdings,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 (Continued)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0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8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60" w:type="dxa"/>
            <w:vAlign w:val="bottom"/>
            <w:tcBorders>
              <w:bottom w:val="single" w:sz="8" w:color="auto"/>
            </w:tcBorders>
          </w:tcPr>
          <w:p>
            <w:pPr>
              <w:spacing w:after="0"/>
              <w:rPr>
                <w:sz w:val="22"/>
                <w:szCs w:val="22"/>
                <w:color w:val="auto"/>
              </w:rPr>
            </w:pPr>
          </w:p>
        </w:tc>
      </w:tr>
      <w:tr>
        <w:trPr>
          <w:trHeight w:val="230"/>
        </w:trPr>
        <w:tc>
          <w:tcPr>
            <w:tcW w:w="6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20"/>
                <w:szCs w:val="20"/>
                <w:b w:val="1"/>
                <w:bCs w:val="1"/>
                <w:color w:val="auto"/>
                <w:w w:val="99"/>
              </w:rPr>
              <w:t>2022</w:t>
            </w:r>
          </w:p>
        </w:tc>
      </w:tr>
      <w:tr>
        <w:trPr>
          <w:trHeight w:val="240"/>
        </w:trPr>
        <w:tc>
          <w:tcPr>
            <w:tcW w:w="60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Reconciliation to amounts within the consolidated balance sheets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0"/>
        </w:trPr>
        <w:tc>
          <w:tcPr>
            <w:tcW w:w="602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300" w:type="dxa"/>
            <w:vAlign w:val="bottom"/>
            <w:shd w:val="clear" w:color="auto" w:fill="E9E9E9"/>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912,814</w:t>
            </w:r>
          </w:p>
        </w:tc>
        <w:tc>
          <w:tcPr>
            <w:tcW w:w="360" w:type="dxa"/>
            <w:vAlign w:val="bottom"/>
            <w:gridSpan w:val="2"/>
            <w:shd w:val="clear" w:color="auto" w:fill="E9E9E9"/>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713,656</w:t>
            </w:r>
          </w:p>
        </w:tc>
        <w:tc>
          <w:tcPr>
            <w:tcW w:w="500" w:type="dxa"/>
            <w:vAlign w:val="bottom"/>
            <w:gridSpan w:val="2"/>
            <w:shd w:val="clear" w:color="auto" w:fill="E9E9E9"/>
          </w:tcPr>
          <w:p>
            <w:pPr>
              <w:jc w:val="right"/>
              <w:ind w:right="182"/>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415,652</w:t>
            </w:r>
          </w:p>
        </w:tc>
      </w:tr>
      <w:tr>
        <w:trPr>
          <w:trHeight w:val="240"/>
        </w:trPr>
        <w:tc>
          <w:tcPr>
            <w:tcW w:w="6020" w:type="dxa"/>
            <w:vAlign w:val="bottom"/>
            <w:tcBorders>
              <w:bottom w:val="single" w:sz="8" w:color="E9E9E9"/>
            </w:tcBorders>
          </w:tcPr>
          <w:p>
            <w:pPr>
              <w:ind w:left="60"/>
              <w:spacing w:after="0"/>
              <w:rPr>
                <w:sz w:val="20"/>
                <w:szCs w:val="20"/>
                <w:color w:val="auto"/>
              </w:rPr>
            </w:pPr>
            <w:r>
              <w:rPr>
                <w:rFonts w:ascii="Times New Roman" w:cs="Times New Roman" w:eastAsia="Times New Roman" w:hAnsi="Times New Roman"/>
                <w:sz w:val="20"/>
                <w:szCs w:val="20"/>
                <w:color w:val="auto"/>
              </w:rPr>
              <w:t>Restricted cash included in other long-term assets</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1,672</w:t>
            </w:r>
          </w:p>
        </w:tc>
        <w:tc>
          <w:tcPr>
            <w:tcW w:w="60" w:type="dxa"/>
            <w:vAlign w:val="bottom"/>
            <w:tcBorders>
              <w:bottom w:val="single" w:sz="8" w:color="E9E9E9"/>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1,629</w:t>
            </w:r>
          </w:p>
        </w:tc>
        <w:tc>
          <w:tcPr>
            <w:tcW w:w="80" w:type="dxa"/>
            <w:vAlign w:val="bottom"/>
            <w:tcBorders>
              <w:bottom w:val="single" w:sz="8" w:color="E9E9E9"/>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1,589</w:t>
            </w:r>
          </w:p>
        </w:tc>
      </w:tr>
      <w:tr>
        <w:trPr>
          <w:trHeight w:val="249"/>
        </w:trPr>
        <w:tc>
          <w:tcPr>
            <w:tcW w:w="6020" w:type="dxa"/>
            <w:vAlign w:val="bottom"/>
            <w:tcBorders>
              <w:bottom w:val="single" w:sz="8" w:color="E9E9E9"/>
            </w:tcBorders>
            <w:shd w:val="clear" w:color="auto" w:fill="E9E9E9"/>
          </w:tcPr>
          <w:p>
            <w:pPr>
              <w:ind w:left="280"/>
              <w:spacing w:after="0" w:line="210" w:lineRule="exact"/>
              <w:rPr>
                <w:sz w:val="20"/>
                <w:szCs w:val="20"/>
                <w:color w:val="auto"/>
              </w:rPr>
            </w:pPr>
            <w:r>
              <w:rPr>
                <w:rFonts w:ascii="Times New Roman" w:cs="Times New Roman" w:eastAsia="Times New Roman" w:hAnsi="Times New Roman"/>
                <w:sz w:val="20"/>
                <w:szCs w:val="20"/>
                <w:color w:val="auto"/>
              </w:rPr>
              <w:t>Cash, cash equivalents and restricted cash at end of period</w:t>
            </w:r>
          </w:p>
        </w:tc>
        <w:tc>
          <w:tcPr>
            <w:tcW w:w="300" w:type="dxa"/>
            <w:vAlign w:val="bottom"/>
            <w:tcBorders>
              <w:bottom w:val="single" w:sz="8" w:color="auto"/>
            </w:tcBorders>
            <w:shd w:val="clear" w:color="auto" w:fill="E9E9E9"/>
          </w:tcPr>
          <w:p>
            <w:pPr>
              <w:jc w:val="right"/>
              <w:ind w:right="62"/>
              <w:spacing w:after="0" w:line="210"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E9E9E9"/>
          </w:tcPr>
          <w:p>
            <w:pPr>
              <w:jc w:val="right"/>
              <w:spacing w:after="0" w:line="210" w:lineRule="exact"/>
              <w:rPr>
                <w:sz w:val="20"/>
                <w:szCs w:val="20"/>
                <w:color w:val="auto"/>
              </w:rPr>
            </w:pPr>
            <w:r>
              <w:rPr>
                <w:rFonts w:ascii="Times New Roman" w:cs="Times New Roman" w:eastAsia="Times New Roman" w:hAnsi="Times New Roman"/>
                <w:sz w:val="20"/>
                <w:szCs w:val="20"/>
                <w:color w:val="auto"/>
              </w:rPr>
              <w:t>914,486</w:t>
            </w:r>
          </w:p>
        </w:tc>
        <w:tc>
          <w:tcPr>
            <w:tcW w:w="60" w:type="dxa"/>
            <w:vAlign w:val="bottom"/>
            <w:tcBorders>
              <w:bottom w:val="single" w:sz="8" w:color="E9E9E9"/>
            </w:tcBorders>
            <w:shd w:val="clear" w:color="auto" w:fill="E9E9E9"/>
          </w:tcPr>
          <w:p>
            <w:pPr>
              <w:spacing w:after="0"/>
              <w:rPr>
                <w:sz w:val="21"/>
                <w:szCs w:val="21"/>
                <w:color w:val="auto"/>
              </w:rPr>
            </w:pPr>
          </w:p>
        </w:tc>
        <w:tc>
          <w:tcPr>
            <w:tcW w:w="300" w:type="dxa"/>
            <w:vAlign w:val="bottom"/>
            <w:tcBorders>
              <w:bottom w:val="single" w:sz="8" w:color="auto"/>
            </w:tcBorders>
            <w:shd w:val="clear" w:color="auto" w:fill="E9E9E9"/>
          </w:tcPr>
          <w:p>
            <w:pPr>
              <w:jc w:val="right"/>
              <w:ind w:right="42"/>
              <w:spacing w:after="0" w:line="210"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E9E9E9"/>
          </w:tcPr>
          <w:p>
            <w:pPr>
              <w:jc w:val="right"/>
              <w:spacing w:after="0" w:line="210" w:lineRule="exact"/>
              <w:rPr>
                <w:sz w:val="20"/>
                <w:szCs w:val="20"/>
                <w:color w:val="auto"/>
              </w:rPr>
            </w:pPr>
            <w:r>
              <w:rPr>
                <w:rFonts w:ascii="Times New Roman" w:cs="Times New Roman" w:eastAsia="Times New Roman" w:hAnsi="Times New Roman"/>
                <w:sz w:val="20"/>
                <w:szCs w:val="20"/>
                <w:color w:val="auto"/>
              </w:rPr>
              <w:t>715,285</w:t>
            </w:r>
          </w:p>
        </w:tc>
        <w:tc>
          <w:tcPr>
            <w:tcW w:w="80" w:type="dxa"/>
            <w:vAlign w:val="bottom"/>
            <w:tcBorders>
              <w:bottom w:val="single" w:sz="8" w:color="E9E9E9"/>
            </w:tcBorders>
            <w:shd w:val="clear" w:color="auto" w:fill="E9E9E9"/>
          </w:tcPr>
          <w:p>
            <w:pPr>
              <w:spacing w:after="0"/>
              <w:rPr>
                <w:sz w:val="21"/>
                <w:szCs w:val="21"/>
                <w:color w:val="auto"/>
              </w:rPr>
            </w:pPr>
          </w:p>
        </w:tc>
        <w:tc>
          <w:tcPr>
            <w:tcW w:w="420" w:type="dxa"/>
            <w:vAlign w:val="bottom"/>
            <w:tcBorders>
              <w:bottom w:val="single" w:sz="8" w:color="auto"/>
            </w:tcBorders>
            <w:shd w:val="clear" w:color="auto" w:fill="E9E9E9"/>
          </w:tcPr>
          <w:p>
            <w:pPr>
              <w:jc w:val="right"/>
              <w:ind w:right="182"/>
              <w:spacing w:after="0" w:line="210"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auto"/>
            </w:tcBorders>
            <w:shd w:val="clear" w:color="auto" w:fill="E9E9E9"/>
          </w:tcPr>
          <w:p>
            <w:pPr>
              <w:jc w:val="right"/>
              <w:spacing w:after="0" w:line="210" w:lineRule="exact"/>
              <w:rPr>
                <w:sz w:val="20"/>
                <w:szCs w:val="20"/>
                <w:color w:val="auto"/>
              </w:rPr>
            </w:pPr>
            <w:r>
              <w:rPr>
                <w:rFonts w:ascii="Times New Roman" w:cs="Times New Roman" w:eastAsia="Times New Roman" w:hAnsi="Times New Roman"/>
                <w:sz w:val="20"/>
                <w:szCs w:val="20"/>
                <w:color w:val="auto"/>
              </w:rPr>
              <w:t>417,241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3806190</wp:posOffset>
            </wp:positionH>
            <wp:positionV relativeFrom="paragraph">
              <wp:posOffset>-43180</wp:posOffset>
            </wp:positionV>
            <wp:extent cx="2555240" cy="501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55240" cy="50165"/>
                    </a:xfrm>
                    <a:prstGeom prst="rect">
                      <a:avLst/>
                    </a:prstGeom>
                    <a:noFill/>
                  </pic:spPr>
                </pic:pic>
              </a:graphicData>
            </a:graphic>
          </wp:anchor>
        </w:drawing>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0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8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60" w:type="dxa"/>
            <w:vAlign w:val="bottom"/>
            <w:tcBorders>
              <w:bottom w:val="single" w:sz="8" w:color="auto"/>
            </w:tcBorders>
          </w:tcPr>
          <w:p>
            <w:pPr>
              <w:spacing w:after="0"/>
              <w:rPr>
                <w:sz w:val="22"/>
                <w:szCs w:val="22"/>
                <w:color w:val="auto"/>
              </w:rPr>
            </w:pPr>
          </w:p>
        </w:tc>
      </w:tr>
      <w:tr>
        <w:trPr>
          <w:trHeight w:val="230"/>
        </w:trPr>
        <w:tc>
          <w:tcPr>
            <w:tcW w:w="6020" w:type="dxa"/>
            <w:vAlign w:val="bottom"/>
            <w:tcBorders>
              <w:bottom w:val="single" w:sz="8" w:color="E9E9E9"/>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Borders>
              <w:bottom w:val="single" w:sz="8" w:color="E9E9E9"/>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Borders>
              <w:bottom w:val="single" w:sz="8" w:color="E9E9E9"/>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20"/>
                <w:szCs w:val="20"/>
                <w:b w:val="1"/>
                <w:bCs w:val="1"/>
                <w:color w:val="auto"/>
                <w:w w:val="99"/>
              </w:rPr>
              <w:t>2022</w:t>
            </w:r>
          </w:p>
        </w:tc>
      </w:tr>
      <w:tr>
        <w:trPr>
          <w:trHeight w:val="240"/>
        </w:trPr>
        <w:tc>
          <w:tcPr>
            <w:tcW w:w="602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b w:val="1"/>
                <w:bCs w:val="1"/>
                <w:color w:val="auto"/>
              </w:rPr>
              <w:t>Supplemental disclosure of cash flow information</w:t>
            </w:r>
          </w:p>
        </w:tc>
        <w:tc>
          <w:tcPr>
            <w:tcW w:w="300" w:type="dxa"/>
            <w:vAlign w:val="bottom"/>
            <w:shd w:val="clear" w:color="auto" w:fill="E9E9E9"/>
          </w:tcPr>
          <w:p>
            <w:pPr>
              <w:spacing w:after="0"/>
              <w:rPr>
                <w:sz w:val="20"/>
                <w:szCs w:val="20"/>
                <w:color w:val="auto"/>
              </w:rPr>
            </w:pPr>
          </w:p>
        </w:tc>
        <w:tc>
          <w:tcPr>
            <w:tcW w:w="980" w:type="dxa"/>
            <w:vAlign w:val="bottom"/>
            <w:shd w:val="clear" w:color="auto" w:fill="E9E9E9"/>
          </w:tcPr>
          <w:p>
            <w:pPr>
              <w:spacing w:after="0"/>
              <w:rPr>
                <w:sz w:val="20"/>
                <w:szCs w:val="20"/>
                <w:color w:val="auto"/>
              </w:rPr>
            </w:pPr>
          </w:p>
        </w:tc>
        <w:tc>
          <w:tcPr>
            <w:tcW w:w="60" w:type="dxa"/>
            <w:vAlign w:val="bottom"/>
            <w:shd w:val="clear" w:color="auto" w:fill="E9E9E9"/>
          </w:tcPr>
          <w:p>
            <w:pPr>
              <w:spacing w:after="0"/>
              <w:rPr>
                <w:sz w:val="20"/>
                <w:szCs w:val="20"/>
                <w:color w:val="auto"/>
              </w:rPr>
            </w:pPr>
          </w:p>
        </w:tc>
        <w:tc>
          <w:tcPr>
            <w:tcW w:w="300" w:type="dxa"/>
            <w:vAlign w:val="bottom"/>
            <w:shd w:val="clear" w:color="auto" w:fill="E9E9E9"/>
          </w:tcPr>
          <w:p>
            <w:pPr>
              <w:spacing w:after="0"/>
              <w:rPr>
                <w:sz w:val="20"/>
                <w:szCs w:val="20"/>
                <w:color w:val="auto"/>
              </w:rPr>
            </w:pPr>
          </w:p>
        </w:tc>
        <w:tc>
          <w:tcPr>
            <w:tcW w:w="980" w:type="dxa"/>
            <w:vAlign w:val="bottom"/>
            <w:shd w:val="clear" w:color="auto" w:fill="E9E9E9"/>
          </w:tcPr>
          <w:p>
            <w:pPr>
              <w:spacing w:after="0"/>
              <w:rPr>
                <w:sz w:val="20"/>
                <w:szCs w:val="20"/>
                <w:color w:val="auto"/>
              </w:rPr>
            </w:pPr>
          </w:p>
        </w:tc>
        <w:tc>
          <w:tcPr>
            <w:tcW w:w="80" w:type="dxa"/>
            <w:vAlign w:val="bottom"/>
            <w:shd w:val="clear" w:color="auto" w:fill="E9E9E9"/>
          </w:tcPr>
          <w:p>
            <w:pPr>
              <w:spacing w:after="0"/>
              <w:rPr>
                <w:sz w:val="20"/>
                <w:szCs w:val="20"/>
                <w:color w:val="auto"/>
              </w:rPr>
            </w:pPr>
          </w:p>
        </w:tc>
        <w:tc>
          <w:tcPr>
            <w:tcW w:w="420" w:type="dxa"/>
            <w:vAlign w:val="bottom"/>
            <w:shd w:val="clear" w:color="auto" w:fill="E9E9E9"/>
          </w:tcPr>
          <w:p>
            <w:pPr>
              <w:spacing w:after="0"/>
              <w:rPr>
                <w:sz w:val="20"/>
                <w:szCs w:val="20"/>
                <w:color w:val="auto"/>
              </w:rPr>
            </w:pPr>
          </w:p>
        </w:tc>
        <w:tc>
          <w:tcPr>
            <w:tcW w:w="860" w:type="dxa"/>
            <w:vAlign w:val="bottom"/>
            <w:shd w:val="clear" w:color="auto" w:fill="E9E9E9"/>
          </w:tcPr>
          <w:p>
            <w:pPr>
              <w:spacing w:after="0"/>
              <w:rPr>
                <w:sz w:val="20"/>
                <w:szCs w:val="20"/>
                <w:color w:val="auto"/>
              </w:rPr>
            </w:pPr>
          </w:p>
        </w:tc>
      </w:tr>
      <w:tr>
        <w:trPr>
          <w:trHeight w:val="250"/>
        </w:trPr>
        <w:tc>
          <w:tcPr>
            <w:tcW w:w="60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Cash paid during the period for:</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9"/>
        </w:trPr>
        <w:tc>
          <w:tcPr>
            <w:tcW w:w="6020" w:type="dxa"/>
            <w:vAlign w:val="bottom"/>
            <w:shd w:val="clear" w:color="auto" w:fill="E9E9E9"/>
          </w:tcPr>
          <w:p>
            <w:pPr>
              <w:ind w:left="280"/>
              <w:spacing w:after="0" w:line="221" w:lineRule="exact"/>
              <w:rPr>
                <w:sz w:val="20"/>
                <w:szCs w:val="20"/>
                <w:color w:val="auto"/>
              </w:rPr>
            </w:pPr>
            <w:r>
              <w:rPr>
                <w:rFonts w:ascii="Times New Roman" w:cs="Times New Roman" w:eastAsia="Times New Roman" w:hAnsi="Times New Roman"/>
                <w:sz w:val="20"/>
                <w:szCs w:val="20"/>
                <w:color w:val="auto"/>
              </w:rPr>
              <w:t>Interest</w:t>
            </w:r>
          </w:p>
        </w:tc>
        <w:tc>
          <w:tcPr>
            <w:tcW w:w="300" w:type="dxa"/>
            <w:vAlign w:val="bottom"/>
            <w:shd w:val="clear" w:color="auto" w:fill="E9E9E9"/>
          </w:tcPr>
          <w:p>
            <w:pPr>
              <w:jc w:val="right"/>
              <w:ind w:right="62"/>
              <w:spacing w:after="0" w:line="221"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9E9E9"/>
          </w:tcPr>
          <w:p>
            <w:pPr>
              <w:jc w:val="right"/>
              <w:spacing w:after="0" w:line="221" w:lineRule="exact"/>
              <w:rPr>
                <w:sz w:val="20"/>
                <w:szCs w:val="20"/>
                <w:color w:val="auto"/>
              </w:rPr>
            </w:pPr>
            <w:r>
              <w:rPr>
                <w:rFonts w:ascii="Times New Roman" w:cs="Times New Roman" w:eastAsia="Times New Roman" w:hAnsi="Times New Roman"/>
                <w:sz w:val="20"/>
                <w:szCs w:val="20"/>
                <w:color w:val="auto"/>
              </w:rPr>
              <w:t>15,094</w:t>
            </w:r>
          </w:p>
        </w:tc>
        <w:tc>
          <w:tcPr>
            <w:tcW w:w="360" w:type="dxa"/>
            <w:vAlign w:val="bottom"/>
            <w:gridSpan w:val="2"/>
            <w:shd w:val="clear" w:color="auto" w:fill="E9E9E9"/>
          </w:tcPr>
          <w:p>
            <w:pPr>
              <w:jc w:val="right"/>
              <w:ind w:right="42"/>
              <w:spacing w:after="0" w:line="221"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9E9E9"/>
          </w:tcPr>
          <w:p>
            <w:pPr>
              <w:jc w:val="right"/>
              <w:spacing w:after="0" w:line="221" w:lineRule="exact"/>
              <w:rPr>
                <w:sz w:val="20"/>
                <w:szCs w:val="20"/>
                <w:color w:val="auto"/>
              </w:rPr>
            </w:pPr>
            <w:r>
              <w:rPr>
                <w:rFonts w:ascii="Times New Roman" w:cs="Times New Roman" w:eastAsia="Times New Roman" w:hAnsi="Times New Roman"/>
                <w:sz w:val="20"/>
                <w:szCs w:val="20"/>
                <w:color w:val="auto"/>
              </w:rPr>
              <w:t>15,387</w:t>
            </w:r>
          </w:p>
        </w:tc>
        <w:tc>
          <w:tcPr>
            <w:tcW w:w="500" w:type="dxa"/>
            <w:vAlign w:val="bottom"/>
            <w:gridSpan w:val="2"/>
            <w:shd w:val="clear" w:color="auto" w:fill="E9E9E9"/>
          </w:tcPr>
          <w:p>
            <w:pPr>
              <w:jc w:val="right"/>
              <w:ind w:right="182"/>
              <w:spacing w:after="0" w:line="221"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E9E9E9"/>
          </w:tcPr>
          <w:p>
            <w:pPr>
              <w:jc w:val="right"/>
              <w:spacing w:after="0" w:line="221" w:lineRule="exact"/>
              <w:rPr>
                <w:sz w:val="20"/>
                <w:szCs w:val="20"/>
                <w:color w:val="auto"/>
              </w:rPr>
            </w:pPr>
            <w:r>
              <w:rPr>
                <w:rFonts w:ascii="Times New Roman" w:cs="Times New Roman" w:eastAsia="Times New Roman" w:hAnsi="Times New Roman"/>
                <w:sz w:val="20"/>
                <w:szCs w:val="20"/>
                <w:color w:val="auto"/>
              </w:rPr>
              <w:t>5,064</w:t>
            </w:r>
          </w:p>
        </w:tc>
      </w:tr>
      <w:tr>
        <w:trPr>
          <w:trHeight w:val="274"/>
        </w:trPr>
        <w:tc>
          <w:tcPr>
            <w:tcW w:w="6020" w:type="dxa"/>
            <w:vAlign w:val="bottom"/>
            <w:tcBorders>
              <w:top w:val="single" w:sz="8" w:color="E9E9E9"/>
              <w:bottom w:val="single" w:sz="8" w:color="E9E9E9"/>
            </w:tcBorders>
          </w:tcPr>
          <w:p>
            <w:pPr>
              <w:ind w:left="280"/>
              <w:spacing w:after="0"/>
              <w:rPr>
                <w:sz w:val="20"/>
                <w:szCs w:val="20"/>
                <w:color w:val="auto"/>
              </w:rPr>
            </w:pPr>
            <w:r>
              <w:rPr>
                <w:rFonts w:ascii="Times New Roman" w:cs="Times New Roman" w:eastAsia="Times New Roman" w:hAnsi="Times New Roman"/>
                <w:sz w:val="20"/>
                <w:szCs w:val="20"/>
                <w:color w:val="auto"/>
              </w:rPr>
              <w:t>Income taxes, net of refunds of $2,688, $25 and $50, respectively</w:t>
            </w:r>
          </w:p>
        </w:tc>
        <w:tc>
          <w:tcPr>
            <w:tcW w:w="30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153,815</w:t>
            </w:r>
          </w:p>
        </w:tc>
        <w:tc>
          <w:tcPr>
            <w:tcW w:w="60" w:type="dxa"/>
            <w:vAlign w:val="bottom"/>
            <w:tcBorders>
              <w:top w:val="single" w:sz="8" w:color="E9E9E9"/>
              <w:bottom w:val="single" w:sz="8" w:color="E9E9E9"/>
            </w:tcBorders>
          </w:tcPr>
          <w:p>
            <w:pPr>
              <w:spacing w:after="0"/>
              <w:rPr>
                <w:sz w:val="23"/>
                <w:szCs w:val="23"/>
                <w:color w:val="auto"/>
              </w:rPr>
            </w:pPr>
          </w:p>
        </w:tc>
        <w:tc>
          <w:tcPr>
            <w:tcW w:w="3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151,579</w:t>
            </w:r>
          </w:p>
        </w:tc>
        <w:tc>
          <w:tcPr>
            <w:tcW w:w="80" w:type="dxa"/>
            <w:vAlign w:val="bottom"/>
            <w:tcBorders>
              <w:top w:val="single" w:sz="8" w:color="E9E9E9"/>
              <w:bottom w:val="single" w:sz="8" w:color="E9E9E9"/>
            </w:tcBorders>
          </w:tcPr>
          <w:p>
            <w:pPr>
              <w:spacing w:after="0"/>
              <w:rPr>
                <w:sz w:val="23"/>
                <w:szCs w:val="23"/>
                <w:color w:val="auto"/>
              </w:rPr>
            </w:pPr>
          </w:p>
        </w:tc>
        <w:tc>
          <w:tcPr>
            <w:tcW w:w="420" w:type="dxa"/>
            <w:vAlign w:val="bottom"/>
            <w:tcBorders>
              <w:top w:val="single" w:sz="8" w:color="auto"/>
              <w:bottom w:val="single" w:sz="8" w:color="auto"/>
            </w:tcBorders>
          </w:tcPr>
          <w:p>
            <w:pPr>
              <w:jc w:val="right"/>
              <w:ind w:right="182"/>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54,049</w:t>
            </w:r>
          </w:p>
        </w:tc>
      </w:tr>
      <w:tr>
        <w:trPr>
          <w:trHeight w:val="220"/>
        </w:trPr>
        <w:tc>
          <w:tcPr>
            <w:tcW w:w="6020" w:type="dxa"/>
            <w:vAlign w:val="bottom"/>
            <w:shd w:val="clear" w:color="auto" w:fill="E9E9E9"/>
          </w:tcPr>
          <w:p>
            <w:pPr>
              <w:ind w:left="60"/>
              <w:spacing w:after="0" w:line="221" w:lineRule="exact"/>
              <w:rPr>
                <w:sz w:val="20"/>
                <w:szCs w:val="20"/>
                <w:color w:val="auto"/>
              </w:rPr>
            </w:pPr>
            <w:r>
              <w:rPr>
                <w:rFonts w:ascii="Times New Roman" w:cs="Times New Roman" w:eastAsia="Times New Roman" w:hAnsi="Times New Roman"/>
                <w:sz w:val="20"/>
                <w:szCs w:val="20"/>
                <w:b w:val="1"/>
                <w:bCs w:val="1"/>
                <w:color w:val="auto"/>
              </w:rPr>
              <w:t>Schedule of non-cash investing and financing activities</w:t>
            </w:r>
          </w:p>
        </w:tc>
        <w:tc>
          <w:tcPr>
            <w:tcW w:w="300" w:type="dxa"/>
            <w:vAlign w:val="bottom"/>
            <w:shd w:val="clear" w:color="auto" w:fill="E9E9E9"/>
          </w:tcPr>
          <w:p>
            <w:pPr>
              <w:spacing w:after="0"/>
              <w:rPr>
                <w:sz w:val="19"/>
                <w:szCs w:val="19"/>
                <w:color w:val="auto"/>
              </w:rPr>
            </w:pPr>
          </w:p>
        </w:tc>
        <w:tc>
          <w:tcPr>
            <w:tcW w:w="98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300" w:type="dxa"/>
            <w:vAlign w:val="bottom"/>
            <w:shd w:val="clear" w:color="auto" w:fill="E9E9E9"/>
          </w:tcPr>
          <w:p>
            <w:pPr>
              <w:spacing w:after="0"/>
              <w:rPr>
                <w:sz w:val="19"/>
                <w:szCs w:val="19"/>
                <w:color w:val="auto"/>
              </w:rPr>
            </w:pPr>
          </w:p>
        </w:tc>
        <w:tc>
          <w:tcPr>
            <w:tcW w:w="98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420" w:type="dxa"/>
            <w:vAlign w:val="bottom"/>
            <w:shd w:val="clear" w:color="auto" w:fill="E9E9E9"/>
          </w:tcPr>
          <w:p>
            <w:pPr>
              <w:spacing w:after="0"/>
              <w:rPr>
                <w:sz w:val="19"/>
                <w:szCs w:val="19"/>
                <w:color w:val="auto"/>
              </w:rPr>
            </w:pPr>
          </w:p>
        </w:tc>
        <w:tc>
          <w:tcPr>
            <w:tcW w:w="860" w:type="dxa"/>
            <w:vAlign w:val="bottom"/>
            <w:shd w:val="clear" w:color="auto" w:fill="E9E9E9"/>
          </w:tcPr>
          <w:p>
            <w:pPr>
              <w:spacing w:after="0"/>
              <w:rPr>
                <w:sz w:val="19"/>
                <w:szCs w:val="19"/>
                <w:color w:val="auto"/>
              </w:rPr>
            </w:pPr>
          </w:p>
        </w:tc>
      </w:tr>
      <w:tr>
        <w:trPr>
          <w:trHeight w:val="259"/>
        </w:trPr>
        <w:tc>
          <w:tcPr>
            <w:tcW w:w="6020" w:type="dxa"/>
            <w:vAlign w:val="bottom"/>
          </w:tcPr>
          <w:p>
            <w:pPr>
              <w:ind w:left="280"/>
              <w:spacing w:after="0" w:line="221" w:lineRule="exact"/>
              <w:rPr>
                <w:sz w:val="20"/>
                <w:szCs w:val="20"/>
                <w:color w:val="auto"/>
              </w:rPr>
            </w:pPr>
            <w:r>
              <w:rPr>
                <w:rFonts w:ascii="Times New Roman" w:cs="Times New Roman" w:eastAsia="Times New Roman" w:hAnsi="Times New Roman"/>
                <w:sz w:val="20"/>
                <w:szCs w:val="20"/>
                <w:color w:val="auto"/>
              </w:rPr>
              <w:t>Additions of property, plant and equipment included in liabilities</w:t>
            </w:r>
          </w:p>
        </w:tc>
        <w:tc>
          <w:tcPr>
            <w:tcW w:w="300" w:type="dxa"/>
            <w:vAlign w:val="bottom"/>
          </w:tcPr>
          <w:p>
            <w:pPr>
              <w:jc w:val="right"/>
              <w:ind w:right="62"/>
              <w:spacing w:after="0" w:line="221"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5,058</w:t>
            </w:r>
          </w:p>
        </w:tc>
        <w:tc>
          <w:tcPr>
            <w:tcW w:w="360" w:type="dxa"/>
            <w:vAlign w:val="bottom"/>
            <w:gridSpan w:val="2"/>
          </w:tcPr>
          <w:p>
            <w:pPr>
              <w:jc w:val="right"/>
              <w:ind w:right="42"/>
              <w:spacing w:after="0" w:line="221"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6,978</w:t>
            </w:r>
          </w:p>
        </w:tc>
        <w:tc>
          <w:tcPr>
            <w:tcW w:w="500" w:type="dxa"/>
            <w:vAlign w:val="bottom"/>
            <w:gridSpan w:val="2"/>
          </w:tcPr>
          <w:p>
            <w:pPr>
              <w:jc w:val="right"/>
              <w:ind w:right="182"/>
              <w:spacing w:after="0" w:line="221"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2,370</w:t>
            </w:r>
          </w:p>
        </w:tc>
      </w:tr>
      <w:tr>
        <w:trPr>
          <w:trHeight w:val="274"/>
        </w:trPr>
        <w:tc>
          <w:tcPr>
            <w:tcW w:w="6020" w:type="dxa"/>
            <w:vAlign w:val="bottom"/>
            <w:tcBorders>
              <w:top w:val="single" w:sz="8" w:color="E9E9E9"/>
              <w:bottom w:val="single" w:sz="8" w:color="E9E9E9"/>
            </w:tcBorders>
            <w:shd w:val="clear" w:color="auto" w:fill="E9E9E9"/>
          </w:tcPr>
          <w:p>
            <w:pPr>
              <w:ind w:left="280"/>
              <w:spacing w:after="0"/>
              <w:rPr>
                <w:sz w:val="20"/>
                <w:szCs w:val="20"/>
                <w:color w:val="auto"/>
              </w:rPr>
            </w:pPr>
            <w:r>
              <w:rPr>
                <w:rFonts w:ascii="Times New Roman" w:cs="Times New Roman" w:eastAsia="Times New Roman" w:hAnsi="Times New Roman"/>
                <w:sz w:val="20"/>
                <w:szCs w:val="20"/>
                <w:color w:val="auto"/>
              </w:rPr>
              <w:t>Lease liability settled through transfer of lease</w:t>
            </w:r>
          </w:p>
        </w:tc>
        <w:tc>
          <w:tcPr>
            <w:tcW w:w="300" w:type="dxa"/>
            <w:vAlign w:val="bottom"/>
            <w:tcBorders>
              <w:top w:val="single" w:sz="8" w:color="auto"/>
              <w:bottom w:val="single" w:sz="8" w:color="auto"/>
            </w:tcBorders>
            <w:shd w:val="clear" w:color="auto" w:fill="E9E9E9"/>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762</w:t>
            </w:r>
          </w:p>
        </w:tc>
        <w:tc>
          <w:tcPr>
            <w:tcW w:w="60" w:type="dxa"/>
            <w:vAlign w:val="bottom"/>
            <w:tcBorders>
              <w:top w:val="single" w:sz="8" w:color="E9E9E9"/>
              <w:bottom w:val="single" w:sz="8" w:color="E9E9E9"/>
            </w:tcBorders>
            <w:shd w:val="clear" w:color="auto" w:fill="E9E9E9"/>
          </w:tcPr>
          <w:p>
            <w:pPr>
              <w:spacing w:after="0"/>
              <w:rPr>
                <w:sz w:val="23"/>
                <w:szCs w:val="23"/>
                <w:color w:val="auto"/>
              </w:rPr>
            </w:pPr>
          </w:p>
        </w:tc>
        <w:tc>
          <w:tcPr>
            <w:tcW w:w="300" w:type="dxa"/>
            <w:vAlign w:val="bottom"/>
            <w:tcBorders>
              <w:top w:val="single" w:sz="8" w:color="auto"/>
              <w:bottom w:val="single" w:sz="8" w:color="auto"/>
            </w:tcBorders>
            <w:shd w:val="clear" w:color="auto" w:fill="E9E9E9"/>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top w:val="single" w:sz="8" w:color="E9E9E9"/>
              <w:bottom w:val="single" w:sz="8" w:color="E9E9E9"/>
            </w:tcBorders>
            <w:shd w:val="clear" w:color="auto" w:fill="E9E9E9"/>
          </w:tcPr>
          <w:p>
            <w:pPr>
              <w:spacing w:after="0"/>
              <w:rPr>
                <w:sz w:val="23"/>
                <w:szCs w:val="23"/>
                <w:color w:val="auto"/>
              </w:rPr>
            </w:pPr>
          </w:p>
        </w:tc>
        <w:tc>
          <w:tcPr>
            <w:tcW w:w="420" w:type="dxa"/>
            <w:vAlign w:val="bottom"/>
            <w:tcBorders>
              <w:top w:val="single" w:sz="8" w:color="auto"/>
              <w:bottom w:val="single" w:sz="8" w:color="auto"/>
            </w:tcBorders>
            <w:shd w:val="clear" w:color="auto" w:fill="E9E9E9"/>
          </w:tcPr>
          <w:p>
            <w:pPr>
              <w:jc w:val="right"/>
              <w:ind w:right="182"/>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top w:val="single" w:sz="8" w:color="auto"/>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74"/>
        </w:trPr>
        <w:tc>
          <w:tcPr>
            <w:tcW w:w="6020" w:type="dxa"/>
            <w:vAlign w:val="bottom"/>
            <w:tcBorders>
              <w:bottom w:val="single" w:sz="8" w:color="E9E9E9"/>
            </w:tcBorders>
          </w:tcPr>
          <w:p>
            <w:pPr>
              <w:ind w:left="280"/>
              <w:spacing w:after="0"/>
              <w:rPr>
                <w:sz w:val="20"/>
                <w:szCs w:val="20"/>
                <w:color w:val="auto"/>
              </w:rPr>
            </w:pPr>
            <w:r>
              <w:rPr>
                <w:rFonts w:ascii="Times New Roman" w:cs="Times New Roman" w:eastAsia="Times New Roman" w:hAnsi="Times New Roman"/>
                <w:sz w:val="20"/>
                <w:szCs w:val="20"/>
                <w:color w:val="auto"/>
              </w:rPr>
              <w:t>Right-of-use asset obtained in exchange for operating lease liabilities</w:t>
            </w:r>
          </w:p>
        </w:tc>
        <w:tc>
          <w:tcPr>
            <w:tcW w:w="3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60" w:type="dxa"/>
            <w:vAlign w:val="bottom"/>
            <w:tcBorders>
              <w:bottom w:val="single" w:sz="8" w:color="E9E9E9"/>
            </w:tcBorders>
          </w:tcPr>
          <w:p>
            <w:pPr>
              <w:spacing w:after="0"/>
              <w:rPr>
                <w:sz w:val="23"/>
                <w:szCs w:val="23"/>
                <w:color w:val="auto"/>
              </w:rPr>
            </w:pPr>
          </w:p>
        </w:tc>
        <w:tc>
          <w:tcPr>
            <w:tcW w:w="3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29,396</w:t>
            </w:r>
          </w:p>
        </w:tc>
        <w:tc>
          <w:tcPr>
            <w:tcW w:w="80" w:type="dxa"/>
            <w:vAlign w:val="bottom"/>
            <w:tcBorders>
              <w:bottom w:val="single" w:sz="8" w:color="E9E9E9"/>
            </w:tcBorders>
          </w:tcPr>
          <w:p>
            <w:pPr>
              <w:spacing w:after="0"/>
              <w:rPr>
                <w:sz w:val="23"/>
                <w:szCs w:val="23"/>
                <w:color w:val="auto"/>
              </w:rPr>
            </w:pPr>
          </w:p>
        </w:tc>
        <w:tc>
          <w:tcPr>
            <w:tcW w:w="4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11,019</w:t>
            </w:r>
          </w:p>
        </w:tc>
      </w:tr>
      <w:tr>
        <w:trPr>
          <w:trHeight w:val="274"/>
        </w:trPr>
        <w:tc>
          <w:tcPr>
            <w:tcW w:w="6020" w:type="dxa"/>
            <w:vAlign w:val="bottom"/>
            <w:tcBorders>
              <w:bottom w:val="single" w:sz="8" w:color="E9E9E9"/>
            </w:tcBorders>
            <w:shd w:val="clear" w:color="auto" w:fill="E9E9E9"/>
          </w:tcPr>
          <w:p>
            <w:pPr>
              <w:ind w:left="280"/>
              <w:spacing w:after="0"/>
              <w:rPr>
                <w:sz w:val="20"/>
                <w:szCs w:val="20"/>
                <w:color w:val="auto"/>
              </w:rPr>
            </w:pPr>
            <w:r>
              <w:rPr>
                <w:rFonts w:ascii="Times New Roman" w:cs="Times New Roman" w:eastAsia="Times New Roman" w:hAnsi="Times New Roman"/>
                <w:sz w:val="20"/>
                <w:szCs w:val="20"/>
                <w:color w:val="auto"/>
              </w:rPr>
              <w:t>Excise tax payable on net common stock repurchases</w:t>
            </w:r>
          </w:p>
        </w:tc>
        <w:tc>
          <w:tcPr>
            <w:tcW w:w="300" w:type="dxa"/>
            <w:vAlign w:val="bottom"/>
            <w:tcBorders>
              <w:bottom w:val="single" w:sz="8" w:color="auto"/>
            </w:tcBorders>
            <w:shd w:val="clear" w:color="auto" w:fill="E9E9E9"/>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251</w:t>
            </w:r>
          </w:p>
        </w:tc>
        <w:tc>
          <w:tcPr>
            <w:tcW w:w="60" w:type="dxa"/>
            <w:vAlign w:val="bottom"/>
            <w:tcBorders>
              <w:bottom w:val="single" w:sz="8" w:color="E9E9E9"/>
            </w:tcBorders>
            <w:shd w:val="clear" w:color="auto" w:fill="E9E9E9"/>
          </w:tcPr>
          <w:p>
            <w:pPr>
              <w:spacing w:after="0"/>
              <w:rPr>
                <w:sz w:val="23"/>
                <w:szCs w:val="23"/>
                <w:color w:val="auto"/>
              </w:rPr>
            </w:pPr>
          </w:p>
        </w:tc>
        <w:tc>
          <w:tcPr>
            <w:tcW w:w="300" w:type="dxa"/>
            <w:vAlign w:val="bottom"/>
            <w:tcBorders>
              <w:bottom w:val="single" w:sz="8" w:color="auto"/>
            </w:tcBorders>
            <w:shd w:val="clear" w:color="auto" w:fill="E9E9E9"/>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9E9E9"/>
            </w:tcBorders>
            <w:shd w:val="clear" w:color="auto" w:fill="E9E9E9"/>
          </w:tcPr>
          <w:p>
            <w:pPr>
              <w:spacing w:after="0"/>
              <w:rPr>
                <w:sz w:val="23"/>
                <w:szCs w:val="23"/>
                <w:color w:val="auto"/>
              </w:rPr>
            </w:pPr>
          </w:p>
        </w:tc>
        <w:tc>
          <w:tcPr>
            <w:tcW w:w="420" w:type="dxa"/>
            <w:vAlign w:val="bottom"/>
            <w:tcBorders>
              <w:bottom w:val="single" w:sz="8" w:color="auto"/>
            </w:tcBorders>
            <w:shd w:val="clear" w:color="auto" w:fill="E9E9E9"/>
          </w:tcPr>
          <w:p>
            <w:pPr>
              <w:jc w:val="right"/>
              <w:ind w:right="182"/>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3806190</wp:posOffset>
            </wp:positionH>
            <wp:positionV relativeFrom="paragraph">
              <wp:posOffset>-1107440</wp:posOffset>
            </wp:positionV>
            <wp:extent cx="2555240" cy="501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55240" cy="50165"/>
                    </a:xfrm>
                    <a:prstGeom prst="rect">
                      <a:avLst/>
                    </a:prstGeom>
                    <a:noFill/>
                  </pic:spPr>
                </pic:pic>
              </a:graphicData>
            </a:graphic>
          </wp:anchor>
        </w:drawing>
        <w:drawing>
          <wp:anchor simplePos="0" relativeHeight="251657728" behindDoc="1" locked="0" layoutInCell="0" allowOverlap="1">
            <wp:simplePos x="0" y="0"/>
            <wp:positionH relativeFrom="column">
              <wp:posOffset>3806190</wp:posOffset>
            </wp:positionH>
            <wp:positionV relativeFrom="paragraph">
              <wp:posOffset>-920750</wp:posOffset>
            </wp:positionV>
            <wp:extent cx="2555240" cy="501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55240" cy="50165"/>
                    </a:xfrm>
                    <a:prstGeom prst="rect">
                      <a:avLst/>
                    </a:prstGeom>
                    <a:noFill/>
                  </pic:spPr>
                </pic:pic>
              </a:graphicData>
            </a:graphic>
          </wp:anchor>
        </w:drawing>
        <w:drawing>
          <wp:anchor simplePos="0" relativeHeight="251657728" behindDoc="1" locked="0" layoutInCell="0" allowOverlap="1">
            <wp:simplePos x="0" y="0"/>
            <wp:positionH relativeFrom="column">
              <wp:posOffset>3806190</wp:posOffset>
            </wp:positionH>
            <wp:positionV relativeFrom="paragraph">
              <wp:posOffset>-603250</wp:posOffset>
            </wp:positionV>
            <wp:extent cx="2555240" cy="501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55240" cy="50165"/>
                    </a:xfrm>
                    <a:prstGeom prst="rect">
                      <a:avLst/>
                    </a:prstGeom>
                    <a:noFill/>
                  </pic:spPr>
                </pic:pic>
              </a:graphicData>
            </a:graphic>
          </wp:anchor>
        </w:drawing>
        <w:drawing>
          <wp:anchor simplePos="0" relativeHeight="251657728" behindDoc="1" locked="0" layoutInCell="0" allowOverlap="1">
            <wp:simplePos x="0" y="0"/>
            <wp:positionH relativeFrom="column">
              <wp:posOffset>3806190</wp:posOffset>
            </wp:positionH>
            <wp:positionV relativeFrom="paragraph">
              <wp:posOffset>-416560</wp:posOffset>
            </wp:positionV>
            <wp:extent cx="2555240" cy="501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55240" cy="50165"/>
                    </a:xfrm>
                    <a:prstGeom prst="rect">
                      <a:avLst/>
                    </a:prstGeom>
                    <a:noFill/>
                  </pic:spPr>
                </pic:pic>
              </a:graphicData>
            </a:graphic>
          </wp:anchor>
        </w:drawing>
        <w:drawing>
          <wp:anchor simplePos="0" relativeHeight="251657728" behindDoc="1" locked="0" layoutInCell="0" allowOverlap="1">
            <wp:simplePos x="0" y="0"/>
            <wp:positionH relativeFrom="column">
              <wp:posOffset>3806190</wp:posOffset>
            </wp:positionH>
            <wp:positionV relativeFrom="paragraph">
              <wp:posOffset>-229870</wp:posOffset>
            </wp:positionV>
            <wp:extent cx="2555240" cy="501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55240" cy="50165"/>
                    </a:xfrm>
                    <a:prstGeom prst="rect">
                      <a:avLst/>
                    </a:prstGeom>
                    <a:noFill/>
                  </pic:spPr>
                </pic:pic>
              </a:graphicData>
            </a:graphic>
          </wp:anchor>
        </w:drawing>
        <w:drawing>
          <wp:anchor simplePos="0" relativeHeight="251657728" behindDoc="1" locked="0" layoutInCell="0" allowOverlap="1">
            <wp:simplePos x="0" y="0"/>
            <wp:positionH relativeFrom="column">
              <wp:posOffset>3806190</wp:posOffset>
            </wp:positionH>
            <wp:positionV relativeFrom="paragraph">
              <wp:posOffset>-43180</wp:posOffset>
            </wp:positionV>
            <wp:extent cx="2555240" cy="501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55240" cy="5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10000"/>
          </w:cols>
          <w:pgMar w:left="940" w:top="1085"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880" w:h="15480" w:orient="portrait"/>
          <w:cols w:equalWidth="0" w:num="1">
            <w:col w:w="10000"/>
          </w:cols>
          <w:pgMar w:left="940" w:top="1085" w:right="940" w:bottom="0" w:gutter="0" w:footer="0" w:header="0"/>
          <w:type w:val="continuous"/>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Lantheus Holdings, Inc.</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Description of Business</w:t>
      </w:r>
    </w:p>
    <w:p>
      <w:pPr>
        <w:spacing w:after="0" w:line="130" w:lineRule="exact"/>
        <w:rPr>
          <w:sz w:val="20"/>
          <w:szCs w:val="20"/>
          <w:color w:val="auto"/>
        </w:rPr>
      </w:pPr>
    </w:p>
    <w:p>
      <w:pPr>
        <w:ind w:right="100" w:firstLine="441"/>
        <w:spacing w:after="0" w:line="278" w:lineRule="auto"/>
        <w:rPr>
          <w:sz w:val="20"/>
          <w:szCs w:val="20"/>
          <w:color w:val="auto"/>
        </w:rPr>
      </w:pPr>
      <w:r>
        <w:rPr>
          <w:rFonts w:ascii="Times New Roman" w:cs="Times New Roman" w:eastAsia="Times New Roman" w:hAnsi="Times New Roman"/>
          <w:sz w:val="19"/>
          <w:szCs w:val="19"/>
          <w:color w:val="auto"/>
        </w:rPr>
        <w:t xml:space="preserve">Lantheus Holdings, Inc., a Delaware corporation, is the parent company of Lantheus Medical Imaging, Inc. (“LMI”) and LMI is the parent company of Progenics Pharmaceuticals, Inc., a Delaware corporation (“Progenics”). See </w:t>
      </w:r>
      <w:r>
        <w:rPr>
          <w:rFonts w:ascii="Times New Roman" w:cs="Times New Roman" w:eastAsia="Times New Roman" w:hAnsi="Times New Roman"/>
          <w:sz w:val="19"/>
          <w:szCs w:val="19"/>
          <w:i w:val="1"/>
          <w:iCs w:val="1"/>
          <w:color w:val="auto"/>
        </w:rPr>
        <w:t>“Progenics Acquisition”</w:t>
      </w:r>
      <w:r>
        <w:rPr>
          <w:rFonts w:ascii="Times New Roman" w:cs="Times New Roman" w:eastAsia="Times New Roman" w:hAnsi="Times New Roman"/>
          <w:sz w:val="19"/>
          <w:szCs w:val="19"/>
          <w:color w:val="auto"/>
        </w:rPr>
        <w:t xml:space="preserve"> below and Note 21, </w:t>
      </w:r>
      <w:r>
        <w:rPr>
          <w:rFonts w:ascii="Times New Roman" w:cs="Times New Roman" w:eastAsia="Times New Roman" w:hAnsi="Times New Roman"/>
          <w:sz w:val="19"/>
          <w:szCs w:val="19"/>
          <w:i w:val="1"/>
          <w:iCs w:val="1"/>
          <w:color w:val="auto"/>
        </w:rPr>
        <w:t>“Acquisition of Assets,”</w:t>
      </w:r>
      <w:r>
        <w:rPr>
          <w:rFonts w:ascii="Times New Roman" w:cs="Times New Roman" w:eastAsia="Times New Roman" w:hAnsi="Times New Roman"/>
          <w:sz w:val="19"/>
          <w:szCs w:val="19"/>
          <w:color w:val="auto"/>
        </w:rPr>
        <w:t xml:space="preserve"> to these consolidated financial statements respectively, for more information.</w:t>
      </w:r>
    </w:p>
    <w:p>
      <w:pPr>
        <w:spacing w:after="0" w:line="182"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20"/>
          <w:szCs w:val="20"/>
          <w:color w:val="auto"/>
        </w:rPr>
        <w:t>The Company develops, manufactures and commercializes innovative diagnostic and therapeutic products that assist clinicians in the diagnosis and treatment of cancer, heart disease and other diseases. The Company believes its diagnostic products result in improved diagnostic information that enables healthcare providers to better detect and characterize, or rule out, disease, potentially achieving improved patient outcomes, reducing patient risk and limiting overall costs throughout the healthcare system.</w:t>
      </w:r>
    </w:p>
    <w:p>
      <w:pPr>
        <w:spacing w:after="0" w:line="202" w:lineRule="exact"/>
        <w:rPr>
          <w:sz w:val="20"/>
          <w:szCs w:val="20"/>
          <w:color w:val="auto"/>
        </w:rPr>
      </w:pPr>
    </w:p>
    <w:p>
      <w:pPr>
        <w:ind w:right="60" w:firstLine="441"/>
        <w:spacing w:after="0" w:line="254" w:lineRule="auto"/>
        <w:rPr>
          <w:sz w:val="20"/>
          <w:szCs w:val="20"/>
          <w:color w:val="auto"/>
        </w:rPr>
      </w:pPr>
      <w:r>
        <w:rPr>
          <w:rFonts w:ascii="Times New Roman" w:cs="Times New Roman" w:eastAsia="Times New Roman" w:hAnsi="Times New Roman"/>
          <w:sz w:val="20"/>
          <w:szCs w:val="20"/>
          <w:color w:val="auto"/>
        </w:rPr>
        <w:t>The Company’s commercial products are used by cardiologists, internal medicine physicians, nuclear medicine physicians, oncologists, radiologists, sonographers, technologists, and urologists working in a variety of clinical settings. The Company believes that its diagnostic products provide information that enables healthcare providers to better detect and characterize, or rule out, disease, with the potential to achieve better patient outcomes, reduce patient risk, and limit overall costs.</w:t>
      </w:r>
    </w:p>
    <w:p>
      <w:pPr>
        <w:spacing w:after="0" w:line="202" w:lineRule="exact"/>
        <w:rPr>
          <w:sz w:val="20"/>
          <w:szCs w:val="20"/>
          <w:color w:val="auto"/>
        </w:rPr>
      </w:pPr>
    </w:p>
    <w:p>
      <w:pPr>
        <w:ind w:right="100" w:firstLine="441"/>
        <w:spacing w:after="0" w:line="254" w:lineRule="auto"/>
        <w:rPr>
          <w:sz w:val="20"/>
          <w:szCs w:val="20"/>
          <w:color w:val="auto"/>
        </w:rPr>
      </w:pPr>
      <w:r>
        <w:rPr>
          <w:rFonts w:ascii="Times New Roman" w:cs="Times New Roman" w:eastAsia="Times New Roman" w:hAnsi="Times New Roman"/>
          <w:sz w:val="20"/>
          <w:szCs w:val="20"/>
          <w:color w:val="auto"/>
        </w:rPr>
        <w:t>The Company produces and markets its products throughout the United States (the “United States” or the “U.S.”), selling primarily to hospitals, independent diagnostic testing facilities, and radiopharmacies. The Company sells its products outside the U.S. through a combination of direct distribution in Canada and third-party distribution relationships in Europe, Canada, Australia, Asia-Pacific, Central America and South America.</w:t>
      </w:r>
    </w:p>
    <w:p>
      <w:pPr>
        <w:spacing w:after="0" w:line="202" w:lineRule="exact"/>
        <w:rPr>
          <w:sz w:val="20"/>
          <w:szCs w:val="20"/>
          <w:color w:val="auto"/>
        </w:rPr>
      </w:pPr>
    </w:p>
    <w:p>
      <w:pPr>
        <w:ind w:right="20" w:firstLine="441"/>
        <w:spacing w:after="0" w:line="248" w:lineRule="auto"/>
        <w:rPr>
          <w:sz w:val="20"/>
          <w:szCs w:val="20"/>
          <w:color w:val="auto"/>
        </w:rPr>
      </w:pPr>
      <w:r>
        <w:rPr>
          <w:rFonts w:ascii="Times New Roman" w:cs="Times New Roman" w:eastAsia="Times New Roman" w:hAnsi="Times New Roman"/>
          <w:sz w:val="20"/>
          <w:szCs w:val="20"/>
          <w:color w:val="auto"/>
        </w:rPr>
        <w:t>Sales of the Company’s prostate cancer diagnostic imaging agent, PYLARIFY (as defined below), are generated in the U.S. through an internal PYLARIFY sales team, as well as a sales team at some of the Company’s positron emission tomography (“PET”) manufacturing facilities (“PMF”) partners. Sales of the Company’s ultrasound enhancing agent, DEFINITY, are generated in the U.S. through an internal DEFINITY sales team. In the U.S., the Company’s other nuclear imaging products, including TechneLite, Xenon-133, NEUROLITE and CARDIOLITE, are primarily sold to commercial radiopharmacies, the majority of which are controlled by or associated with PharmaLogic Holdings Corp, Cardinal Health, RLS, United Pharmacy Partners, and Jubilant Radiopharma. Research revenue is derived from existing partnerships with pharmaceutical companies and academic institutions that use our products and product candidates in clinical trials and includes milestone and dose-related payments. A small portion of the Company’s nuclear imaging product sales in the U.S. are generated through the Company’s internal sales force to hospitals and clinics that maintain their own in-house radiopharmaceutical preparation capabilities.</w:t>
      </w:r>
    </w:p>
    <w:p>
      <w:pPr>
        <w:spacing w:after="0" w:line="211"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20"/>
          <w:szCs w:val="20"/>
          <w:color w:val="auto"/>
        </w:rPr>
        <w:t>In Europe, Australia, Asia-Pacific, Central America and South America, the Company generally relies on third-party distributors to market, sell and distribute its nuclear imaging and ultrasound enhancing agent products, either on a country-by-country basis or on a multi-country regional basis. The Company’s executive offices are located in Bedford, Massachusetts, with additional offices in North Billerica, Massachusetts, Montreal, Canada and Lund, Sweden.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Progenics Acquisition</w:t>
      </w:r>
    </w:p>
    <w:p>
      <w:pPr>
        <w:spacing w:after="0" w:line="131" w:lineRule="exact"/>
        <w:rPr>
          <w:sz w:val="20"/>
          <w:szCs w:val="20"/>
          <w:color w:val="auto"/>
        </w:rPr>
      </w:pPr>
    </w:p>
    <w:p>
      <w:pPr>
        <w:ind w:right="120" w:firstLine="441"/>
        <w:spacing w:after="0" w:line="271" w:lineRule="auto"/>
        <w:rPr>
          <w:sz w:val="20"/>
          <w:szCs w:val="20"/>
          <w:color w:val="auto"/>
        </w:rPr>
      </w:pPr>
      <w:r>
        <w:rPr>
          <w:rFonts w:ascii="Times New Roman" w:cs="Times New Roman" w:eastAsia="Times New Roman" w:hAnsi="Times New Roman"/>
          <w:sz w:val="19"/>
          <w:szCs w:val="19"/>
          <w:color w:val="auto"/>
        </w:rPr>
        <w:t>On June 19, 2020 (the “Closing Date”), pursuant to the Amended and Restated Agreement and Plan of Merger, dated as of February 20, 2020 (the “Merger Agreement”), by and among Holdings, Plato Merger Sub, Inc., a wholly-owned subsidiary of Holdings (“Merger Sub”), and Progenics, Holdings completed the acquisition of Progenics by means of a merger of Merger Sub with and into Progenics, with Progenics surviving such merger as a wholly-owned subsidiary of Holdings (the “Progenics Acquisition”).</w:t>
      </w:r>
    </w:p>
    <w:p>
      <w:pPr>
        <w:spacing w:after="0" w:line="189" w:lineRule="exact"/>
        <w:rPr>
          <w:sz w:val="20"/>
          <w:szCs w:val="20"/>
          <w:color w:val="auto"/>
        </w:rPr>
      </w:pPr>
    </w:p>
    <w:p>
      <w:pPr>
        <w:ind w:right="60" w:firstLine="441"/>
        <w:spacing w:after="0" w:line="248" w:lineRule="auto"/>
        <w:rPr>
          <w:sz w:val="20"/>
          <w:szCs w:val="20"/>
          <w:color w:val="auto"/>
        </w:rPr>
      </w:pPr>
      <w:r>
        <w:rPr>
          <w:rFonts w:ascii="Times New Roman" w:cs="Times New Roman" w:eastAsia="Times New Roman" w:hAnsi="Times New Roman"/>
          <w:sz w:val="20"/>
          <w:szCs w:val="20"/>
          <w:color w:val="auto"/>
        </w:rPr>
        <w:t>In connection with the Progenics Acquisition, Lantheus Holdings issued 26,844,877 shares of Lantheus Holdings common stock and 86,630,633 contingent value rights (each a “CVR”) tied to the financial performance of PYLARIFY to former Progenics stockholders and option holders. Each CVR entitled its holder to receive a pro rata share of aggregate cash payments equal to 40% of U.S. net sales generated by PYLARIFY in 2022 and 2023 in excess of $100.0 million and $150.0 million, respectively. The Company’s aggregate payments in respect of the CVRs, together with any other non-stock consideration treated as paid in connection with the Progenics Acquisition, was capped at 19.9% of the total consideration the Company paid in the Progenics Acquisition. Based on the Company’s 2022 PYLARIFY net sales, the Company determined that the aggregate payment obligation under the CVRs was $99.6 million, which was the maximum amount payable. The Company paid out this amount in May 2023 in full satisfaction of the CVRs.</w:t>
      </w:r>
    </w:p>
    <w:p>
      <w:pPr>
        <w:sectPr>
          <w:pgSz w:w="11880" w:h="15480" w:orient="portrait"/>
          <w:cols w:equalWidth="0" w:num="1">
            <w:col w:w="10580"/>
          </w:cols>
          <w:pgMar w:left="640" w:top="615"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86</w:t>
      </w:r>
    </w:p>
    <w:p>
      <w:pPr>
        <w:sectPr>
          <w:pgSz w:w="11880" w:h="15480" w:orient="portrait"/>
          <w:cols w:equalWidth="0" w:num="1">
            <w:col w:w="10580"/>
          </w:cols>
          <w:pgMar w:left="640" w:top="615" w:right="660" w:bottom="0" w:gutter="0" w:footer="0" w:header="0"/>
          <w:type w:val="continuous"/>
        </w:sectPr>
      </w:pPr>
    </w:p>
    <w:bookmarkStart w:id="92" w:name="page93"/>
    <w:bookmarkEnd w:id="92"/>
    <w:p>
      <w:pPr>
        <w:ind w:right="6240" w:firstLine="8"/>
        <w:spacing w:after="0" w:line="391" w:lineRule="auto"/>
        <w:tabs>
          <w:tab w:leader="none" w:pos="196" w:val="left"/>
        </w:tabs>
        <w:numPr>
          <w:ilvl w:val="0"/>
          <w:numId w:val="4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Summary of Significant Accounting Policies </w:t>
      </w:r>
      <w:r>
        <w:rPr>
          <w:rFonts w:ascii="Times New Roman" w:cs="Times New Roman" w:eastAsia="Times New Roman" w:hAnsi="Times New Roman"/>
          <w:sz w:val="19"/>
          <w:szCs w:val="19"/>
          <w:b w:val="1"/>
          <w:bCs w:val="1"/>
          <w:i w:val="1"/>
          <w:iCs w:val="1"/>
          <w:color w:val="auto"/>
        </w:rPr>
        <w:t>Basis of Presentation and Principles of Consolidation</w:t>
      </w:r>
    </w:p>
    <w:p>
      <w:pPr>
        <w:spacing w:after="0" w:line="1" w:lineRule="exact"/>
        <w:rPr>
          <w:sz w:val="20"/>
          <w:szCs w:val="20"/>
          <w:color w:val="auto"/>
        </w:rPr>
      </w:pPr>
    </w:p>
    <w:p>
      <w:pPr>
        <w:ind w:right="360" w:firstLine="441"/>
        <w:spacing w:after="0" w:line="278" w:lineRule="auto"/>
        <w:rPr>
          <w:sz w:val="20"/>
          <w:szCs w:val="20"/>
          <w:color w:val="auto"/>
        </w:rPr>
      </w:pPr>
      <w:r>
        <w:rPr>
          <w:rFonts w:ascii="Times New Roman" w:cs="Times New Roman" w:eastAsia="Times New Roman" w:hAnsi="Times New Roman"/>
          <w:sz w:val="19"/>
          <w:szCs w:val="19"/>
          <w:color w:val="auto"/>
        </w:rPr>
        <w:t>The accompanying consolidated financial statements have been prepared in accordance with generally accepted accounting principles in the United States (“U.S. GAAP”). The consolidated financial statements include the accounts of the Company and its direct and indirect wholly-owned subsidiaries. All intercompany accounts and transactions have been eliminated in consolidation.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131" w:lineRule="exact"/>
        <w:rPr>
          <w:sz w:val="20"/>
          <w:szCs w:val="20"/>
          <w:color w:val="auto"/>
        </w:rPr>
      </w:pPr>
    </w:p>
    <w:p>
      <w:pPr>
        <w:ind w:right="80" w:firstLine="441"/>
        <w:spacing w:after="0" w:line="249" w:lineRule="auto"/>
        <w:rPr>
          <w:sz w:val="20"/>
          <w:szCs w:val="20"/>
          <w:color w:val="auto"/>
        </w:rPr>
      </w:pPr>
      <w:r>
        <w:rPr>
          <w:rFonts w:ascii="Times New Roman" w:cs="Times New Roman" w:eastAsia="Times New Roman" w:hAnsi="Times New Roman"/>
          <w:sz w:val="20"/>
          <w:szCs w:val="20"/>
          <w:color w:val="auto"/>
        </w:rPr>
        <w:t>The preparation of consolidated financial statements in conformity with U.S. GAAP requires management to make certain estimates and assumptions that affect the reported amounts of assets and liabilities at the date of the consolidated financial statements, and the reported amounts of revenues and expenses during the reporting period. The estimates reflected in the Company’s consolidated financial statements include, but are not limited to, certain judgments regarding revenue recognition, goodwill, tangible and intangible asset valuation, inventory valuation, asset retirement obligations, contingent assets and liabilities, income tax liabilities and related indemnification receivable, deferred tax assets and liabilities and accrued expenses. Actual results could materially differ from those estimates or assumptions.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131" w:lineRule="exact"/>
        <w:rPr>
          <w:sz w:val="20"/>
          <w:szCs w:val="20"/>
          <w:color w:val="auto"/>
        </w:rPr>
      </w:pPr>
    </w:p>
    <w:p>
      <w:pPr>
        <w:ind w:right="420" w:firstLine="441"/>
        <w:spacing w:after="0" w:line="278" w:lineRule="auto"/>
        <w:rPr>
          <w:sz w:val="20"/>
          <w:szCs w:val="20"/>
          <w:color w:val="auto"/>
        </w:rPr>
      </w:pPr>
      <w:r>
        <w:rPr>
          <w:rFonts w:ascii="Times New Roman" w:cs="Times New Roman" w:eastAsia="Times New Roman" w:hAnsi="Times New Roman"/>
          <w:sz w:val="19"/>
          <w:szCs w:val="19"/>
          <w:color w:val="auto"/>
        </w:rPr>
        <w:t>The Company recognizes revenue when it transfers control of promised goods or services to its customers in an amount that reflects the consideration to which the Company expects to be entitled to in exchange for those goods and services. See Note 3, “</w:t>
      </w:r>
      <w:r>
        <w:rPr>
          <w:rFonts w:ascii="Times New Roman" w:cs="Times New Roman" w:eastAsia="Times New Roman" w:hAnsi="Times New Roman"/>
          <w:sz w:val="19"/>
          <w:szCs w:val="19"/>
          <w:i w:val="1"/>
          <w:iCs w:val="1"/>
          <w:color w:val="auto"/>
        </w:rPr>
        <w:t>Revenue from Contracts with Customers,”</w:t>
      </w:r>
      <w:r>
        <w:rPr>
          <w:rFonts w:ascii="Times New Roman" w:cs="Times New Roman" w:eastAsia="Times New Roman" w:hAnsi="Times New Roman"/>
          <w:sz w:val="19"/>
          <w:szCs w:val="19"/>
          <w:color w:val="auto"/>
        </w:rPr>
        <w:t xml:space="preserve"> to these consolidated financial statements, for further discussion on revenues.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Accounts Receivable, net</w:t>
      </w:r>
    </w:p>
    <w:p>
      <w:pPr>
        <w:spacing w:after="0" w:line="131"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9"/>
          <w:szCs w:val="19"/>
          <w:color w:val="auto"/>
        </w:rPr>
        <w:t>Accounts receivable consist of amounts billed and currently due from customers. The Company maintains an allowance for doubtful accounts for estimated current expected credit losses. In determining the allowance, consideration includes the probability of recoverability based on past experience as well as current and future economic and market conditions. Certain accounts receivable may be fully reserved when the Company becomes aware of any specific collection issues. The Company periodically reviews the aging of receivables, payment history and customer creditworthiness to determine if adjustments to the allowance for doubtful accounts is necessary. Allowance for doubtful accounts was $7.8 million at December 31, 2024 and de minimis at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31" w:lineRule="exact"/>
        <w:rPr>
          <w:sz w:val="20"/>
          <w:szCs w:val="20"/>
          <w:color w:val="auto"/>
        </w:rPr>
      </w:pPr>
    </w:p>
    <w:p>
      <w:pPr>
        <w:ind w:right="200" w:firstLine="441"/>
        <w:spacing w:after="0" w:line="252" w:lineRule="auto"/>
        <w:rPr>
          <w:sz w:val="20"/>
          <w:szCs w:val="20"/>
          <w:color w:val="auto"/>
        </w:rPr>
      </w:pPr>
      <w:r>
        <w:rPr>
          <w:rFonts w:ascii="Times New Roman" w:cs="Times New Roman" w:eastAsia="Times New Roman" w:hAnsi="Times New Roman"/>
          <w:sz w:val="20"/>
          <w:szCs w:val="20"/>
          <w:color w:val="auto"/>
        </w:rPr>
        <w:t>The Company accounts for income taxes using an asset and liability approach. Income tax expense (benefit) represents income taxes paid or payable for the current year plus the change in deferred taxes during the year. Deferred taxes result from differences between the financial and tax bases of the Company’s assets and liabilities. Deferred tax assets and liabilities are measured using the currently enacted tax rates that apply to taxable income in effect for the years in which those tax attributes are expected to be recovered or paid, and are adjusted for changes in tax rates and tax laws when such changes are enacted.</w:t>
      </w:r>
    </w:p>
    <w:p>
      <w:pPr>
        <w:spacing w:after="0" w:line="204" w:lineRule="exact"/>
        <w:rPr>
          <w:sz w:val="20"/>
          <w:szCs w:val="20"/>
          <w:color w:val="auto"/>
        </w:rPr>
      </w:pPr>
    </w:p>
    <w:p>
      <w:pPr>
        <w:ind w:right="20" w:firstLine="441"/>
        <w:spacing w:after="0" w:line="249" w:lineRule="auto"/>
        <w:rPr>
          <w:sz w:val="20"/>
          <w:szCs w:val="20"/>
          <w:color w:val="auto"/>
        </w:rPr>
      </w:pPr>
      <w:r>
        <w:rPr>
          <w:rFonts w:ascii="Times New Roman" w:cs="Times New Roman" w:eastAsia="Times New Roman" w:hAnsi="Times New Roman"/>
          <w:sz w:val="20"/>
          <w:szCs w:val="20"/>
          <w:color w:val="auto"/>
        </w:rPr>
        <w:t>The Company recognizes deferred tax assets to the extent that the Company believes that these assets are more-likely-than-not to be realized. Valuation allowances are recorded to reduce deferred tax assets when it is more-likely-than-not that the future tax benefit will not be realized. The assessment of whether or not a valuation allowance is required involves weighing both positive and negative evidence, including both historical and prospective information, with greater weight given to evidence that is objectively verifiable. A history of recent losses is negative evidence that is difficult to overcome with positive evidence. In evaluating prospective information there are four sources of taxable income: reversals of taxable temporary differences, items that can be carried back to prior tax years (such as net operating losses), pre-tax income, and prudent and feasible tax planning strategies. Adjustments to the deferred tax valuation allowances are made in the period when those assessments are made.</w:t>
      </w:r>
    </w:p>
    <w:p>
      <w:pPr>
        <w:spacing w:after="0" w:line="208" w:lineRule="exact"/>
        <w:rPr>
          <w:sz w:val="20"/>
          <w:szCs w:val="20"/>
          <w:color w:val="auto"/>
        </w:rPr>
      </w:pPr>
    </w:p>
    <w:p>
      <w:pPr>
        <w:jc w:val="both"/>
        <w:ind w:right="160" w:firstLine="441"/>
        <w:spacing w:after="0" w:line="252" w:lineRule="auto"/>
        <w:rPr>
          <w:sz w:val="20"/>
          <w:szCs w:val="20"/>
          <w:color w:val="auto"/>
        </w:rPr>
      </w:pPr>
      <w:r>
        <w:rPr>
          <w:rFonts w:ascii="Times New Roman" w:cs="Times New Roman" w:eastAsia="Times New Roman" w:hAnsi="Times New Roman"/>
          <w:sz w:val="20"/>
          <w:szCs w:val="20"/>
          <w:color w:val="auto"/>
        </w:rPr>
        <w:t>The Company accounts for uncertain tax positions using a two-step recognition threshold and measurement analysis method to determine the financial statement impact of uncertain tax positions taken or expected to be taken in a tax return. Differences between tax positions taken in a tax return and amounts recognized in the financial statements are recorded as adjustments to other long-term assets and liabilities, or adjustments to deferred taxes, or both. The Company records the related interest and penalties to income tax expense (benefit).</w:t>
      </w:r>
    </w:p>
    <w:p>
      <w:pPr>
        <w:sectPr>
          <w:pgSz w:w="11880" w:h="15480" w:orient="portrait"/>
          <w:cols w:equalWidth="0" w:num="1">
            <w:col w:w="10580"/>
          </w:cols>
          <w:pgMar w:left="640" w:top="615"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87</w:t>
      </w:r>
    </w:p>
    <w:p>
      <w:pPr>
        <w:sectPr>
          <w:pgSz w:w="11880" w:h="15480" w:orient="portrait"/>
          <w:cols w:equalWidth="0" w:num="1">
            <w:col w:w="10580"/>
          </w:cols>
          <w:pgMar w:left="640" w:top="615" w:right="660" w:bottom="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20"/>
          <w:szCs w:val="20"/>
          <w:b w:val="1"/>
          <w:bCs w:val="1"/>
          <w:i w:val="1"/>
          <w:iCs w:val="1"/>
          <w:color w:val="auto"/>
        </w:rPr>
        <w:t>Net Income per Common Share</w:t>
      </w:r>
    </w:p>
    <w:p>
      <w:pPr>
        <w:spacing w:after="0" w:line="131" w:lineRule="exact"/>
        <w:rPr>
          <w:sz w:val="20"/>
          <w:szCs w:val="20"/>
          <w:color w:val="auto"/>
        </w:rPr>
      </w:pPr>
    </w:p>
    <w:p>
      <w:pPr>
        <w:ind w:firstLine="441"/>
        <w:spacing w:after="0" w:line="247" w:lineRule="auto"/>
        <w:rPr>
          <w:sz w:val="20"/>
          <w:szCs w:val="20"/>
          <w:color w:val="auto"/>
        </w:rPr>
      </w:pPr>
      <w:r>
        <w:rPr>
          <w:rFonts w:ascii="Times New Roman" w:cs="Times New Roman" w:eastAsia="Times New Roman" w:hAnsi="Times New Roman"/>
          <w:sz w:val="20"/>
          <w:szCs w:val="20"/>
          <w:color w:val="auto"/>
        </w:rPr>
        <w:t>The Company computes earnings per share using the two-class method. Basic earnings per common share is computed by dividing net income by the weighted-average number of shares of common stock outstanding during the period. Diluted earnings per common share is computed by dividing net income by the weighted-average number of shares of common stock outstanding during the period, plus the potential dilutive effect of other securities as if those securities were converted or exercised. The Company’s potentially dilutive shares, which could include shares issuable upon conversion of the $575.0 million in aggregate principal amount of 2.625% Convertible Senior Notes due 2027 (the “Notes”), are considered to be common stock equivalents and are only included in the calculation of diluted net income per share when their effect is dilutive. The Company has the option to settle the Notes through cash settlement or a combination of cash and share settlement provided that the principal is settled in cash and the conversion spread is settled in cash or shares as elected by the Company. The Company applies the if-converted method for diluted earnings in order to reflect the conversion spread. During periods in which the Company incurs net losses, both basic and diluted loss per common share is calculated by dividing the net loss by the weighted-average shares of common stock outstanding and potentially dilutive securities are excluded from the calculation because their effect would be antidilutive.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131" w:lineRule="exact"/>
        <w:rPr>
          <w:sz w:val="20"/>
          <w:szCs w:val="20"/>
          <w:color w:val="auto"/>
        </w:rPr>
      </w:pPr>
    </w:p>
    <w:p>
      <w:pPr>
        <w:ind w:right="120" w:firstLine="441"/>
        <w:spacing w:after="0" w:line="271" w:lineRule="auto"/>
        <w:rPr>
          <w:sz w:val="20"/>
          <w:szCs w:val="20"/>
          <w:color w:val="auto"/>
        </w:rPr>
      </w:pPr>
      <w:r>
        <w:rPr>
          <w:rFonts w:ascii="Times New Roman" w:cs="Times New Roman" w:eastAsia="Times New Roman" w:hAnsi="Times New Roman"/>
          <w:sz w:val="20"/>
          <w:szCs w:val="20"/>
          <w:color w:val="auto"/>
        </w:rPr>
        <w:t>Cash and cash equivalents include savings deposits, certificates of deposit and money market funds that have original maturities of three months or less when purchased.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Cash</w:t>
      </w:r>
    </w:p>
    <w:p>
      <w:pPr>
        <w:spacing w:after="0" w:line="131" w:lineRule="exact"/>
        <w:rPr>
          <w:sz w:val="20"/>
          <w:szCs w:val="20"/>
          <w:color w:val="auto"/>
        </w:rPr>
      </w:pPr>
    </w:p>
    <w:p>
      <w:pPr>
        <w:ind w:right="20" w:firstLine="441"/>
        <w:spacing w:after="0" w:line="271" w:lineRule="auto"/>
        <w:rPr>
          <w:sz w:val="20"/>
          <w:szCs w:val="20"/>
          <w:color w:val="auto"/>
        </w:rPr>
      </w:pPr>
      <w:r>
        <w:rPr>
          <w:rFonts w:ascii="Times New Roman" w:cs="Times New Roman" w:eastAsia="Times New Roman" w:hAnsi="Times New Roman"/>
          <w:sz w:val="20"/>
          <w:szCs w:val="20"/>
          <w:color w:val="auto"/>
        </w:rPr>
        <w:t>Restricted cash as of December 31, 2024 and 2023, represents primarily collateral for a letter of credit securing a lease obligation and a security deposit. The Company believes the carrying value of these assets approximates fair value.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Risks and Limited Suppliers</w:t>
      </w:r>
    </w:p>
    <w:p>
      <w:pPr>
        <w:spacing w:after="0" w:line="131"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20"/>
          <w:szCs w:val="20"/>
          <w:color w:val="auto"/>
        </w:rPr>
        <w:t>Financial instruments which potentially subject the Company to concentrations of credit risk consist principally of trade accounts receivable. The Company periodically reviews its accounts receivable for collectability and provides for an allowance for doubtful accounts to the extent that amounts are not expected to be collected. The Company sells primarily to hospitals, independent diagnostic testing facilities, and radiopharmacies.</w:t>
      </w:r>
    </w:p>
    <w:p>
      <w:pPr>
        <w:spacing w:after="0" w:line="202" w:lineRule="exact"/>
        <w:rPr>
          <w:sz w:val="20"/>
          <w:szCs w:val="20"/>
          <w:color w:val="auto"/>
        </w:rPr>
      </w:pPr>
    </w:p>
    <w:p>
      <w:pPr>
        <w:ind w:right="560" w:firstLine="441"/>
        <w:spacing w:after="0" w:line="271" w:lineRule="auto"/>
        <w:rPr>
          <w:sz w:val="20"/>
          <w:szCs w:val="20"/>
          <w:color w:val="auto"/>
        </w:rPr>
      </w:pPr>
      <w:r>
        <w:rPr>
          <w:rFonts w:ascii="Times New Roman" w:cs="Times New Roman" w:eastAsia="Times New Roman" w:hAnsi="Times New Roman"/>
          <w:sz w:val="20"/>
          <w:szCs w:val="20"/>
          <w:color w:val="auto"/>
        </w:rPr>
        <w:t>As of December 31, 2024 and 2023, no customer accounted for greater than 10% of accounts receivable, net. No customer accounted for greater than 10% of revenues for the years ended December 31, 2024, 2023 and 2022.</w:t>
      </w:r>
    </w:p>
    <w:p>
      <w:pPr>
        <w:spacing w:after="0" w:line="186" w:lineRule="exact"/>
        <w:rPr>
          <w:sz w:val="20"/>
          <w:szCs w:val="20"/>
          <w:color w:val="auto"/>
        </w:rPr>
      </w:pPr>
    </w:p>
    <w:p>
      <w:pPr>
        <w:ind w:right="40" w:firstLine="441"/>
        <w:spacing w:after="0" w:line="252" w:lineRule="auto"/>
        <w:rPr>
          <w:sz w:val="20"/>
          <w:szCs w:val="20"/>
          <w:color w:val="auto"/>
        </w:rPr>
      </w:pPr>
      <w:r>
        <w:rPr>
          <w:rFonts w:ascii="Times New Roman" w:cs="Times New Roman" w:eastAsia="Times New Roman" w:hAnsi="Times New Roman"/>
          <w:sz w:val="20"/>
          <w:szCs w:val="20"/>
          <w:color w:val="auto"/>
        </w:rPr>
        <w:t>The Company relies on certain materials used in its development and manufacturing processes, some of which are procured from only one or a few sources. The failure of one of these suppliers to deliver on schedule could delay or interrupt the manufacturing or commercialization process and would adversely affect the Company’s operating results. In addition, a disruption in the commercial supply of, or a significant increase in the cost of one of the Company’s materials from these sources could have a material adverse effect on the Company’s business, financial position and results of operations.</w:t>
      </w:r>
    </w:p>
    <w:p>
      <w:pPr>
        <w:spacing w:after="0" w:line="204" w:lineRule="exact"/>
        <w:rPr>
          <w:sz w:val="20"/>
          <w:szCs w:val="20"/>
          <w:color w:val="auto"/>
        </w:rPr>
      </w:pPr>
    </w:p>
    <w:p>
      <w:pPr>
        <w:ind w:right="520" w:firstLine="441"/>
        <w:spacing w:after="0" w:line="252" w:lineRule="auto"/>
        <w:rPr>
          <w:sz w:val="20"/>
          <w:szCs w:val="20"/>
          <w:color w:val="auto"/>
        </w:rPr>
      </w:pPr>
      <w:r>
        <w:rPr>
          <w:rFonts w:ascii="Times New Roman" w:cs="Times New Roman" w:eastAsia="Times New Roman" w:hAnsi="Times New Roman"/>
          <w:sz w:val="20"/>
          <w:szCs w:val="20"/>
          <w:color w:val="auto"/>
        </w:rPr>
        <w:t>The Company currently relies on Jubilant HollisterStier as its significant manufacturer of DEFINITY and its sole source manufacturer of NEUROLITE, CARDIOLITE and evacuation vials for TechneLite. The Company has Molybdenum-99 supply agreements with Institute for Radioelements of Belgium, running through December 31, 2025, with auto-renewal provisions and terminable upon notice of non-renewal, and with NTP Radioisotopes and its subcontractor Australian Nuclear Science and Technology Organisation, running through December 31, 2025.</w:t>
      </w:r>
    </w:p>
    <w:p>
      <w:pPr>
        <w:spacing w:after="0" w:line="2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The following table sets forth revenues for each of the Company’s products representing 10% or more of revenues:</w:t>
      </w:r>
    </w:p>
    <w:p>
      <w:pPr>
        <w:spacing w:after="0" w:line="200" w:lineRule="exact"/>
        <w:rPr>
          <w:sz w:val="20"/>
          <w:szCs w:val="20"/>
          <w:color w:val="auto"/>
        </w:rPr>
      </w:pPr>
    </w:p>
    <w:p>
      <w:pPr>
        <w:spacing w:after="0" w:line="314" w:lineRule="exact"/>
        <w:rPr>
          <w:sz w:val="20"/>
          <w:szCs w:val="20"/>
          <w:color w:val="auto"/>
        </w:rPr>
      </w:pPr>
    </w:p>
    <w:p>
      <w:pPr>
        <w:jc w:val="center"/>
        <w:ind w:left="2440"/>
        <w:spacing w:after="0"/>
        <w:rPr>
          <w:sz w:val="20"/>
          <w:szCs w:val="20"/>
          <w:color w:val="auto"/>
        </w:rPr>
      </w:pPr>
      <w:r>
        <w:rPr>
          <w:rFonts w:ascii="Times New Roman" w:cs="Times New Roman" w:eastAsia="Times New Roman" w:hAnsi="Times New Roman"/>
          <w:sz w:val="20"/>
          <w:szCs w:val="20"/>
          <w:b w:val="1"/>
          <w:bCs w:val="1"/>
          <w:color w:val="auto"/>
        </w:rPr>
        <w:t>Year Ended December 31,</w:t>
      </w:r>
    </w:p>
    <w:p>
      <w:pPr>
        <w:spacing w:after="0" w:line="20" w:lineRule="exact"/>
        <w:rPr>
          <w:sz w:val="20"/>
          <w:szCs w:val="20"/>
          <w:color w:val="auto"/>
        </w:rPr>
      </w:pPr>
    </w:p>
    <w:p>
      <w:pPr>
        <w:ind w:left="4960"/>
        <w:spacing w:after="0"/>
        <w:tabs>
          <w:tab w:leader="none" w:pos="6300" w:val="left"/>
          <w:tab w:leader="none" w:pos="7640" w:val="left"/>
        </w:tabs>
        <w:rPr>
          <w:sz w:val="20"/>
          <w:szCs w:val="20"/>
          <w:color w:val="auto"/>
        </w:rPr>
      </w:pPr>
      <w:r>
        <w:rPr>
          <w:rFonts w:ascii="Times New Roman" w:cs="Times New Roman" w:eastAsia="Times New Roman" w:hAnsi="Times New Roman"/>
          <w:sz w:val="20"/>
          <w:szCs w:val="20"/>
          <w:b w:val="1"/>
          <w:bCs w:val="1"/>
          <w:color w:val="auto"/>
        </w:rPr>
        <w:t>2024</w:t>
      </w:r>
      <w:r>
        <w:rPr>
          <w:sz w:val="20"/>
          <w:szCs w:val="20"/>
          <w:color w:val="auto"/>
        </w:rPr>
        <w:tab/>
      </w:r>
      <w:r>
        <w:rPr>
          <w:rFonts w:ascii="Times New Roman" w:cs="Times New Roman" w:eastAsia="Times New Roman" w:hAnsi="Times New Roman"/>
          <w:sz w:val="20"/>
          <w:szCs w:val="20"/>
          <w:b w:val="1"/>
          <w:bCs w:val="1"/>
          <w:color w:val="auto"/>
        </w:rPr>
        <w:t>2023</w:t>
      </w:r>
      <w:r>
        <w:rPr>
          <w:sz w:val="20"/>
          <w:szCs w:val="20"/>
          <w:color w:val="auto"/>
        </w:rPr>
        <w:tab/>
      </w:r>
      <w:r>
        <w:rPr>
          <w:rFonts w:ascii="Times New Roman" w:cs="Times New Roman" w:eastAsia="Times New Roman" w:hAnsi="Times New Roman"/>
          <w:sz w:val="20"/>
          <w:szCs w:val="20"/>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-137160</wp:posOffset>
            </wp:positionV>
            <wp:extent cx="2529840" cy="12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29840" cy="12700"/>
                    </a:xfrm>
                    <a:prstGeom prst="rect">
                      <a:avLst/>
                    </a:prstGeom>
                    <a:noFill/>
                  </pic:spPr>
                </pic:pic>
              </a:graphicData>
            </a:graphic>
          </wp:anchor>
        </w:drawing>
      </w:r>
    </w:p>
    <w:p>
      <w:pPr>
        <w:spacing w:after="0" w:line="4" w:lineRule="exact"/>
        <w:rPr>
          <w:sz w:val="20"/>
          <w:szCs w:val="20"/>
          <w:color w:val="auto"/>
        </w:rPr>
      </w:pPr>
    </w:p>
    <w:tbl>
      <w:tblPr>
        <w:tblLayout w:type="fixed"/>
        <w:tblInd w:w="2100" w:type="dxa"/>
        <w:tblCellMar>
          <w:top w:w="0" w:type="dxa"/>
          <w:left w:w="0" w:type="dxa"/>
          <w:bottom w:w="0" w:type="dxa"/>
          <w:right w:w="0" w:type="dxa"/>
        </w:tblCellMar>
      </w:tblPr>
      <w:tr>
        <w:trPr>
          <w:trHeight w:val="269"/>
        </w:trPr>
        <w:tc>
          <w:tcPr>
            <w:tcW w:w="206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PYLARIFY</w:t>
            </w:r>
          </w:p>
        </w:tc>
        <w:tc>
          <w:tcPr>
            <w:tcW w:w="2020" w:type="dxa"/>
            <w:vAlign w:val="bottom"/>
            <w:shd w:val="clear" w:color="auto" w:fill="E9E9E9"/>
          </w:tcPr>
          <w:p>
            <w:pPr>
              <w:jc w:val="right"/>
              <w:ind w:right="302"/>
              <w:spacing w:after="0"/>
              <w:rPr>
                <w:sz w:val="20"/>
                <w:szCs w:val="20"/>
                <w:color w:val="auto"/>
              </w:rPr>
            </w:pPr>
            <w:r>
              <w:rPr>
                <w:rFonts w:ascii="Times New Roman" w:cs="Times New Roman" w:eastAsia="Times New Roman" w:hAnsi="Times New Roman"/>
                <w:sz w:val="20"/>
                <w:szCs w:val="20"/>
                <w:color w:val="auto"/>
              </w:rPr>
              <w:t>69.0 %</w:t>
            </w:r>
          </w:p>
        </w:tc>
        <w:tc>
          <w:tcPr>
            <w:tcW w:w="1340" w:type="dxa"/>
            <w:vAlign w:val="bottom"/>
            <w:shd w:val="clear" w:color="auto" w:fill="E9E9E9"/>
          </w:tcPr>
          <w:p>
            <w:pPr>
              <w:jc w:val="right"/>
              <w:ind w:right="282"/>
              <w:spacing w:after="0"/>
              <w:rPr>
                <w:sz w:val="20"/>
                <w:szCs w:val="20"/>
                <w:color w:val="auto"/>
              </w:rPr>
            </w:pPr>
            <w:r>
              <w:rPr>
                <w:rFonts w:ascii="Times New Roman" w:cs="Times New Roman" w:eastAsia="Times New Roman" w:hAnsi="Times New Roman"/>
                <w:sz w:val="20"/>
                <w:szCs w:val="20"/>
                <w:color w:val="auto"/>
              </w:rPr>
              <w:t>65.7 %</w:t>
            </w: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56.4 %</w:t>
            </w:r>
          </w:p>
        </w:tc>
      </w:tr>
      <w:tr>
        <w:trPr>
          <w:trHeight w:val="267"/>
        </w:trPr>
        <w:tc>
          <w:tcPr>
            <w:tcW w:w="2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DEFINITY</w:t>
            </w:r>
          </w:p>
        </w:tc>
        <w:tc>
          <w:tcPr>
            <w:tcW w:w="2020" w:type="dxa"/>
            <w:vAlign w:val="bottom"/>
          </w:tcPr>
          <w:p>
            <w:pPr>
              <w:jc w:val="right"/>
              <w:ind w:right="302"/>
              <w:spacing w:after="0"/>
              <w:rPr>
                <w:sz w:val="20"/>
                <w:szCs w:val="20"/>
                <w:color w:val="auto"/>
              </w:rPr>
            </w:pPr>
            <w:r>
              <w:rPr>
                <w:rFonts w:ascii="Times New Roman" w:cs="Times New Roman" w:eastAsia="Times New Roman" w:hAnsi="Times New Roman"/>
                <w:sz w:val="20"/>
                <w:szCs w:val="20"/>
                <w:color w:val="auto"/>
              </w:rPr>
              <w:t>20.7 %</w:t>
            </w:r>
          </w:p>
        </w:tc>
        <w:tc>
          <w:tcPr>
            <w:tcW w:w="1340" w:type="dxa"/>
            <w:vAlign w:val="bottom"/>
          </w:tcPr>
          <w:p>
            <w:pPr>
              <w:jc w:val="right"/>
              <w:ind w:right="282"/>
              <w:spacing w:after="0"/>
              <w:rPr>
                <w:sz w:val="20"/>
                <w:szCs w:val="20"/>
                <w:color w:val="auto"/>
              </w:rPr>
            </w:pPr>
            <w:r>
              <w:rPr>
                <w:rFonts w:ascii="Times New Roman" w:cs="Times New Roman" w:eastAsia="Times New Roman" w:hAnsi="Times New Roman"/>
                <w:sz w:val="20"/>
                <w:szCs w:val="20"/>
                <w:color w:val="auto"/>
              </w:rPr>
              <w:t>21.6 %</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26.2 %</w:t>
            </w:r>
          </w:p>
        </w:tc>
      </w:tr>
    </w:tbl>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Inventory</w:t>
      </w:r>
    </w:p>
    <w:p>
      <w:pPr>
        <w:spacing w:after="0" w:line="131" w:lineRule="exact"/>
        <w:rPr>
          <w:sz w:val="20"/>
          <w:szCs w:val="20"/>
          <w:color w:val="auto"/>
        </w:rPr>
      </w:pPr>
    </w:p>
    <w:p>
      <w:pPr>
        <w:ind w:right="140" w:firstLine="441"/>
        <w:spacing w:after="0" w:line="273" w:lineRule="auto"/>
        <w:rPr>
          <w:sz w:val="20"/>
          <w:szCs w:val="20"/>
          <w:color w:val="auto"/>
        </w:rPr>
      </w:pPr>
      <w:r>
        <w:rPr>
          <w:rFonts w:ascii="Times New Roman" w:cs="Times New Roman" w:eastAsia="Times New Roman" w:hAnsi="Times New Roman"/>
          <w:sz w:val="19"/>
          <w:szCs w:val="19"/>
          <w:color w:val="auto"/>
        </w:rPr>
        <w:t>Inventory includes material, direct labor and related manufacturing overhead and is stated at the lower of cost and net realizable value on a first-in, first-out basis. The Company records inventory when the Company takes title to the product. The majority of the</w:t>
      </w:r>
    </w:p>
    <w:p>
      <w:pPr>
        <w:spacing w:after="0" w:line="1" w:lineRule="exact"/>
        <w:rPr>
          <w:sz w:val="20"/>
          <w:szCs w:val="20"/>
          <w:color w:val="auto"/>
        </w:rPr>
      </w:pPr>
    </w:p>
    <w:p>
      <w:pPr>
        <w:ind w:right="100"/>
        <w:spacing w:after="0" w:line="292" w:lineRule="auto"/>
        <w:rPr>
          <w:sz w:val="20"/>
          <w:szCs w:val="20"/>
          <w:color w:val="auto"/>
        </w:rPr>
      </w:pPr>
      <w:r>
        <w:rPr>
          <w:rFonts w:ascii="Times New Roman" w:cs="Times New Roman" w:eastAsia="Times New Roman" w:hAnsi="Times New Roman"/>
          <w:sz w:val="20"/>
          <w:szCs w:val="20"/>
          <w:color w:val="auto"/>
        </w:rPr>
        <w:t>value of the inventory relates to non-radioactive products. With respect to the Company’s products that are radiopharmaceuticals, due to the limited shelf life of such products, they are generally not held as finished goods.</w:t>
      </w:r>
    </w:p>
    <w:p>
      <w:pPr>
        <w:sectPr>
          <w:pgSz w:w="11880" w:h="15480" w:orient="portrait"/>
          <w:cols w:equalWidth="0" w:num="1">
            <w:col w:w="10600"/>
          </w:cols>
          <w:pgMar w:left="640" w:top="614" w:right="640" w:bottom="0" w:gutter="0" w:footer="0" w:header="0"/>
        </w:sect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880" w:h="15480" w:orient="portrait"/>
          <w:cols w:equalWidth="0" w:num="1">
            <w:col w:w="10600"/>
          </w:cols>
          <w:pgMar w:left="640" w:top="614" w:right="640" w:bottom="0" w:gutter="0" w:footer="0" w:header="0"/>
          <w:type w:val="continuous"/>
        </w:sectPr>
      </w:pPr>
    </w:p>
    <w:bookmarkStart w:id="94" w:name="page95"/>
    <w:bookmarkEnd w:id="94"/>
    <w:p>
      <w:pPr>
        <w:ind w:right="80" w:firstLine="441"/>
        <w:spacing w:after="0" w:line="258" w:lineRule="auto"/>
        <w:rPr>
          <w:sz w:val="20"/>
          <w:szCs w:val="20"/>
          <w:color w:val="auto"/>
        </w:rPr>
      </w:pPr>
      <w:r>
        <w:rPr>
          <w:rFonts w:ascii="Times New Roman" w:cs="Times New Roman" w:eastAsia="Times New Roman" w:hAnsi="Times New Roman"/>
          <w:sz w:val="20"/>
          <w:szCs w:val="20"/>
          <w:color w:val="auto"/>
        </w:rPr>
        <w:t>The Company assesses the recoverability of inventory to determine whether adjustments for excess and obsolete inventory are required. Inventory that is in excess of future requirements is written down to its estimated net realizable value based on product shelf life, forecasted demand and other factors.</w:t>
      </w:r>
    </w:p>
    <w:p>
      <w:pPr>
        <w:spacing w:after="0" w:line="199" w:lineRule="exact"/>
        <w:rPr>
          <w:sz w:val="20"/>
          <w:szCs w:val="20"/>
          <w:color w:val="auto"/>
        </w:rPr>
      </w:pPr>
    </w:p>
    <w:p>
      <w:pPr>
        <w:ind w:right="220" w:firstLine="441"/>
        <w:spacing w:after="0" w:line="254" w:lineRule="auto"/>
        <w:rPr>
          <w:sz w:val="20"/>
          <w:szCs w:val="20"/>
          <w:color w:val="auto"/>
        </w:rPr>
      </w:pPr>
      <w:r>
        <w:rPr>
          <w:rFonts w:ascii="Times New Roman" w:cs="Times New Roman" w:eastAsia="Times New Roman" w:hAnsi="Times New Roman"/>
          <w:sz w:val="20"/>
          <w:szCs w:val="20"/>
          <w:color w:val="auto"/>
        </w:rPr>
        <w:t>Inventory costs associated with product that has not yet received regulatory approval are capitalized if the Company believes there is probable future commercial use of the product and future economic benefits of the asset. If future commercial use of the product is not probable, then inventory costs associated with such product are expensed as incurred. The Company had no inventory pending regulatory approval as of December 31, 2024 and 2023.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Plant and Equipment, net</w:t>
      </w:r>
    </w:p>
    <w:p>
      <w:pPr>
        <w:spacing w:after="0" w:line="131" w:lineRule="exact"/>
        <w:rPr>
          <w:sz w:val="20"/>
          <w:szCs w:val="20"/>
          <w:color w:val="auto"/>
        </w:rPr>
      </w:pPr>
    </w:p>
    <w:p>
      <w:pPr>
        <w:ind w:right="160" w:firstLine="441"/>
        <w:spacing w:after="0" w:line="250" w:lineRule="auto"/>
        <w:rPr>
          <w:sz w:val="20"/>
          <w:szCs w:val="20"/>
          <w:color w:val="auto"/>
        </w:rPr>
      </w:pPr>
      <w:r>
        <w:rPr>
          <w:rFonts w:ascii="Times New Roman" w:cs="Times New Roman" w:eastAsia="Times New Roman" w:hAnsi="Times New Roman"/>
          <w:sz w:val="20"/>
          <w:szCs w:val="20"/>
          <w:color w:val="auto"/>
        </w:rPr>
        <w:t>Property, plant &amp; equipment are stated at cost. Replacements of major units of property are capitalized, and replaced properties are retired. Replacements of minor components of property and repair and maintenance costs are charged to expense as incurred. Certain costs to obtain or develop computer software are capitalized and amortized over the estimated useful life of the software. Depreciation and amortization are computed on a straight-line basis over the estimated useful lives of the related assets and recorded in costs of goods sold and operating expenses in the associated functional expense category which utilizes the associated asset. The estimated useful lives of the major classes of depreciable assets are as follows:</w:t>
      </w:r>
    </w:p>
    <w:p>
      <w:pPr>
        <w:spacing w:after="0" w:line="277" w:lineRule="exact"/>
        <w:rPr>
          <w:sz w:val="20"/>
          <w:szCs w:val="20"/>
          <w:color w:val="auto"/>
        </w:rPr>
      </w:pPr>
    </w:p>
    <w:tbl>
      <w:tblPr>
        <w:tblLayout w:type="fixed"/>
        <w:tblInd w:w="2520" w:type="dxa"/>
        <w:tblCellMar>
          <w:top w:w="0" w:type="dxa"/>
          <w:left w:w="0" w:type="dxa"/>
          <w:bottom w:w="0" w:type="dxa"/>
          <w:right w:w="0" w:type="dxa"/>
        </w:tblCellMar>
      </w:tblPr>
      <w:tr>
        <w:trPr>
          <w:trHeight w:val="262"/>
        </w:trPr>
        <w:tc>
          <w:tcPr>
            <w:tcW w:w="264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20"/>
                <w:szCs w:val="20"/>
                <w:b w:val="1"/>
                <w:bCs w:val="1"/>
                <w:color w:val="auto"/>
              </w:rPr>
              <w:t>Class</w:t>
            </w:r>
          </w:p>
        </w:tc>
        <w:tc>
          <w:tcPr>
            <w:tcW w:w="80" w:type="dxa"/>
            <w:vAlign w:val="bottom"/>
            <w:tcBorders>
              <w:bottom w:val="single" w:sz="8" w:color="E9E9E9"/>
            </w:tcBorders>
          </w:tcPr>
          <w:p>
            <w:pPr>
              <w:spacing w:after="0"/>
              <w:rPr>
                <w:sz w:val="22"/>
                <w:szCs w:val="22"/>
                <w:color w:val="auto"/>
              </w:rPr>
            </w:pPr>
          </w:p>
        </w:tc>
        <w:tc>
          <w:tcPr>
            <w:tcW w:w="2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w w:val="99"/>
              </w:rPr>
              <w:t>Range of Estimated Useful Lives</w:t>
            </w:r>
          </w:p>
        </w:tc>
      </w:tr>
      <w:tr>
        <w:trPr>
          <w:trHeight w:val="284"/>
        </w:trPr>
        <w:tc>
          <w:tcPr>
            <w:tcW w:w="264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Buildings</w:t>
            </w:r>
          </w:p>
        </w:tc>
        <w:tc>
          <w:tcPr>
            <w:tcW w:w="80" w:type="dxa"/>
            <w:vAlign w:val="bottom"/>
            <w:shd w:val="clear" w:color="auto" w:fill="E9E9E9"/>
          </w:tcPr>
          <w:p>
            <w:pPr>
              <w:spacing w:after="0"/>
              <w:rPr>
                <w:sz w:val="24"/>
                <w:szCs w:val="24"/>
                <w:color w:val="auto"/>
              </w:rPr>
            </w:pPr>
          </w:p>
        </w:tc>
        <w:tc>
          <w:tcPr>
            <w:tcW w:w="284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10 - 50 years</w:t>
            </w:r>
          </w:p>
        </w:tc>
      </w:tr>
      <w:tr>
        <w:trPr>
          <w:trHeight w:val="287"/>
        </w:trPr>
        <w:tc>
          <w:tcPr>
            <w:tcW w:w="26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Land improvements</w:t>
            </w:r>
          </w:p>
        </w:tc>
        <w:tc>
          <w:tcPr>
            <w:tcW w:w="80" w:type="dxa"/>
            <w:vAlign w:val="bottom"/>
          </w:tcPr>
          <w:p>
            <w:pPr>
              <w:spacing w:after="0"/>
              <w:rPr>
                <w:sz w:val="24"/>
                <w:szCs w:val="24"/>
                <w:color w:val="auto"/>
              </w:rPr>
            </w:pPr>
          </w:p>
        </w:tc>
        <w:tc>
          <w:tcPr>
            <w:tcW w:w="28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15 - 40 years</w:t>
            </w:r>
          </w:p>
        </w:tc>
      </w:tr>
      <w:tr>
        <w:trPr>
          <w:trHeight w:val="301"/>
        </w:trPr>
        <w:tc>
          <w:tcPr>
            <w:tcW w:w="264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Machinery and equipment</w:t>
            </w:r>
          </w:p>
        </w:tc>
        <w:tc>
          <w:tcPr>
            <w:tcW w:w="80" w:type="dxa"/>
            <w:vAlign w:val="bottom"/>
            <w:shd w:val="clear" w:color="auto" w:fill="E9E9E9"/>
          </w:tcPr>
          <w:p>
            <w:pPr>
              <w:spacing w:after="0"/>
              <w:rPr>
                <w:sz w:val="24"/>
                <w:szCs w:val="24"/>
                <w:color w:val="auto"/>
              </w:rPr>
            </w:pPr>
          </w:p>
        </w:tc>
        <w:tc>
          <w:tcPr>
            <w:tcW w:w="284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3 - 15 years</w:t>
            </w:r>
          </w:p>
        </w:tc>
      </w:tr>
      <w:tr>
        <w:trPr>
          <w:trHeight w:val="287"/>
        </w:trPr>
        <w:tc>
          <w:tcPr>
            <w:tcW w:w="26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Furniture and fixtures</w:t>
            </w:r>
          </w:p>
        </w:tc>
        <w:tc>
          <w:tcPr>
            <w:tcW w:w="80" w:type="dxa"/>
            <w:vAlign w:val="bottom"/>
          </w:tcPr>
          <w:p>
            <w:pPr>
              <w:spacing w:after="0"/>
              <w:rPr>
                <w:sz w:val="24"/>
                <w:szCs w:val="24"/>
                <w:color w:val="auto"/>
              </w:rPr>
            </w:pPr>
          </w:p>
        </w:tc>
        <w:tc>
          <w:tcPr>
            <w:tcW w:w="28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15 years</w:t>
            </w:r>
          </w:p>
        </w:tc>
      </w:tr>
      <w:tr>
        <w:trPr>
          <w:trHeight w:val="301"/>
        </w:trPr>
        <w:tc>
          <w:tcPr>
            <w:tcW w:w="264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Leasehold improvements</w:t>
            </w:r>
          </w:p>
        </w:tc>
        <w:tc>
          <w:tcPr>
            <w:tcW w:w="80" w:type="dxa"/>
            <w:vAlign w:val="bottom"/>
            <w:shd w:val="clear" w:color="auto" w:fill="E9E9E9"/>
          </w:tcPr>
          <w:p>
            <w:pPr>
              <w:spacing w:after="0"/>
              <w:rPr>
                <w:sz w:val="24"/>
                <w:szCs w:val="24"/>
                <w:color w:val="auto"/>
              </w:rPr>
            </w:pPr>
          </w:p>
        </w:tc>
        <w:tc>
          <w:tcPr>
            <w:tcW w:w="284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Lesser of lease term or 15 years</w:t>
            </w:r>
          </w:p>
        </w:tc>
      </w:tr>
      <w:tr>
        <w:trPr>
          <w:trHeight w:val="280"/>
        </w:trPr>
        <w:tc>
          <w:tcPr>
            <w:tcW w:w="26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Computer software</w:t>
            </w:r>
          </w:p>
        </w:tc>
        <w:tc>
          <w:tcPr>
            <w:tcW w:w="80" w:type="dxa"/>
            <w:vAlign w:val="bottom"/>
          </w:tcPr>
          <w:p>
            <w:pPr>
              <w:spacing w:after="0"/>
              <w:rPr>
                <w:sz w:val="24"/>
                <w:szCs w:val="24"/>
                <w:color w:val="auto"/>
              </w:rPr>
            </w:pPr>
          </w:p>
        </w:tc>
        <w:tc>
          <w:tcPr>
            <w:tcW w:w="28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3 - 5 years</w:t>
            </w:r>
          </w:p>
        </w:tc>
      </w:tr>
    </w:tbl>
    <w:p>
      <w:pPr>
        <w:spacing w:after="0" w:line="200" w:lineRule="exact"/>
        <w:rPr>
          <w:sz w:val="20"/>
          <w:szCs w:val="20"/>
          <w:color w:val="auto"/>
        </w:rPr>
      </w:pPr>
    </w:p>
    <w:p>
      <w:pPr>
        <w:spacing w:after="0" w:line="320" w:lineRule="exact"/>
        <w:rPr>
          <w:sz w:val="20"/>
          <w:szCs w:val="20"/>
          <w:color w:val="auto"/>
        </w:rPr>
      </w:pPr>
    </w:p>
    <w:p>
      <w:pPr>
        <w:jc w:val="both"/>
        <w:ind w:right="200" w:firstLine="441"/>
        <w:spacing w:after="0" w:line="258" w:lineRule="auto"/>
        <w:rPr>
          <w:sz w:val="20"/>
          <w:szCs w:val="20"/>
          <w:color w:val="auto"/>
        </w:rPr>
      </w:pPr>
      <w:r>
        <w:rPr>
          <w:rFonts w:ascii="Times New Roman" w:cs="Times New Roman" w:eastAsia="Times New Roman" w:hAnsi="Times New Roman"/>
          <w:sz w:val="20"/>
          <w:szCs w:val="20"/>
          <w:color w:val="auto"/>
        </w:rPr>
        <w:t>Upon retirement or other disposal of property, plant &amp; equipment, the cost and related amount of accumulated depreciation are removed from the asset and accumulated depreciation accounts, respectively. The difference, if any, between the net asset value and the proceeds is included in operating income.</w:t>
      </w:r>
    </w:p>
    <w:p>
      <w:pPr>
        <w:spacing w:after="0" w:line="199" w:lineRule="exact"/>
        <w:rPr>
          <w:sz w:val="20"/>
          <w:szCs w:val="20"/>
          <w:color w:val="auto"/>
        </w:rPr>
      </w:pPr>
    </w:p>
    <w:p>
      <w:pPr>
        <w:ind w:right="20" w:firstLine="485"/>
        <w:spacing w:after="0" w:line="258" w:lineRule="auto"/>
        <w:rPr>
          <w:sz w:val="20"/>
          <w:szCs w:val="20"/>
          <w:color w:val="auto"/>
        </w:rPr>
      </w:pPr>
      <w:r>
        <w:rPr>
          <w:rFonts w:ascii="Times New Roman" w:cs="Times New Roman" w:eastAsia="Times New Roman" w:hAnsi="Times New Roman"/>
          <w:sz w:val="20"/>
          <w:szCs w:val="20"/>
          <w:color w:val="auto"/>
        </w:rPr>
        <w:t>Included within machinery and equipment are spare parts. Spare parts include replacement parts relating to plant &amp; equipment and are either recognized as an expense when consumed or reclassified and capitalized as part of the related asset and depreciated over the remaining useful life of the related asset.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Combinations</w:t>
      </w:r>
    </w:p>
    <w:p>
      <w:pPr>
        <w:spacing w:after="0" w:line="131" w:lineRule="exact"/>
        <w:rPr>
          <w:sz w:val="20"/>
          <w:szCs w:val="20"/>
          <w:color w:val="auto"/>
        </w:rPr>
      </w:pPr>
    </w:p>
    <w:p>
      <w:pPr>
        <w:ind w:firstLine="441"/>
        <w:spacing w:after="0" w:line="248" w:lineRule="auto"/>
        <w:rPr>
          <w:sz w:val="20"/>
          <w:szCs w:val="20"/>
          <w:color w:val="auto"/>
        </w:rPr>
      </w:pPr>
      <w:r>
        <w:rPr>
          <w:rFonts w:ascii="Times New Roman" w:cs="Times New Roman" w:eastAsia="Times New Roman" w:hAnsi="Times New Roman"/>
          <w:sz w:val="20"/>
          <w:szCs w:val="20"/>
          <w:color w:val="auto"/>
        </w:rPr>
        <w:t>The Company accounts for business combinations using the acquisition method of accounting. The Company recognizes the assets acquired and liabilities assumed in business combinations on the basis of their fair values at the date of acquisition. The Company assesses the fair value of assets acquired, including intangible assets, and liabilities assumed using a variety of methods. Each asset acquired and liability assumed is measured at fair value from the perspective of a market participant. The method used to estimate the fair values of intangible assets incorporates significant assumptions regarding the estimates a market participant would make in order to evaluate an asset, including a market participant’s use of the asset and the appropriate discount rates. Acquired in-process research and development (“IPR&amp;D”) is recognized at fair value and initially characterized as an indefinite-lived intangible asset, irrespective of whether the acquired IPR&amp;D has an alternative future use. Any excess purchase price over the fair value of the net tangible and intangible assets acquired is allocated to goodwill. Transaction costs and restructuring costs associated with a business combination are expensed as incurred.</w:t>
      </w:r>
    </w:p>
    <w:p>
      <w:pPr>
        <w:spacing w:after="0" w:line="211" w:lineRule="exact"/>
        <w:rPr>
          <w:sz w:val="20"/>
          <w:szCs w:val="20"/>
          <w:color w:val="auto"/>
        </w:rPr>
      </w:pPr>
    </w:p>
    <w:p>
      <w:pPr>
        <w:ind w:right="20" w:firstLine="441"/>
        <w:spacing w:after="0" w:line="278" w:lineRule="auto"/>
        <w:rPr>
          <w:sz w:val="20"/>
          <w:szCs w:val="20"/>
          <w:color w:val="auto"/>
        </w:rPr>
      </w:pPr>
      <w:r>
        <w:rPr>
          <w:rFonts w:ascii="Times New Roman" w:cs="Times New Roman" w:eastAsia="Times New Roman" w:hAnsi="Times New Roman"/>
          <w:sz w:val="19"/>
          <w:szCs w:val="19"/>
          <w:color w:val="auto"/>
        </w:rPr>
        <w:t>During the measurement period, which extends no later than one year from the acquisition date, the Company may record certain adjustments to the carrying value of the assets acquired and liabilities assumed with the corresponding offset to goodwill. After the measurement period, all adjustments are recorded in the consolidated statements of operations as operating expenses or income.</w:t>
      </w:r>
    </w:p>
    <w:p>
      <w:pPr>
        <w:sectPr>
          <w:pgSz w:w="11880" w:h="15480" w:orient="portrait"/>
          <w:cols w:equalWidth="0" w:num="1">
            <w:col w:w="10580"/>
          </w:cols>
          <w:pgMar w:left="640" w:top="622"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89</w:t>
      </w:r>
    </w:p>
    <w:p>
      <w:pPr>
        <w:sectPr>
          <w:pgSz w:w="11880" w:h="15480" w:orient="portrait"/>
          <w:cols w:equalWidth="0" w:num="1">
            <w:col w:w="10580"/>
          </w:cols>
          <w:pgMar w:left="640" w:top="622" w:right="660" w:bottom="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w:t>
      </w:r>
    </w:p>
    <w:p>
      <w:pPr>
        <w:spacing w:after="0" w:line="131"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20"/>
          <w:szCs w:val="20"/>
          <w:color w:val="auto"/>
        </w:rPr>
        <w:t>Goodwill is not amortized but is instead tested for impairment at least annually and whenever events or circumstances indicate that it is more likely-than-not that it may be impaired. The Company has elected to perform the annual test for goodwill impairment as of October 31st of each year.</w:t>
      </w:r>
    </w:p>
    <w:p>
      <w:pPr>
        <w:spacing w:after="0" w:line="199" w:lineRule="exact"/>
        <w:rPr>
          <w:sz w:val="20"/>
          <w:szCs w:val="20"/>
          <w:color w:val="auto"/>
        </w:rPr>
      </w:pPr>
    </w:p>
    <w:p>
      <w:pPr>
        <w:ind w:right="160" w:firstLine="441"/>
        <w:spacing w:after="0" w:line="249" w:lineRule="auto"/>
        <w:rPr>
          <w:sz w:val="20"/>
          <w:szCs w:val="20"/>
          <w:color w:val="auto"/>
        </w:rPr>
      </w:pPr>
      <w:r>
        <w:rPr>
          <w:rFonts w:ascii="Times New Roman" w:cs="Times New Roman" w:eastAsia="Times New Roman" w:hAnsi="Times New Roman"/>
          <w:sz w:val="20"/>
          <w:szCs w:val="20"/>
          <w:color w:val="auto"/>
        </w:rPr>
        <w:t>In performing the Company’s annual assessment, the Company is permitted to first perform a qualitative test and if necessary, perform a quantitative test. If the Company is required to perform the quantitative impairment test of goodwill, the Company compares the fair value of a reporting unit to its carrying value. If the reporting unit’s carrying value exceeds its fair value, the Company would record an impairment loss to the extent that the carrying value of goodwill exceeds its implied fair value. The Company estimates the fair value of its reporting units using discounted cash flow or other valuation models, such as comparative transactions and market multiples. The Company performed a qualitative assessment and did not recognize any goodwill impairment charges during the years ended December 31, 2024, 2023 or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 and Long-Lived Assets</w:t>
      </w:r>
    </w:p>
    <w:p>
      <w:pPr>
        <w:spacing w:after="0" w:line="131" w:lineRule="exact"/>
        <w:rPr>
          <w:sz w:val="20"/>
          <w:szCs w:val="20"/>
          <w:color w:val="auto"/>
        </w:rPr>
      </w:pPr>
    </w:p>
    <w:p>
      <w:pPr>
        <w:ind w:right="20" w:firstLine="441"/>
        <w:spacing w:after="0" w:line="249" w:lineRule="auto"/>
        <w:rPr>
          <w:sz w:val="20"/>
          <w:szCs w:val="20"/>
          <w:color w:val="auto"/>
        </w:rPr>
      </w:pPr>
      <w:r>
        <w:rPr>
          <w:rFonts w:ascii="Times New Roman" w:cs="Times New Roman" w:eastAsia="Times New Roman" w:hAnsi="Times New Roman"/>
          <w:sz w:val="20"/>
          <w:szCs w:val="20"/>
          <w:color w:val="auto"/>
        </w:rPr>
        <w:t xml:space="preserve">The Company tests intangible and long-lived assets for recoverability whenever events or changes in circumstances suggest that the carrying value of an asset or group of assets may not be recoverable. The Company measures the recoverability of assets to be held and used by comparing the carrying amount of the asset to future undiscounted net cash flows expected to be generated by the asset. If those assets are considered to be impaired, the impairment equals the amount by which the carrying amount of the assets exceeds the fair value of the assets. Any impairments are recorded as permanent reductions in the carrying amount of the assets. See Note 7, </w:t>
      </w:r>
      <w:r>
        <w:rPr>
          <w:rFonts w:ascii="Times New Roman" w:cs="Times New Roman" w:eastAsia="Times New Roman" w:hAnsi="Times New Roman"/>
          <w:sz w:val="20"/>
          <w:szCs w:val="20"/>
          <w:i w:val="1"/>
          <w:iCs w:val="1"/>
          <w:color w:val="auto"/>
        </w:rPr>
        <w:t xml:space="preserve">“Property, Plant and Equipment, Net” </w:t>
      </w:r>
      <w:r>
        <w:rPr>
          <w:rFonts w:ascii="Times New Roman" w:cs="Times New Roman" w:eastAsia="Times New Roman" w:hAnsi="Times New Roman"/>
          <w:sz w:val="20"/>
          <w:szCs w:val="20"/>
          <w:color w:val="auto"/>
        </w:rPr>
        <w:t>to these consolidated financial statements for further details on impairment. Long-lived assets,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other than goodwill and other intangible assets that are held for sale are recorded at the lower of the carrying value or the fair market value less the estimated cost to sell.</w:t>
      </w:r>
    </w:p>
    <w:p>
      <w:pPr>
        <w:spacing w:after="0" w:line="208"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20"/>
          <w:szCs w:val="20"/>
          <w:color w:val="auto"/>
        </w:rPr>
        <w:t>Intangible assets, consisting of patents, trademarks, customer relationships, a currently marketed product, licenses and developed technology related to the Company’s products are amortized in a method equivalent to the estimated utilization of the economic benefit of the asset.</w:t>
      </w:r>
    </w:p>
    <w:p>
      <w:pPr>
        <w:spacing w:after="0" w:line="199" w:lineRule="exact"/>
        <w:rPr>
          <w:sz w:val="20"/>
          <w:szCs w:val="20"/>
          <w:color w:val="auto"/>
        </w:rPr>
      </w:pPr>
    </w:p>
    <w:p>
      <w:pPr>
        <w:ind w:right="180" w:firstLine="441"/>
        <w:spacing w:after="0" w:line="254" w:lineRule="auto"/>
        <w:rPr>
          <w:sz w:val="20"/>
          <w:szCs w:val="20"/>
          <w:color w:val="auto"/>
        </w:rPr>
      </w:pPr>
      <w:r>
        <w:rPr>
          <w:rFonts w:ascii="Times New Roman" w:cs="Times New Roman" w:eastAsia="Times New Roman" w:hAnsi="Times New Roman"/>
          <w:sz w:val="20"/>
          <w:szCs w:val="20"/>
          <w:color w:val="auto"/>
        </w:rPr>
        <w:t>Costs of IPR&amp;D intangible assets acquired as part of an asset acquisition that have no alternative future use are expensed when incurred. Milestone payments made after regulatory approval are capitalized as an intangible asset and amortized over an estimated useful life of the product. Cash payments related to acquired IPR&amp;D intangible assets are reflected as an investing cash flow in the Company's consolidated statement of cash flows.</w:t>
      </w:r>
    </w:p>
    <w:p>
      <w:pPr>
        <w:spacing w:after="0" w:line="202" w:lineRule="exact"/>
        <w:rPr>
          <w:sz w:val="20"/>
          <w:szCs w:val="20"/>
          <w:color w:val="auto"/>
        </w:rPr>
      </w:pPr>
    </w:p>
    <w:p>
      <w:pPr>
        <w:ind w:firstLine="441"/>
        <w:spacing w:after="0" w:line="262" w:lineRule="auto"/>
        <w:rPr>
          <w:sz w:val="20"/>
          <w:szCs w:val="20"/>
          <w:color w:val="auto"/>
        </w:rPr>
      </w:pPr>
      <w:r>
        <w:rPr>
          <w:rFonts w:ascii="Times New Roman" w:cs="Times New Roman" w:eastAsia="Times New Roman" w:hAnsi="Times New Roman"/>
          <w:sz w:val="19"/>
          <w:szCs w:val="19"/>
          <w:color w:val="auto"/>
        </w:rPr>
        <w:t xml:space="preserve">The Company’s IPR&amp;D intangible assets includes intangible assets acquired in a business combination that are used in research and development activities but have not yet reached technological feasibility, regardless of whether they have alternative future use. The primary basis for determining the technological feasibility or completion of these projects is obtaining regulatory approval to market the underlying products in an applicable geographic region. Because obtaining regulatory approval can include significant risks and uncertainties, the eventual realized value of the acquired IPR&amp;D projects may vary from their fair value at the date of acquisition. The Company classifies IPR&amp;D intangible assets acquired in a business combination as an indefinite-lived intangible asset until the completion or abandonment of the associated research and development efforts. Upon completion of the associated research and development efforts, the Company will determine the useful life and begin amortizing the assets to reflect their use over their remaining lives. Upon permanent abandonment, the Company writes-off the remaining carrying amount of the associated IPR&amp;D intangible asset. IPR&amp;D intangible assets are tested at least annually as of October 31st or when a triggering event occurs that could indicate a potential impairment and any impairment loss is recognized in the Company’s consolidated statements of operations. See Note 10, </w:t>
      </w:r>
      <w:r>
        <w:rPr>
          <w:rFonts w:ascii="Times New Roman" w:cs="Times New Roman" w:eastAsia="Times New Roman" w:hAnsi="Times New Roman"/>
          <w:sz w:val="19"/>
          <w:szCs w:val="19"/>
          <w:i w:val="1"/>
          <w:iCs w:val="1"/>
          <w:color w:val="auto"/>
        </w:rPr>
        <w:t>“Intangibles, Net and Goodwill”</w:t>
      </w:r>
      <w:r>
        <w:rPr>
          <w:rFonts w:ascii="Times New Roman" w:cs="Times New Roman" w:eastAsia="Times New Roman" w:hAnsi="Times New Roman"/>
          <w:sz w:val="19"/>
          <w:szCs w:val="19"/>
          <w:color w:val="auto"/>
        </w:rPr>
        <w:t xml:space="preserve"> to these consolidated financial statements for further details on impairment.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Contingencies</w:t>
      </w:r>
    </w:p>
    <w:p>
      <w:pPr>
        <w:spacing w:after="0" w:line="131"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20"/>
          <w:szCs w:val="20"/>
          <w:color w:val="auto"/>
        </w:rPr>
        <w:t>In the normal course of business, the Company is subject to loss contingencies, such as legal proceedings and claims arising out of its business, that cover a wide range of matters, including, among others, product and environmental liability. The Company records accruals for those loss contingencies when it is probable that a liability will be incurred and the amount of loss can be reasonably estimated. The Company does not recognize gain contingencies until realized.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Convertible Notes</w:t>
      </w:r>
    </w:p>
    <w:p>
      <w:pPr>
        <w:spacing w:after="0" w:line="131"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20"/>
          <w:szCs w:val="20"/>
          <w:color w:val="auto"/>
        </w:rPr>
        <w:t>The Company evaluates convertible notes to determine if those contracts or embedded components of those contracts qualify as derivatives to be separately accounted for. The change in fair value of any separately recognized derivative is recorded in the consolidated statement of operations as other income or expense. Upon conversion, exercise or cancellation of a derivative instrument, the instrument is marked to fair value at the date of conversion, exercise or cancellation.</w:t>
      </w:r>
    </w:p>
    <w:p>
      <w:pPr>
        <w:sectPr>
          <w:pgSz w:w="11880" w:h="15480" w:orient="portrait"/>
          <w:cols w:equalWidth="0" w:num="1">
            <w:col w:w="10580"/>
          </w:cols>
          <w:pgMar w:left="640" w:top="614"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90</w:t>
      </w:r>
    </w:p>
    <w:p>
      <w:pPr>
        <w:sectPr>
          <w:pgSz w:w="11880" w:h="15480" w:orient="portrait"/>
          <w:cols w:equalWidth="0" w:num="1">
            <w:col w:w="10580"/>
          </w:cols>
          <w:pgMar w:left="640" w:top="614" w:right="660" w:bottom="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Values of Financial Instruments</w:t>
      </w:r>
    </w:p>
    <w:p>
      <w:pPr>
        <w:spacing w:after="0" w:line="131" w:lineRule="exact"/>
        <w:rPr>
          <w:sz w:val="20"/>
          <w:szCs w:val="20"/>
          <w:color w:val="auto"/>
        </w:rPr>
      </w:pPr>
    </w:p>
    <w:p>
      <w:pPr>
        <w:ind w:firstLine="441"/>
        <w:spacing w:after="0" w:line="265" w:lineRule="auto"/>
        <w:rPr>
          <w:sz w:val="20"/>
          <w:szCs w:val="20"/>
          <w:color w:val="auto"/>
        </w:rPr>
      </w:pPr>
      <w:r>
        <w:rPr>
          <w:rFonts w:ascii="Times New Roman" w:cs="Times New Roman" w:eastAsia="Times New Roman" w:hAnsi="Times New Roman"/>
          <w:sz w:val="19"/>
          <w:szCs w:val="19"/>
          <w:color w:val="auto"/>
        </w:rPr>
        <w:t xml:space="preserve">The estimated fair values of the Company’s financial instruments, including its cash and cash equivalents, accounts receivable, accounts payable and accrued expenses approximate the carrying values of these instruments due to their short term nature. The Company’s long-term debt has triggering events that would impact the fair value of the instruments. The Company determined that no triggering event has occurred during the years ended December 31, 2024 and December 31, 2023. As of December 31, 2024 and 2023, the fair value of the Company’s convertible debt was estimated to be approximately $765.3 million and $644.3 million, respectively, based on quoted market prices of these instruments and was classified as a Level 1 measurement within the fair value hierarchy. For more information on the fair value, see Note 4, </w:t>
      </w:r>
      <w:r>
        <w:rPr>
          <w:rFonts w:ascii="Times New Roman" w:cs="Times New Roman" w:eastAsia="Times New Roman" w:hAnsi="Times New Roman"/>
          <w:sz w:val="19"/>
          <w:szCs w:val="19"/>
          <w:i w:val="1"/>
          <w:iCs w:val="1"/>
          <w:color w:val="auto"/>
        </w:rPr>
        <w:t>“Fair Value of Financial Instruments”</w:t>
      </w:r>
      <w:r>
        <w:rPr>
          <w:rFonts w:ascii="Times New Roman" w:cs="Times New Roman" w:eastAsia="Times New Roman" w:hAnsi="Times New Roman"/>
          <w:sz w:val="19"/>
          <w:szCs w:val="19"/>
          <w:color w:val="auto"/>
        </w:rPr>
        <w:t xml:space="preserve"> to these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Contingent Consideration Liabilities</w:t>
      </w:r>
    </w:p>
    <w:p>
      <w:pPr>
        <w:spacing w:after="0" w:line="131" w:lineRule="exact"/>
        <w:rPr>
          <w:sz w:val="20"/>
          <w:szCs w:val="20"/>
          <w:color w:val="auto"/>
        </w:rPr>
      </w:pPr>
    </w:p>
    <w:p>
      <w:pPr>
        <w:ind w:right="40" w:firstLine="441"/>
        <w:spacing w:after="0" w:line="252" w:lineRule="auto"/>
        <w:rPr>
          <w:sz w:val="20"/>
          <w:szCs w:val="20"/>
          <w:color w:val="auto"/>
        </w:rPr>
      </w:pPr>
      <w:r>
        <w:rPr>
          <w:rFonts w:ascii="Times New Roman" w:cs="Times New Roman" w:eastAsia="Times New Roman" w:hAnsi="Times New Roman"/>
          <w:sz w:val="20"/>
          <w:szCs w:val="20"/>
          <w:color w:val="auto"/>
        </w:rPr>
        <w:t>The estimated fair value of contingent consideration liabilities are initially measured and recorded on the acquisition date. The contingent consideration liabilities are considered to be Level 3 instruments and are reviewed quarterly, or whenever events or circumstances occur that indicate a change in fair value. The contingent consideration liabilities are recorded at fair value at the end of each reporting period with changes in estimated fair values recorded in general and administrative expenses in the consolidated statements of operations.</w:t>
      </w:r>
    </w:p>
    <w:p>
      <w:pPr>
        <w:spacing w:after="0" w:line="204" w:lineRule="exact"/>
        <w:rPr>
          <w:sz w:val="20"/>
          <w:szCs w:val="20"/>
          <w:color w:val="auto"/>
        </w:rPr>
      </w:pPr>
    </w:p>
    <w:p>
      <w:pPr>
        <w:ind w:right="140" w:firstLine="441"/>
        <w:spacing w:after="0" w:line="254" w:lineRule="auto"/>
        <w:rPr>
          <w:sz w:val="20"/>
          <w:szCs w:val="20"/>
          <w:color w:val="auto"/>
        </w:rPr>
      </w:pPr>
      <w:r>
        <w:rPr>
          <w:rFonts w:ascii="Times New Roman" w:cs="Times New Roman" w:eastAsia="Times New Roman" w:hAnsi="Times New Roman"/>
          <w:sz w:val="20"/>
          <w:szCs w:val="20"/>
          <w:color w:val="auto"/>
        </w:rPr>
        <w:t>The estimated fair value is determined based on probability adjusted discounted cash flows and Monte Carlo simulation models that include significant estimates and assumptions pertaining to commercialization events and sales targets. The most significant unobservable inputs are the probabilities of achieving regulatory approval of the development projects and subsequent commercial success.</w:t>
      </w:r>
    </w:p>
    <w:p>
      <w:pPr>
        <w:spacing w:after="0" w:line="202" w:lineRule="exact"/>
        <w:rPr>
          <w:sz w:val="20"/>
          <w:szCs w:val="20"/>
          <w:color w:val="auto"/>
        </w:rPr>
      </w:pPr>
    </w:p>
    <w:p>
      <w:pPr>
        <w:jc w:val="both"/>
        <w:ind w:right="100" w:firstLine="441"/>
        <w:spacing w:after="0" w:line="258" w:lineRule="auto"/>
        <w:rPr>
          <w:sz w:val="20"/>
          <w:szCs w:val="20"/>
          <w:color w:val="auto"/>
        </w:rPr>
      </w:pPr>
      <w:r>
        <w:rPr>
          <w:rFonts w:ascii="Times New Roman" w:cs="Times New Roman" w:eastAsia="Times New Roman" w:hAnsi="Times New Roman"/>
          <w:sz w:val="20"/>
          <w:szCs w:val="20"/>
          <w:color w:val="auto"/>
        </w:rPr>
        <w:t>Significant changes in any of the probabilities of success would result in a significantly higher or lower fair value measurement. Significant changes in the probabilities as to the periods in which milestones will be achieved would result in a significantly lower or higher fair value measurement.</w:t>
      </w:r>
    </w:p>
    <w:p>
      <w:pPr>
        <w:spacing w:after="0" w:line="199" w:lineRule="exact"/>
        <w:rPr>
          <w:sz w:val="20"/>
          <w:szCs w:val="20"/>
          <w:color w:val="auto"/>
        </w:rPr>
      </w:pPr>
    </w:p>
    <w:p>
      <w:pPr>
        <w:ind w:right="40" w:firstLine="441"/>
        <w:spacing w:after="0" w:line="249" w:lineRule="auto"/>
        <w:rPr>
          <w:sz w:val="20"/>
          <w:szCs w:val="20"/>
          <w:color w:val="auto"/>
        </w:rPr>
      </w:pPr>
      <w:r>
        <w:rPr>
          <w:rFonts w:ascii="Times New Roman" w:cs="Times New Roman" w:eastAsia="Times New Roman" w:hAnsi="Times New Roman"/>
          <w:sz w:val="20"/>
          <w:szCs w:val="20"/>
          <w:color w:val="auto"/>
        </w:rPr>
        <w:t>The Company's acquisitions accounted for as asset acquisitions may also include contingent consideration payments to be made for sales-based milestones, development and regulatory milestones. The Company assesses whether such contingent consideration meets the definition of a derivative. Contingent consideration payments in an asset acquisition not required to be accounted for as derivatives are recognized when the contingency is resolved, and the consideration is paid or becomes payable. Contingent consideration payments required to be accounted for as derivatives are recorded at fair value on the date of the acquisition and are subsequently remeasured to fair value at each reporting date. Upon recognition of the contingent consideration payment, the amount is included in the cost of the acquired asset or group of assets.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Derivative Instruments</w:t>
      </w:r>
    </w:p>
    <w:p>
      <w:pPr>
        <w:spacing w:after="0" w:line="131" w:lineRule="exact"/>
        <w:rPr>
          <w:sz w:val="20"/>
          <w:szCs w:val="20"/>
          <w:color w:val="auto"/>
        </w:rPr>
      </w:pPr>
    </w:p>
    <w:p>
      <w:pPr>
        <w:ind w:right="20" w:firstLine="441"/>
        <w:spacing w:after="0" w:line="268" w:lineRule="auto"/>
        <w:rPr>
          <w:sz w:val="20"/>
          <w:szCs w:val="20"/>
          <w:color w:val="auto"/>
        </w:rPr>
      </w:pPr>
      <w:r>
        <w:rPr>
          <w:rFonts w:ascii="Times New Roman" w:cs="Times New Roman" w:eastAsia="Times New Roman" w:hAnsi="Times New Roman"/>
          <w:sz w:val="19"/>
          <w:szCs w:val="19"/>
          <w:color w:val="auto"/>
        </w:rPr>
        <w:t>The Company has used interest rate swaps to reduce the variability in cash flows associated with a portion of the Company’s forecasted interest payments on its variable rate debt. To qualify for hedge accounting, the hedging instrument must be highly effective at reducing the risk from the exposure being hedged. Further, the Company must formally document the hedging relationship at inception and, on at least a quarterly basis, continually reevaluate the relationship to ensure it remains highly effective throughout the life of the hedge. The Company does not enter into derivative financial instruments for speculative or trading purposes.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Advertising and Promotion Costs</w:t>
      </w:r>
    </w:p>
    <w:p>
      <w:pPr>
        <w:spacing w:after="0" w:line="131"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20"/>
          <w:szCs w:val="20"/>
          <w:color w:val="auto"/>
        </w:rPr>
        <w:t>Advertising and promotion costs are expensed as incurred. During the years ended December 31, 2024, 2023 and 2022, the Company incurred $29.7 million, $26.0 million and $26.0 million, respectively in advertising and promotion costs, which are included in sales and marketing in the consolidated statements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w:t>
      </w:r>
    </w:p>
    <w:p>
      <w:pPr>
        <w:spacing w:after="0" w:line="131" w:lineRule="exact"/>
        <w:rPr>
          <w:sz w:val="20"/>
          <w:szCs w:val="20"/>
          <w:color w:val="auto"/>
        </w:rPr>
      </w:pPr>
    </w:p>
    <w:p>
      <w:pPr>
        <w:ind w:right="120" w:firstLine="441"/>
        <w:spacing w:after="0" w:line="254" w:lineRule="auto"/>
        <w:rPr>
          <w:sz w:val="20"/>
          <w:szCs w:val="20"/>
          <w:color w:val="auto"/>
        </w:rPr>
      </w:pPr>
      <w:r>
        <w:rPr>
          <w:rFonts w:ascii="Times New Roman" w:cs="Times New Roman" w:eastAsia="Times New Roman" w:hAnsi="Times New Roman"/>
          <w:sz w:val="20"/>
          <w:szCs w:val="20"/>
          <w:color w:val="auto"/>
        </w:rPr>
        <w:t>Research and development costs are expensed as incurred and relate primarily to the development of new products to add to the Company’s portfolio and costs related to its medical affairs and medical information functions. Nonrefundable advance payments for goods or services that will be used or rendered for future research and development activities are deferred and recognized as an expense as the goods are delivered or the related services are performed.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w:t>
      </w:r>
    </w:p>
    <w:p>
      <w:pPr>
        <w:spacing w:after="0" w:line="131" w:lineRule="exact"/>
        <w:rPr>
          <w:sz w:val="20"/>
          <w:szCs w:val="20"/>
          <w:color w:val="auto"/>
        </w:rPr>
      </w:pPr>
    </w:p>
    <w:p>
      <w:pPr>
        <w:ind w:right="20" w:firstLine="441"/>
        <w:spacing w:after="0" w:line="271" w:lineRule="auto"/>
        <w:rPr>
          <w:sz w:val="20"/>
          <w:szCs w:val="20"/>
          <w:color w:val="auto"/>
        </w:rPr>
      </w:pPr>
      <w:r>
        <w:rPr>
          <w:rFonts w:ascii="Times New Roman" w:cs="Times New Roman" w:eastAsia="Times New Roman" w:hAnsi="Times New Roman"/>
          <w:sz w:val="19"/>
          <w:szCs w:val="19"/>
          <w:color w:val="auto"/>
        </w:rPr>
        <w:t>The consolidated statements of operations of the Company’s foreign subsidiaries are translated into U.S. Dollars using weighted-average exchange rates. The net assets of the Company’s foreign subsidiaries are translated into U.S. Dollars using the end of period exchange rates. The impact from translating the net assets of these subsidiaries at changing rates are recorded in the foreign currency translation adjustment account, which is included in accumulated other comprehensive loss in the consolidated balance sheets.</w:t>
      </w:r>
    </w:p>
    <w:p>
      <w:pPr>
        <w:sectPr>
          <w:pgSz w:w="11880" w:h="15480" w:orient="portrait"/>
          <w:cols w:equalWidth="0" w:num="1">
            <w:col w:w="10580"/>
          </w:cols>
          <w:pgMar w:left="640" w:top="614" w:right="660" w:bottom="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91</w:t>
      </w:r>
    </w:p>
    <w:p>
      <w:pPr>
        <w:sectPr>
          <w:pgSz w:w="11880" w:h="15480" w:orient="portrait"/>
          <w:cols w:equalWidth="0" w:num="1">
            <w:col w:w="10580"/>
          </w:cols>
          <w:pgMar w:left="640" w:top="614" w:right="660" w:bottom="0" w:gutter="0" w:footer="0" w:header="0"/>
          <w:type w:val="continuous"/>
        </w:sectPr>
      </w:pPr>
    </w:p>
    <w:bookmarkStart w:id="97" w:name="page98"/>
    <w:bookmarkEnd w:id="97"/>
    <w:p>
      <w:pPr>
        <w:ind w:right="60" w:firstLine="441"/>
        <w:spacing w:after="0" w:line="271" w:lineRule="auto"/>
        <w:rPr>
          <w:sz w:val="20"/>
          <w:szCs w:val="20"/>
          <w:color w:val="auto"/>
        </w:rPr>
      </w:pPr>
      <w:r>
        <w:rPr>
          <w:rFonts w:ascii="Times New Roman" w:cs="Times New Roman" w:eastAsia="Times New Roman" w:hAnsi="Times New Roman"/>
          <w:sz w:val="20"/>
          <w:szCs w:val="20"/>
          <w:color w:val="auto"/>
        </w:rPr>
        <w:t>Remeasurement of the Company’s foreign currency denominated transactions are included in net income. Transaction gains and losses are reported as a component of other (income) loss, net in the consolidated statements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31"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9"/>
          <w:szCs w:val="19"/>
          <w:color w:val="auto"/>
        </w:rPr>
        <w:t>The Company’s stock-based compensation cost is measured at the grant date of the stock-based award based on the fair value of the award and is recognized as expense over the requisite service period, which generally represents the vesting period, and includes an estimate of the awards that will be forfeited. The Company estimates the fair value of each stock-based award on its measurement date using either the current market price of the stock, the Black-Scholes option valuation model or the Monte Carlo simulation valuation model, whichever is most appropriate. The Black-Scholes and Monte Carlo simulation valuation models incorporate assumptions such as stock price volatility, the expected life of options or awards, a risk-free interest rate and dividend yield.</w:t>
      </w:r>
    </w:p>
    <w:p>
      <w:pPr>
        <w:spacing w:after="0" w:line="194" w:lineRule="exact"/>
        <w:rPr>
          <w:sz w:val="20"/>
          <w:szCs w:val="20"/>
          <w:color w:val="auto"/>
        </w:rPr>
      </w:pPr>
    </w:p>
    <w:p>
      <w:pPr>
        <w:ind w:right="340" w:firstLine="441"/>
        <w:spacing w:after="0" w:line="254" w:lineRule="auto"/>
        <w:rPr>
          <w:sz w:val="20"/>
          <w:szCs w:val="20"/>
          <w:color w:val="auto"/>
        </w:rPr>
      </w:pPr>
      <w:r>
        <w:rPr>
          <w:rFonts w:ascii="Times New Roman" w:cs="Times New Roman" w:eastAsia="Times New Roman" w:hAnsi="Times New Roman"/>
          <w:sz w:val="20"/>
          <w:szCs w:val="20"/>
          <w:color w:val="auto"/>
        </w:rPr>
        <w:t>Expected volatility is based on the historical volatility of the Company’s stock price. The risk-free interest rates are based on quoted U.S. Treasury rates for securities with maturities approximating the awards’ expected lives. Expected lives are principally based on the Company’s historical exercise experience with previously issued awards. The expected dividend yield is zero as the Company has never paid dividends and does not currently anticipate paying any in the foreseeable future.</w:t>
      </w:r>
    </w:p>
    <w:p>
      <w:pPr>
        <w:spacing w:after="0" w:line="202" w:lineRule="exact"/>
        <w:rPr>
          <w:sz w:val="20"/>
          <w:szCs w:val="20"/>
          <w:color w:val="auto"/>
        </w:rPr>
      </w:pPr>
    </w:p>
    <w:p>
      <w:pPr>
        <w:ind w:right="180" w:firstLine="441"/>
        <w:spacing w:after="0" w:line="298" w:lineRule="auto"/>
        <w:rPr>
          <w:sz w:val="20"/>
          <w:szCs w:val="20"/>
          <w:color w:val="auto"/>
        </w:rPr>
      </w:pPr>
      <w:r>
        <w:rPr>
          <w:rFonts w:ascii="Times New Roman" w:cs="Times New Roman" w:eastAsia="Times New Roman" w:hAnsi="Times New Roman"/>
          <w:sz w:val="19"/>
          <w:szCs w:val="19"/>
          <w:color w:val="auto"/>
        </w:rPr>
        <w:t>Expense for performance restricted stock awards is recognized based upon the fair value of the awards on the date of grant and the number of shares expected to vest based on the terms of the underlying award agreement and the requisite service period(s).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Loss, Net</w:t>
      </w:r>
    </w:p>
    <w:p>
      <w:pPr>
        <w:spacing w:after="0" w:line="131" w:lineRule="exact"/>
        <w:rPr>
          <w:sz w:val="20"/>
          <w:szCs w:val="20"/>
          <w:color w:val="auto"/>
        </w:rPr>
      </w:pPr>
    </w:p>
    <w:tbl>
      <w:tblPr>
        <w:tblLayout w:type="fixed"/>
        <w:tblInd w:w="440" w:type="dxa"/>
        <w:tblCellMar>
          <w:top w:w="0" w:type="dxa"/>
          <w:left w:w="0" w:type="dxa"/>
          <w:bottom w:w="0" w:type="dxa"/>
          <w:right w:w="0" w:type="dxa"/>
        </w:tblCellMar>
      </w:tblPr>
      <w:tr>
        <w:trPr>
          <w:trHeight w:val="255"/>
        </w:trPr>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(income) loss, net consisted of the following:</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8"/>
        </w:trPr>
        <w:tc>
          <w:tcPr>
            <w:tcW w:w="760" w:type="dxa"/>
            <w:vAlign w:val="bottom"/>
          </w:tcPr>
          <w:p>
            <w:pPr>
              <w:spacing w:after="0"/>
              <w:rPr>
                <w:sz w:val="24"/>
                <w:szCs w:val="24"/>
                <w:color w:val="auto"/>
              </w:rPr>
            </w:pPr>
          </w:p>
        </w:tc>
        <w:tc>
          <w:tcPr>
            <w:tcW w:w="422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3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220" w:type="dxa"/>
            <w:vAlign w:val="bottom"/>
            <w:tcBorders>
              <w:bottom w:val="single" w:sz="8" w:color="E9E9E9"/>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line="215" w:lineRule="exact"/>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Borders>
              <w:bottom w:val="single" w:sz="8" w:color="E9E9E9"/>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1"/>
              <w:spacing w:after="0" w:line="215" w:lineRule="exact"/>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Borders>
              <w:bottom w:val="single" w:sz="8" w:color="E9E9E9"/>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1"/>
              <w:spacing w:after="0" w:line="215" w:lineRule="exact"/>
              <w:rPr>
                <w:sz w:val="20"/>
                <w:szCs w:val="20"/>
                <w:color w:val="auto"/>
              </w:rPr>
            </w:pPr>
            <w:r>
              <w:rPr>
                <w:rFonts w:ascii="Times New Roman" w:cs="Times New Roman" w:eastAsia="Times New Roman" w:hAnsi="Times New Roman"/>
                <w:sz w:val="20"/>
                <w:szCs w:val="20"/>
                <w:b w:val="1"/>
                <w:bCs w:val="1"/>
                <w:color w:val="auto"/>
                <w:w w:val="99"/>
              </w:rPr>
              <w:t>2022</w:t>
            </w:r>
          </w:p>
        </w:tc>
        <w:tc>
          <w:tcPr>
            <w:tcW w:w="0" w:type="dxa"/>
            <w:vAlign w:val="bottom"/>
          </w:tcPr>
          <w:p>
            <w:pPr>
              <w:spacing w:after="0"/>
              <w:rPr>
                <w:sz w:val="1"/>
                <w:szCs w:val="1"/>
                <w:color w:val="auto"/>
              </w:rPr>
            </w:pPr>
          </w:p>
        </w:tc>
      </w:tr>
      <w:tr>
        <w:trPr>
          <w:trHeight w:val="269"/>
        </w:trPr>
        <w:tc>
          <w:tcPr>
            <w:tcW w:w="760" w:type="dxa"/>
            <w:vAlign w:val="bottom"/>
          </w:tcPr>
          <w:p>
            <w:pPr>
              <w:spacing w:after="0"/>
              <w:rPr>
                <w:sz w:val="23"/>
                <w:szCs w:val="23"/>
                <w:color w:val="auto"/>
              </w:rPr>
            </w:pPr>
          </w:p>
        </w:tc>
        <w:tc>
          <w:tcPr>
            <w:tcW w:w="422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Foreign currency losses</w:t>
            </w:r>
          </w:p>
        </w:tc>
        <w:tc>
          <w:tcPr>
            <w:tcW w:w="300" w:type="dxa"/>
            <w:vAlign w:val="bottom"/>
            <w:shd w:val="clear" w:color="auto" w:fill="E9E9E9"/>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733</w:t>
            </w:r>
          </w:p>
        </w:tc>
        <w:tc>
          <w:tcPr>
            <w:tcW w:w="360" w:type="dxa"/>
            <w:vAlign w:val="bottom"/>
            <w:gridSpan w:val="2"/>
            <w:shd w:val="clear" w:color="auto" w:fill="E9E9E9"/>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500" w:type="dxa"/>
            <w:vAlign w:val="bottom"/>
            <w:gridSpan w:val="2"/>
            <w:shd w:val="clear" w:color="auto" w:fill="E9E9E9"/>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256</w:t>
            </w:r>
          </w:p>
        </w:tc>
        <w:tc>
          <w:tcPr>
            <w:tcW w:w="0" w:type="dxa"/>
            <w:vAlign w:val="bottom"/>
          </w:tcPr>
          <w:p>
            <w:pPr>
              <w:spacing w:after="0"/>
              <w:rPr>
                <w:sz w:val="1"/>
                <w:szCs w:val="1"/>
                <w:color w:val="auto"/>
              </w:rPr>
            </w:pPr>
          </w:p>
        </w:tc>
      </w:tr>
      <w:tr>
        <w:trPr>
          <w:trHeight w:val="273"/>
        </w:trPr>
        <w:tc>
          <w:tcPr>
            <w:tcW w:w="760" w:type="dxa"/>
            <w:vAlign w:val="bottom"/>
          </w:tcPr>
          <w:p>
            <w:pPr>
              <w:spacing w:after="0"/>
              <w:rPr>
                <w:sz w:val="23"/>
                <w:szCs w:val="23"/>
                <w:color w:val="auto"/>
              </w:rPr>
            </w:pPr>
          </w:p>
        </w:tc>
        <w:tc>
          <w:tcPr>
            <w:tcW w:w="4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Tax indemnification expense, net</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4,943</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9,554</w:t>
            </w:r>
          </w:p>
        </w:tc>
        <w:tc>
          <w:tcPr>
            <w:tcW w:w="0" w:type="dxa"/>
            <w:vAlign w:val="bottom"/>
          </w:tcPr>
          <w:p>
            <w:pPr>
              <w:spacing w:after="0"/>
              <w:rPr>
                <w:sz w:val="1"/>
                <w:szCs w:val="1"/>
                <w:color w:val="auto"/>
              </w:rPr>
            </w:pPr>
          </w:p>
        </w:tc>
      </w:tr>
      <w:tr>
        <w:trPr>
          <w:trHeight w:val="285"/>
        </w:trPr>
        <w:tc>
          <w:tcPr>
            <w:tcW w:w="760" w:type="dxa"/>
            <w:vAlign w:val="bottom"/>
          </w:tcPr>
          <w:p>
            <w:pPr>
              <w:spacing w:after="0"/>
              <w:rPr>
                <w:sz w:val="24"/>
                <w:szCs w:val="24"/>
                <w:color w:val="auto"/>
              </w:rPr>
            </w:pPr>
          </w:p>
        </w:tc>
        <w:tc>
          <w:tcPr>
            <w:tcW w:w="422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Interest income</w:t>
            </w:r>
          </w:p>
        </w:tc>
        <w:tc>
          <w:tcPr>
            <w:tcW w:w="300" w:type="dxa"/>
            <w:vAlign w:val="bottom"/>
            <w:shd w:val="clear" w:color="auto" w:fill="E9E9E9"/>
          </w:tcPr>
          <w:p>
            <w:pPr>
              <w:spacing w:after="0"/>
              <w:rPr>
                <w:sz w:val="24"/>
                <w:szCs w:val="24"/>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(36,838)</w:t>
            </w:r>
          </w:p>
        </w:tc>
        <w:tc>
          <w:tcPr>
            <w:tcW w:w="80" w:type="dxa"/>
            <w:vAlign w:val="bottom"/>
            <w:shd w:val="clear" w:color="auto" w:fill="E9E9E9"/>
          </w:tcPr>
          <w:p>
            <w:pPr>
              <w:spacing w:after="0"/>
              <w:rPr>
                <w:sz w:val="24"/>
                <w:szCs w:val="24"/>
                <w:color w:val="auto"/>
              </w:rPr>
            </w:pPr>
          </w:p>
        </w:tc>
        <w:tc>
          <w:tcPr>
            <w:tcW w:w="280" w:type="dxa"/>
            <w:vAlign w:val="bottom"/>
            <w:shd w:val="clear" w:color="auto" w:fill="E9E9E9"/>
          </w:tcPr>
          <w:p>
            <w:pPr>
              <w:spacing w:after="0"/>
              <w:rPr>
                <w:sz w:val="24"/>
                <w:szCs w:val="24"/>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(19,638)</w:t>
            </w:r>
          </w:p>
        </w:tc>
        <w:tc>
          <w:tcPr>
            <w:tcW w:w="80" w:type="dxa"/>
            <w:vAlign w:val="bottom"/>
            <w:shd w:val="clear" w:color="auto" w:fill="E9E9E9"/>
          </w:tcPr>
          <w:p>
            <w:pPr>
              <w:spacing w:after="0"/>
              <w:rPr>
                <w:sz w:val="24"/>
                <w:szCs w:val="24"/>
                <w:color w:val="auto"/>
              </w:rPr>
            </w:pPr>
          </w:p>
        </w:tc>
        <w:tc>
          <w:tcPr>
            <w:tcW w:w="420" w:type="dxa"/>
            <w:vAlign w:val="bottom"/>
            <w:shd w:val="clear" w:color="auto" w:fill="E9E9E9"/>
          </w:tcPr>
          <w:p>
            <w:pPr>
              <w:spacing w:after="0"/>
              <w:rPr>
                <w:sz w:val="24"/>
                <w:szCs w:val="24"/>
                <w:color w:val="auto"/>
              </w:rPr>
            </w:pPr>
          </w:p>
        </w:tc>
        <w:tc>
          <w:tcPr>
            <w:tcW w:w="8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(2,613)</w:t>
            </w:r>
          </w:p>
        </w:tc>
        <w:tc>
          <w:tcPr>
            <w:tcW w:w="0" w:type="dxa"/>
            <w:vAlign w:val="bottom"/>
          </w:tcPr>
          <w:p>
            <w:pPr>
              <w:spacing w:after="0"/>
              <w:rPr>
                <w:sz w:val="1"/>
                <w:szCs w:val="1"/>
                <w:color w:val="auto"/>
              </w:rPr>
            </w:pPr>
          </w:p>
        </w:tc>
      </w:tr>
      <w:tr>
        <w:trPr>
          <w:trHeight w:val="273"/>
        </w:trPr>
        <w:tc>
          <w:tcPr>
            <w:tcW w:w="760" w:type="dxa"/>
            <w:vAlign w:val="bottom"/>
          </w:tcPr>
          <w:p>
            <w:pPr>
              <w:spacing w:after="0"/>
              <w:rPr>
                <w:sz w:val="23"/>
                <w:szCs w:val="23"/>
                <w:color w:val="auto"/>
              </w:rPr>
            </w:pPr>
          </w:p>
        </w:tc>
        <w:tc>
          <w:tcPr>
            <w:tcW w:w="4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Interest rate swap termination</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(5,494)</w:t>
            </w:r>
          </w:p>
        </w:tc>
        <w:tc>
          <w:tcPr>
            <w:tcW w:w="0" w:type="dxa"/>
            <w:vAlign w:val="bottom"/>
          </w:tcPr>
          <w:p>
            <w:pPr>
              <w:spacing w:after="0"/>
              <w:rPr>
                <w:sz w:val="1"/>
                <w:szCs w:val="1"/>
                <w:color w:val="auto"/>
              </w:rPr>
            </w:pPr>
          </w:p>
        </w:tc>
      </w:tr>
      <w:tr>
        <w:trPr>
          <w:trHeight w:val="215"/>
        </w:trPr>
        <w:tc>
          <w:tcPr>
            <w:tcW w:w="760" w:type="dxa"/>
            <w:vAlign w:val="bottom"/>
          </w:tcPr>
          <w:p>
            <w:pPr>
              <w:spacing w:after="0"/>
              <w:rPr>
                <w:sz w:val="18"/>
                <w:szCs w:val="18"/>
                <w:color w:val="auto"/>
              </w:rPr>
            </w:pPr>
          </w:p>
        </w:tc>
        <w:tc>
          <w:tcPr>
            <w:tcW w:w="4220" w:type="dxa"/>
            <w:vAlign w:val="bottom"/>
            <w:shd w:val="clear" w:color="auto" w:fill="E9E9E9"/>
          </w:tcPr>
          <w:p>
            <w:pPr>
              <w:ind w:left="60"/>
              <w:spacing w:after="0" w:line="215" w:lineRule="exact"/>
              <w:rPr>
                <w:sz w:val="20"/>
                <w:szCs w:val="20"/>
                <w:color w:val="auto"/>
              </w:rPr>
            </w:pPr>
            <w:r>
              <w:rPr>
                <w:rFonts w:ascii="Times New Roman" w:cs="Times New Roman" w:eastAsia="Times New Roman" w:hAnsi="Times New Roman"/>
                <w:sz w:val="20"/>
                <w:szCs w:val="20"/>
                <w:color w:val="auto"/>
              </w:rPr>
              <w:t>Gain on sale of RELISTOR licensed intangible</w:t>
            </w:r>
          </w:p>
        </w:tc>
        <w:tc>
          <w:tcPr>
            <w:tcW w:w="300" w:type="dxa"/>
            <w:vAlign w:val="bottom"/>
            <w:shd w:val="clear" w:color="auto" w:fill="E9E9E9"/>
          </w:tcPr>
          <w:p>
            <w:pPr>
              <w:spacing w:after="0"/>
              <w:rPr>
                <w:sz w:val="18"/>
                <w:szCs w:val="18"/>
                <w:color w:val="auto"/>
              </w:rPr>
            </w:pPr>
          </w:p>
        </w:tc>
        <w:tc>
          <w:tcPr>
            <w:tcW w:w="980" w:type="dxa"/>
            <w:vAlign w:val="bottom"/>
            <w:vMerge w:val="restart"/>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9E9E9"/>
          </w:tcPr>
          <w:p>
            <w:pPr>
              <w:spacing w:after="0"/>
              <w:rPr>
                <w:sz w:val="18"/>
                <w:szCs w:val="18"/>
                <w:color w:val="auto"/>
              </w:rPr>
            </w:pPr>
          </w:p>
        </w:tc>
        <w:tc>
          <w:tcPr>
            <w:tcW w:w="280" w:type="dxa"/>
            <w:vAlign w:val="bottom"/>
            <w:shd w:val="clear" w:color="auto" w:fill="E9E9E9"/>
          </w:tcPr>
          <w:p>
            <w:pPr>
              <w:spacing w:after="0"/>
              <w:rPr>
                <w:sz w:val="18"/>
                <w:szCs w:val="18"/>
                <w:color w:val="auto"/>
              </w:rPr>
            </w:pPr>
          </w:p>
        </w:tc>
        <w:tc>
          <w:tcPr>
            <w:tcW w:w="980" w:type="dxa"/>
            <w:vAlign w:val="bottom"/>
            <w:vMerge w:val="restart"/>
            <w:shd w:val="clear" w:color="auto" w:fill="E9E9E9"/>
          </w:tcPr>
          <w:p>
            <w:pPr>
              <w:jc w:val="right"/>
              <w:spacing w:after="0"/>
              <w:rPr>
                <w:sz w:val="20"/>
                <w:szCs w:val="20"/>
                <w:color w:val="auto"/>
              </w:rPr>
            </w:pPr>
            <w:r>
              <w:rPr>
                <w:rFonts w:ascii="Times New Roman" w:cs="Times New Roman" w:eastAsia="Times New Roman" w:hAnsi="Times New Roman"/>
                <w:sz w:val="22"/>
                <w:szCs w:val="22"/>
                <w:color w:val="auto"/>
              </w:rPr>
              <w:t>(51,789)</w:t>
            </w:r>
          </w:p>
        </w:tc>
        <w:tc>
          <w:tcPr>
            <w:tcW w:w="80" w:type="dxa"/>
            <w:vAlign w:val="bottom"/>
            <w:shd w:val="clear" w:color="auto" w:fill="E9E9E9"/>
          </w:tcPr>
          <w:p>
            <w:pPr>
              <w:spacing w:after="0"/>
              <w:rPr>
                <w:sz w:val="18"/>
                <w:szCs w:val="18"/>
                <w:color w:val="auto"/>
              </w:rPr>
            </w:pPr>
          </w:p>
        </w:tc>
        <w:tc>
          <w:tcPr>
            <w:tcW w:w="420" w:type="dxa"/>
            <w:vAlign w:val="bottom"/>
            <w:shd w:val="clear" w:color="auto" w:fill="E9E9E9"/>
          </w:tcPr>
          <w:p>
            <w:pPr>
              <w:spacing w:after="0"/>
              <w:rPr>
                <w:sz w:val="18"/>
                <w:szCs w:val="18"/>
                <w:color w:val="auto"/>
              </w:rPr>
            </w:pPr>
          </w:p>
        </w:tc>
        <w:tc>
          <w:tcPr>
            <w:tcW w:w="860" w:type="dxa"/>
            <w:vAlign w:val="bottom"/>
            <w:vMerge w:val="restart"/>
            <w:shd w:val="clear" w:color="auto" w:fill="E9E9E9"/>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6"/>
        </w:trPr>
        <w:tc>
          <w:tcPr>
            <w:tcW w:w="760" w:type="dxa"/>
            <w:vAlign w:val="bottom"/>
          </w:tcPr>
          <w:p>
            <w:pPr>
              <w:spacing w:after="0"/>
              <w:rPr>
                <w:sz w:val="23"/>
                <w:szCs w:val="23"/>
                <w:color w:val="auto"/>
              </w:rPr>
            </w:pPr>
          </w:p>
        </w:tc>
        <w:tc>
          <w:tcPr>
            <w:tcW w:w="422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asset associated with net sales royalties</w:t>
            </w:r>
          </w:p>
        </w:tc>
        <w:tc>
          <w:tcPr>
            <w:tcW w:w="300" w:type="dxa"/>
            <w:vAlign w:val="bottom"/>
            <w:shd w:val="clear" w:color="auto" w:fill="E9E9E9"/>
          </w:tcPr>
          <w:p>
            <w:pPr>
              <w:spacing w:after="0"/>
              <w:rPr>
                <w:sz w:val="23"/>
                <w:szCs w:val="23"/>
                <w:color w:val="auto"/>
              </w:rPr>
            </w:pPr>
          </w:p>
        </w:tc>
        <w:tc>
          <w:tcPr>
            <w:tcW w:w="980" w:type="dxa"/>
            <w:vAlign w:val="bottom"/>
            <w:vMerge w:val="continue"/>
            <w:shd w:val="clear" w:color="auto" w:fill="E9E9E9"/>
          </w:tcPr>
          <w:p>
            <w:pPr>
              <w:spacing w:after="0"/>
              <w:rPr>
                <w:sz w:val="23"/>
                <w:szCs w:val="23"/>
                <w:color w:val="auto"/>
              </w:rPr>
            </w:pPr>
          </w:p>
        </w:tc>
        <w:tc>
          <w:tcPr>
            <w:tcW w:w="80" w:type="dxa"/>
            <w:vAlign w:val="bottom"/>
            <w:shd w:val="clear" w:color="auto" w:fill="E9E9E9"/>
          </w:tcPr>
          <w:p>
            <w:pPr>
              <w:spacing w:after="0"/>
              <w:rPr>
                <w:sz w:val="23"/>
                <w:szCs w:val="23"/>
                <w:color w:val="auto"/>
              </w:rPr>
            </w:pPr>
          </w:p>
        </w:tc>
        <w:tc>
          <w:tcPr>
            <w:tcW w:w="280" w:type="dxa"/>
            <w:vAlign w:val="bottom"/>
            <w:shd w:val="clear" w:color="auto" w:fill="E9E9E9"/>
          </w:tcPr>
          <w:p>
            <w:pPr>
              <w:spacing w:after="0"/>
              <w:rPr>
                <w:sz w:val="23"/>
                <w:szCs w:val="23"/>
                <w:color w:val="auto"/>
              </w:rPr>
            </w:pPr>
          </w:p>
        </w:tc>
        <w:tc>
          <w:tcPr>
            <w:tcW w:w="980" w:type="dxa"/>
            <w:vAlign w:val="bottom"/>
            <w:vMerge w:val="continue"/>
            <w:shd w:val="clear" w:color="auto" w:fill="E9E9E9"/>
          </w:tcPr>
          <w:p>
            <w:pPr>
              <w:spacing w:after="0"/>
              <w:rPr>
                <w:sz w:val="23"/>
                <w:szCs w:val="23"/>
                <w:color w:val="auto"/>
              </w:rPr>
            </w:pPr>
          </w:p>
        </w:tc>
        <w:tc>
          <w:tcPr>
            <w:tcW w:w="80" w:type="dxa"/>
            <w:vAlign w:val="bottom"/>
            <w:shd w:val="clear" w:color="auto" w:fill="E9E9E9"/>
          </w:tcPr>
          <w:p>
            <w:pPr>
              <w:spacing w:after="0"/>
              <w:rPr>
                <w:sz w:val="23"/>
                <w:szCs w:val="23"/>
                <w:color w:val="auto"/>
              </w:rPr>
            </w:pPr>
          </w:p>
        </w:tc>
        <w:tc>
          <w:tcPr>
            <w:tcW w:w="420" w:type="dxa"/>
            <w:vAlign w:val="bottom"/>
            <w:shd w:val="clear" w:color="auto" w:fill="E9E9E9"/>
          </w:tcPr>
          <w:p>
            <w:pPr>
              <w:spacing w:after="0"/>
              <w:rPr>
                <w:sz w:val="23"/>
                <w:szCs w:val="23"/>
                <w:color w:val="auto"/>
              </w:rPr>
            </w:pPr>
          </w:p>
        </w:tc>
        <w:tc>
          <w:tcPr>
            <w:tcW w:w="860" w:type="dxa"/>
            <w:vAlign w:val="bottom"/>
            <w:vMerge w:val="continue"/>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760" w:type="dxa"/>
            <w:vAlign w:val="bottom"/>
          </w:tcPr>
          <w:p>
            <w:pPr>
              <w:spacing w:after="0"/>
              <w:rPr>
                <w:sz w:val="23"/>
                <w:szCs w:val="23"/>
                <w:color w:val="auto"/>
              </w:rPr>
            </w:pPr>
          </w:p>
        </w:tc>
        <w:tc>
          <w:tcPr>
            <w:tcW w:w="4220" w:type="dxa"/>
            <w:vAlign w:val="bottom"/>
            <w:tcBorders>
              <w:bottom w:val="single" w:sz="8" w:color="E9E9E9"/>
            </w:tcBorders>
          </w:tcPr>
          <w:p>
            <w:pPr>
              <w:ind w:left="60"/>
              <w:spacing w:after="0"/>
              <w:rPr>
                <w:sz w:val="20"/>
                <w:szCs w:val="20"/>
                <w:color w:val="auto"/>
              </w:rPr>
            </w:pPr>
            <w:r>
              <w:rPr>
                <w:rFonts w:ascii="Times New Roman" w:cs="Times New Roman" w:eastAsia="Times New Roman" w:hAnsi="Times New Roman"/>
                <w:sz w:val="20"/>
                <w:szCs w:val="20"/>
                <w:color w:val="auto"/>
              </w:rPr>
              <w:t>Other</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(1,020)</w:t>
            </w:r>
          </w:p>
        </w:tc>
        <w:tc>
          <w:tcPr>
            <w:tcW w:w="80" w:type="dxa"/>
            <w:vAlign w:val="bottom"/>
            <w:tcBorders>
              <w:bottom w:val="single" w:sz="8" w:color="E9E9E9"/>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143</w:t>
            </w:r>
          </w:p>
        </w:tc>
        <w:tc>
          <w:tcPr>
            <w:tcW w:w="80" w:type="dxa"/>
            <w:vAlign w:val="bottom"/>
            <w:tcBorders>
              <w:bottom w:val="single" w:sz="8" w:color="E9E9E9"/>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9"/>
        </w:trPr>
        <w:tc>
          <w:tcPr>
            <w:tcW w:w="760" w:type="dxa"/>
            <w:vAlign w:val="bottom"/>
          </w:tcPr>
          <w:p>
            <w:pPr>
              <w:spacing w:after="0"/>
              <w:rPr>
                <w:sz w:val="24"/>
                <w:szCs w:val="24"/>
                <w:color w:val="auto"/>
              </w:rPr>
            </w:pPr>
          </w:p>
        </w:tc>
        <w:tc>
          <w:tcPr>
            <w:tcW w:w="4220" w:type="dxa"/>
            <w:vAlign w:val="bottom"/>
            <w:tcBorders>
              <w:bottom w:val="single" w:sz="8" w:color="E9E9E9"/>
            </w:tcBorders>
            <w:shd w:val="clear" w:color="auto" w:fill="E9E9E9"/>
          </w:tcPr>
          <w:p>
            <w:pPr>
              <w:ind w:left="400"/>
              <w:spacing w:after="0"/>
              <w:rPr>
                <w:sz w:val="20"/>
                <w:szCs w:val="20"/>
                <w:color w:val="auto"/>
              </w:rPr>
            </w:pPr>
            <w:r>
              <w:rPr>
                <w:rFonts w:ascii="Times New Roman" w:cs="Times New Roman" w:eastAsia="Times New Roman" w:hAnsi="Times New Roman"/>
                <w:sz w:val="20"/>
                <w:szCs w:val="20"/>
                <w:color w:val="auto"/>
              </w:rPr>
              <w:t>Total other (income) loss</w:t>
            </w:r>
          </w:p>
        </w:tc>
        <w:tc>
          <w:tcPr>
            <w:tcW w:w="300" w:type="dxa"/>
            <w:vAlign w:val="bottom"/>
            <w:tcBorders>
              <w:bottom w:val="single" w:sz="8" w:color="auto"/>
            </w:tcBorders>
            <w:shd w:val="clear" w:color="auto" w:fill="E9E9E9"/>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(37,231)</w:t>
            </w:r>
          </w:p>
        </w:tc>
        <w:tc>
          <w:tcPr>
            <w:tcW w:w="80" w:type="dxa"/>
            <w:vAlign w:val="bottom"/>
            <w:tcBorders>
              <w:bottom w:val="single" w:sz="8" w:color="E9E9E9"/>
            </w:tcBorders>
            <w:shd w:val="clear" w:color="auto" w:fill="E9E9E9"/>
          </w:tcPr>
          <w:p>
            <w:pPr>
              <w:spacing w:after="0"/>
              <w:rPr>
                <w:sz w:val="24"/>
                <w:szCs w:val="24"/>
                <w:color w:val="auto"/>
              </w:rPr>
            </w:pPr>
          </w:p>
        </w:tc>
        <w:tc>
          <w:tcPr>
            <w:tcW w:w="280" w:type="dxa"/>
            <w:vAlign w:val="bottom"/>
            <w:tcBorders>
              <w:bottom w:val="single" w:sz="8" w:color="auto"/>
            </w:tcBorders>
            <w:shd w:val="clear" w:color="auto" w:fill="E9E9E9"/>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(66,320)</w:t>
            </w:r>
          </w:p>
        </w:tc>
        <w:tc>
          <w:tcPr>
            <w:tcW w:w="80" w:type="dxa"/>
            <w:vAlign w:val="bottom"/>
            <w:tcBorders>
              <w:bottom w:val="single" w:sz="8" w:color="E9E9E9"/>
            </w:tcBorders>
            <w:shd w:val="clear" w:color="auto" w:fill="E9E9E9"/>
          </w:tcPr>
          <w:p>
            <w:pPr>
              <w:spacing w:after="0"/>
              <w:rPr>
                <w:sz w:val="24"/>
                <w:szCs w:val="24"/>
                <w:color w:val="auto"/>
              </w:rPr>
            </w:pPr>
          </w:p>
        </w:tc>
        <w:tc>
          <w:tcPr>
            <w:tcW w:w="420" w:type="dxa"/>
            <w:vAlign w:val="bottom"/>
            <w:tcBorders>
              <w:bottom w:val="single" w:sz="8" w:color="auto"/>
            </w:tcBorders>
            <w:shd w:val="clear" w:color="auto" w:fill="E9E9E9"/>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1,703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-43180</wp:posOffset>
            </wp:positionV>
            <wp:extent cx="2555240" cy="501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55240" cy="5016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Comprehensive Income</w:t>
      </w:r>
    </w:p>
    <w:p>
      <w:pPr>
        <w:spacing w:after="0" w:line="131" w:lineRule="exact"/>
        <w:rPr>
          <w:sz w:val="20"/>
          <w:szCs w:val="20"/>
          <w:color w:val="auto"/>
        </w:rPr>
      </w:pPr>
    </w:p>
    <w:p>
      <w:pPr>
        <w:ind w:right="60" w:firstLine="441"/>
        <w:spacing w:after="0" w:line="252" w:lineRule="auto"/>
        <w:rPr>
          <w:sz w:val="20"/>
          <w:szCs w:val="20"/>
          <w:color w:val="auto"/>
        </w:rPr>
      </w:pPr>
      <w:r>
        <w:rPr>
          <w:rFonts w:ascii="Times New Roman" w:cs="Times New Roman" w:eastAsia="Times New Roman" w:hAnsi="Times New Roman"/>
          <w:sz w:val="20"/>
          <w:szCs w:val="20"/>
          <w:color w:val="auto"/>
        </w:rPr>
        <w:t>Comprehensive income consists of net income and other gains and losses affecting stockholders’ equity that, under U.S. GAAP, are excluded from net income. For the Company, other comprehensive income consists of foreign currency translation gains and losses, as well as realized gains and losses on cash flow hedges related to the Company’s interest rate swaps. The accumulated other comprehensive loss balance consists entirely of foreign currency translation gains and losses and realized and unrealized gains and losses on outstanding cash flow hedges related to the Company’s interest rate swaps.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Asset Retirement Obligations</w:t>
      </w:r>
    </w:p>
    <w:p>
      <w:pPr>
        <w:spacing w:after="0" w:line="131" w:lineRule="exact"/>
        <w:rPr>
          <w:sz w:val="20"/>
          <w:szCs w:val="20"/>
          <w:color w:val="auto"/>
        </w:rPr>
      </w:pPr>
    </w:p>
    <w:p>
      <w:pPr>
        <w:ind w:firstLine="441"/>
        <w:spacing w:after="0" w:line="249" w:lineRule="auto"/>
        <w:rPr>
          <w:sz w:val="20"/>
          <w:szCs w:val="20"/>
          <w:color w:val="auto"/>
        </w:rPr>
      </w:pPr>
      <w:r>
        <w:rPr>
          <w:rFonts w:ascii="Times New Roman" w:cs="Times New Roman" w:eastAsia="Times New Roman" w:hAnsi="Times New Roman"/>
          <w:sz w:val="20"/>
          <w:szCs w:val="20"/>
          <w:color w:val="auto"/>
        </w:rPr>
        <w:t>The Company’s compliance with federal, state, local and foreign environmental laws and regulations may require it to remove or mitigate the effects of the disposal or release of chemical substances in jurisdictions where it does business or maintains properties. The Company establishes accruals when those costs are legally obligated and can be reasonably estimated. Accrual amounts are estimated, which may include the assistance of third-party environmental specialists, and are based on currently available information, regulatory requirements, remediation strategies, historical experience, the relative shares of the total remediation costs, a relevant discount rate, and the time periods of when estimated costs can be reasonably predicted. Changes in these assumptions could impact the Company’s future reported results.</w:t>
      </w:r>
    </w:p>
    <w:p>
      <w:pPr>
        <w:sectPr>
          <w:pgSz w:w="11880" w:h="15480" w:orient="portrait"/>
          <w:cols w:equalWidth="0" w:num="1">
            <w:col w:w="10560"/>
          </w:cols>
          <w:pgMar w:left="640" w:top="622" w:right="6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92</w:t>
      </w:r>
    </w:p>
    <w:p>
      <w:pPr>
        <w:sectPr>
          <w:pgSz w:w="11880" w:h="15480" w:orient="portrait"/>
          <w:cols w:equalWidth="0" w:num="1">
            <w:col w:w="10560"/>
          </w:cols>
          <w:pgMar w:left="640" w:top="622" w:right="680" w:bottom="0" w:gutter="0" w:footer="0" w:header="0"/>
          <w:type w:val="continuous"/>
        </w:sectPr>
      </w:pPr>
    </w:p>
    <w:bookmarkStart w:id="98" w:name="page99"/>
    <w:bookmarkEnd w:id="98"/>
    <w:p>
      <w:pPr>
        <w:ind w:right="20" w:firstLine="441"/>
        <w:spacing w:after="0" w:line="249" w:lineRule="auto"/>
        <w:rPr>
          <w:sz w:val="20"/>
          <w:szCs w:val="20"/>
          <w:color w:val="auto"/>
        </w:rPr>
      </w:pPr>
      <w:r>
        <w:rPr>
          <w:rFonts w:ascii="Times New Roman" w:cs="Times New Roman" w:eastAsia="Times New Roman" w:hAnsi="Times New Roman"/>
          <w:sz w:val="20"/>
          <w:szCs w:val="20"/>
          <w:color w:val="auto"/>
        </w:rPr>
        <w:t>The Company has production facilities which manufacture and process radioactive materials at its sites in North Billerica, Massachusetts and, through March 1, 2024, Somerset, New Jersey. The Company considers its legal obligation to remediate its facilities upon a decommissioning of its radioactive-related operations as an asset retirement obligation. The fair value of a liability for asset retirement obligations is recognized in the period in which the liability is incurred. The liability is measured at the present value of the obligation expected to be incurred and is adjusted in subsequent periods as accretion expense is recorded. The corresponding asset retirement costs are capitalized as part of the carrying values of the related long-lived assets and depreciated over the assets’ useful lives.</w:t>
      </w:r>
    </w:p>
    <w:p>
      <w:pPr>
        <w:spacing w:after="0" w:line="211" w:lineRule="exact"/>
        <w:rPr>
          <w:sz w:val="20"/>
          <w:szCs w:val="20"/>
          <w:color w:val="auto"/>
        </w:rPr>
      </w:pPr>
    </w:p>
    <w:p>
      <w:pPr>
        <w:ind w:right="80" w:firstLine="441"/>
        <w:spacing w:after="0" w:line="248" w:lineRule="auto"/>
        <w:rPr>
          <w:sz w:val="20"/>
          <w:szCs w:val="20"/>
          <w:color w:val="auto"/>
        </w:rPr>
      </w:pPr>
      <w:r>
        <w:rPr>
          <w:rFonts w:ascii="Times New Roman" w:cs="Times New Roman" w:eastAsia="Times New Roman" w:hAnsi="Times New Roman"/>
          <w:sz w:val="20"/>
          <w:szCs w:val="20"/>
          <w:color w:val="auto"/>
        </w:rPr>
        <w:t>The Company has identified conditional asset retirement obligations related to the future removal and disposal of asbestos contained in certain of the buildings located on the Company’s North Billerica campus. The Company believes the asbestos is appropriately contained and it is compliant with all applicable environmental regulations. If these properties undergo major renovations or are demolished, certain environmental regulations are in place, which specify the manner in which asbestos must be handled and disposed. The Company is required to record the fair value of these conditional liabilities if they can be reasonably estimated. As of December 31, 2024 and 2023, sufficient information was not available to estimate a liability for such conditional asset retirement obligations as the obligations to remove the asbestos from these properties have indeterminable settlement dates. As such, no liability for conditional asset retirement obligations has been recorded in the accompanying consolidated balance sheets as of December 31, 2024 and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Self-Insurance Reserves</w:t>
      </w:r>
    </w:p>
    <w:p>
      <w:pPr>
        <w:spacing w:after="0" w:line="131" w:lineRule="exact"/>
        <w:rPr>
          <w:sz w:val="20"/>
          <w:szCs w:val="20"/>
          <w:color w:val="auto"/>
        </w:rPr>
      </w:pPr>
    </w:p>
    <w:p>
      <w:pPr>
        <w:ind w:firstLine="441"/>
        <w:spacing w:after="0" w:line="250" w:lineRule="auto"/>
        <w:rPr>
          <w:sz w:val="20"/>
          <w:szCs w:val="20"/>
          <w:color w:val="auto"/>
        </w:rPr>
      </w:pPr>
      <w:r>
        <w:rPr>
          <w:rFonts w:ascii="Times New Roman" w:cs="Times New Roman" w:eastAsia="Times New Roman" w:hAnsi="Times New Roman"/>
          <w:sz w:val="20"/>
          <w:szCs w:val="20"/>
          <w:color w:val="auto"/>
        </w:rPr>
        <w:t>The Company’s consolidated balance sheets at December 31, 2024 and 2023 include $2.8 million and $1.0 million of accrued liabilities associated with employee medical costs that are retained by the Company, respectively. The Company estimates the required liability of those claims on an undiscounted basis based upon various assumptions which include, but are not limited to, the Company’s historical loss experience and projected loss development factors. The required liability is also subject to adjustment in the future based upon changes in claims experience, including changes in the number of incidents (frequency) and change in the ultimate cost per incident (severity).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Accounting Pronouncements Adopted During the Period</w:t>
      </w:r>
    </w:p>
    <w:p>
      <w:pPr>
        <w:spacing w:after="0" w:line="123" w:lineRule="exact"/>
        <w:rPr>
          <w:sz w:val="20"/>
          <w:szCs w:val="20"/>
          <w:color w:val="auto"/>
        </w:rPr>
      </w:pPr>
    </w:p>
    <w:p>
      <w:pPr>
        <w:ind w:right="60" w:firstLine="441"/>
        <w:spacing w:after="0" w:line="250" w:lineRule="auto"/>
        <w:rPr>
          <w:sz w:val="20"/>
          <w:szCs w:val="20"/>
          <w:color w:val="auto"/>
        </w:rPr>
      </w:pPr>
      <w:r>
        <w:rPr>
          <w:rFonts w:ascii="Times New Roman" w:cs="Times New Roman" w:eastAsia="Times New Roman" w:hAnsi="Times New Roman"/>
          <w:sz w:val="20"/>
          <w:szCs w:val="20"/>
          <w:color w:val="auto"/>
        </w:rPr>
        <w:t>During the fourth quarter of 2024, the Company adopted Accounting Standard Update (“ASU”) 2023-07, “</w:t>
      </w:r>
      <w:r>
        <w:rPr>
          <w:rFonts w:ascii="Times New Roman" w:cs="Times New Roman" w:eastAsia="Times New Roman" w:hAnsi="Times New Roman"/>
          <w:sz w:val="20"/>
          <w:szCs w:val="20"/>
          <w:i w:val="1"/>
          <w:iCs w:val="1"/>
          <w:color w:val="auto"/>
        </w:rPr>
        <w:t>Segment Reporting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(Topic 280): Improvements to Reportable Segment Disclosures,” </w:t>
      </w:r>
      <w:r>
        <w:rPr>
          <w:rFonts w:ascii="Times New Roman" w:cs="Times New Roman" w:eastAsia="Times New Roman" w:hAnsi="Times New Roman"/>
          <w:sz w:val="20"/>
          <w:szCs w:val="20"/>
          <w:color w:val="auto"/>
        </w:rPr>
        <w:t>which was issued by the Financial Accounting Standards Board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“FASB”) in December 2023. ASU 2023-07 requires all public entities, including public entities with a single reportable segment, to provide in interim and annual periods one or more measures of segment profit or loss used by the chief operating decision maker to allocate resources and assess performance. Additionally, the standard requires disclosures of significant segment expenses and other segment items, as well as incremental qualitative disclosures. See Note 22, </w:t>
      </w:r>
      <w:r>
        <w:rPr>
          <w:rFonts w:ascii="Times New Roman" w:cs="Times New Roman" w:eastAsia="Times New Roman" w:hAnsi="Times New Roman"/>
          <w:sz w:val="20"/>
          <w:szCs w:val="20"/>
          <w:i w:val="1"/>
          <w:iCs w:val="1"/>
          <w:color w:val="auto"/>
        </w:rPr>
        <w:t>“Segment Information”</w:t>
      </w:r>
      <w:r>
        <w:rPr>
          <w:rFonts w:ascii="Times New Roman" w:cs="Times New Roman" w:eastAsia="Times New Roman" w:hAnsi="Times New Roman"/>
          <w:sz w:val="20"/>
          <w:szCs w:val="20"/>
          <w:color w:val="auto"/>
        </w:rPr>
        <w:t xml:space="preserve"> to these consolidated financial statements for additional disclosures.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Accounting Pronouncements Not Yet Adopted</w:t>
      </w:r>
    </w:p>
    <w:p>
      <w:pPr>
        <w:spacing w:after="0" w:line="123" w:lineRule="exact"/>
        <w:rPr>
          <w:sz w:val="20"/>
          <w:szCs w:val="20"/>
          <w:color w:val="auto"/>
        </w:rPr>
      </w:pPr>
    </w:p>
    <w:p>
      <w:pPr>
        <w:ind w:right="20" w:firstLine="441"/>
        <w:spacing w:after="0" w:line="267" w:lineRule="auto"/>
        <w:rPr>
          <w:sz w:val="20"/>
          <w:szCs w:val="20"/>
          <w:color w:val="auto"/>
        </w:rPr>
      </w:pPr>
      <w:r>
        <w:rPr>
          <w:rFonts w:ascii="Times New Roman" w:cs="Times New Roman" w:eastAsia="Times New Roman" w:hAnsi="Times New Roman"/>
          <w:sz w:val="19"/>
          <w:szCs w:val="19"/>
          <w:color w:val="auto"/>
        </w:rPr>
        <w:t xml:space="preserve">In November 2024, the FASB issued ASU 2024-04, </w:t>
      </w:r>
      <w:r>
        <w:rPr>
          <w:rFonts w:ascii="Times New Roman" w:cs="Times New Roman" w:eastAsia="Times New Roman" w:hAnsi="Times New Roman"/>
          <w:sz w:val="19"/>
          <w:szCs w:val="19"/>
          <w:i w:val="1"/>
          <w:iCs w:val="1"/>
          <w:color w:val="auto"/>
        </w:rPr>
        <w:t>“Debt - Debt with Conversion and Other Options (Subtopic 470-20),”</w:t>
      </w:r>
      <w:r>
        <w:rPr>
          <w:rFonts w:ascii="Times New Roman" w:cs="Times New Roman" w:eastAsia="Times New Roman" w:hAnsi="Times New Roman"/>
          <w:sz w:val="19"/>
          <w:szCs w:val="19"/>
          <w:color w:val="auto"/>
        </w:rPr>
        <w:t xml:space="preserve"> which clarifies the requirements for determining whether certain settlements of convertible debt instruments should be accounted for as an induced conversion rather than as extinguishment of debt. The requirements of ASU 2024-04 are effective for the annual periods beginning after December 15, 2025, including interim periods within those fiscal years. Early adoption is permitted. For the Company, the requirements under ASU 2024-04 will be effective for its Quarterly Report on Form 10-Q for the first quarter 2026. The Company is currently in the process of evaluating the effects of this pronouncement on our consolidated financial results and related disclosures.</w:t>
      </w:r>
    </w:p>
    <w:p>
      <w:pPr>
        <w:spacing w:after="0" w:line="70" w:lineRule="exact"/>
        <w:rPr>
          <w:sz w:val="20"/>
          <w:szCs w:val="20"/>
          <w:color w:val="auto"/>
        </w:rPr>
      </w:pPr>
    </w:p>
    <w:p>
      <w:pPr>
        <w:ind w:firstLine="441"/>
        <w:spacing w:after="0" w:line="248"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2024-03, </w:t>
      </w:r>
      <w:r>
        <w:rPr>
          <w:rFonts w:ascii="Times New Roman" w:cs="Times New Roman" w:eastAsia="Times New Roman" w:hAnsi="Times New Roman"/>
          <w:sz w:val="20"/>
          <w:szCs w:val="20"/>
          <w:i w:val="1"/>
          <w:iCs w:val="1"/>
          <w:color w:val="auto"/>
        </w:rPr>
        <w:t>“Income Statement - Reporting Comprehensive Income - Expense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Disaggregation Disclosures (Subtopic 220-40),” </w:t>
      </w:r>
      <w:r>
        <w:rPr>
          <w:rFonts w:ascii="Times New Roman" w:cs="Times New Roman" w:eastAsia="Times New Roman" w:hAnsi="Times New Roman"/>
          <w:sz w:val="20"/>
          <w:szCs w:val="20"/>
          <w:color w:val="auto"/>
        </w:rPr>
        <w:t>and in January 2025, the FASB issued ASU 2025-01,</w:t>
      </w:r>
      <w:r>
        <w:rPr>
          <w:rFonts w:ascii="Times New Roman" w:cs="Times New Roman" w:eastAsia="Times New Roman" w:hAnsi="Times New Roman"/>
          <w:sz w:val="20"/>
          <w:szCs w:val="20"/>
          <w:i w:val="1"/>
          <w:iCs w:val="1"/>
          <w:color w:val="auto"/>
        </w:rPr>
        <w:t xml:space="preserve"> “Income Statement - Reporting Comprehensive Income - Expense Disaggregation Disclosures (Subtopic 220-40): Clarifying the Effective Date.” </w:t>
      </w:r>
      <w:r>
        <w:rPr>
          <w:rFonts w:ascii="Times New Roman" w:cs="Times New Roman" w:eastAsia="Times New Roman" w:hAnsi="Times New Roman"/>
          <w:sz w:val="20"/>
          <w:szCs w:val="20"/>
          <w:color w:val="auto"/>
        </w:rPr>
        <w:t>ASU 2024-03</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requires additional income statement disclosures, including the disaggregation of specific categories of expenses underlying the line items presented on the income statement. Additionally, ASU 2024-03 requires enhanced disclosure of selling expenses. As clarified by ASU 2025-01, the requirements of the guidance are effective for annual periods beginning after December 15, 2026 and interim periods within fiscal years beginning after December 15, 2027. For the Company, annual reporting requirements under ASU 2024-03 will be effective for its Annual Report on Form 10-K for the year ending December 31, 2027 and interim reporting requirements will be effective beginning in the first quarter of 2028. Early adoption is permitted and the amendments should be applied on a prospective basis, however retrospective application is permitted. The Company is currently in the process of evaluating the effects of this pronouncement on our consolidated financial results and related disclosures.</w:t>
      </w:r>
    </w:p>
    <w:p>
      <w:pPr>
        <w:spacing w:after="0" w:line="91" w:lineRule="exact"/>
        <w:rPr>
          <w:sz w:val="20"/>
          <w:szCs w:val="20"/>
          <w:color w:val="auto"/>
        </w:rPr>
      </w:pPr>
    </w:p>
    <w:p>
      <w:pPr>
        <w:ind w:right="120" w:firstLine="441"/>
        <w:spacing w:after="0" w:line="302" w:lineRule="auto"/>
        <w:rPr>
          <w:sz w:val="20"/>
          <w:szCs w:val="20"/>
          <w:color w:val="auto"/>
        </w:rPr>
      </w:pPr>
      <w:r>
        <w:rPr>
          <w:rFonts w:ascii="Times New Roman" w:cs="Times New Roman" w:eastAsia="Times New Roman" w:hAnsi="Times New Roman"/>
          <w:sz w:val="19"/>
          <w:szCs w:val="19"/>
          <w:color w:val="auto"/>
        </w:rPr>
        <w:t xml:space="preserve">In December 2023, the FASB also issued ASU 2023-09, </w:t>
      </w:r>
      <w:r>
        <w:rPr>
          <w:rFonts w:ascii="Times New Roman" w:cs="Times New Roman" w:eastAsia="Times New Roman" w:hAnsi="Times New Roman"/>
          <w:sz w:val="19"/>
          <w:szCs w:val="19"/>
          <w:i w:val="1"/>
          <w:iCs w:val="1"/>
          <w:color w:val="auto"/>
        </w:rPr>
        <w:t>“Income Taxes (Topic 740): Improvements to Income Tax</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Disclosures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which requires enhanced income tax disclosures, including specific categories and disaggregation of information in the</w:t>
      </w:r>
    </w:p>
    <w:p>
      <w:pPr>
        <w:sectPr>
          <w:pgSz w:w="11880" w:h="15480" w:orient="portrait"/>
          <w:cols w:equalWidth="0" w:num="1">
            <w:col w:w="10580"/>
          </w:cols>
          <w:pgMar w:left="640" w:top="622" w:right="660" w:bottom="0" w:gutter="0" w:footer="0" w:header="0"/>
        </w:sect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93</w:t>
      </w:r>
    </w:p>
    <w:p>
      <w:pPr>
        <w:sectPr>
          <w:pgSz w:w="11880" w:h="15480" w:orient="portrait"/>
          <w:cols w:equalWidth="0" w:num="1">
            <w:col w:w="10580"/>
          </w:cols>
          <w:pgMar w:left="640" w:top="622" w:right="660" w:bottom="0" w:gutter="0" w:footer="0" w:header="0"/>
          <w:type w:val="continuous"/>
        </w:sectPr>
      </w:pPr>
    </w:p>
    <w:bookmarkStart w:id="99" w:name="page100"/>
    <w:bookmarkEnd w:id="99"/>
    <w:p>
      <w:pPr>
        <w:spacing w:after="0" w:line="254" w:lineRule="auto"/>
        <w:rPr>
          <w:sz w:val="20"/>
          <w:szCs w:val="20"/>
          <w:color w:val="auto"/>
        </w:rPr>
      </w:pPr>
      <w:r>
        <w:rPr>
          <w:rFonts w:ascii="Times New Roman" w:cs="Times New Roman" w:eastAsia="Times New Roman" w:hAnsi="Times New Roman"/>
          <w:sz w:val="20"/>
          <w:szCs w:val="20"/>
          <w:color w:val="auto"/>
        </w:rPr>
        <w:t>effective tax rate reconciliation, disaggregated information related to income taxes paid, income or loss from continuing operations before income tax expense or benefit, and income tax expense or benefit from continuing operations. The requirements of the ASU are effective for annual periods beginning after December 15, 2024, with early adoption permitted. The Company is currently in the process of evaluating the impact of this pronouncement on our related disclosures.</w:t>
      </w:r>
    </w:p>
    <w:p>
      <w:pPr>
        <w:sectPr>
          <w:pgSz w:w="11880" w:h="15480" w:orient="portrait"/>
          <w:cols w:equalWidth="0" w:num="1">
            <w:col w:w="10560"/>
          </w:cols>
          <w:pgMar w:left="640" w:top="622" w:right="6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94</w:t>
      </w:r>
    </w:p>
    <w:p>
      <w:pPr>
        <w:sectPr>
          <w:pgSz w:w="11880" w:h="15480" w:orient="portrait"/>
          <w:cols w:equalWidth="0" w:num="1">
            <w:col w:w="10560"/>
          </w:cols>
          <w:pgMar w:left="640" w:top="622" w:right="680" w:bottom="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b w:val="1"/>
          <w:bCs w:val="1"/>
          <w:color w:val="auto"/>
        </w:rPr>
        <w:t>3. Revenue from Contracts with Customers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131"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20"/>
          <w:szCs w:val="20"/>
          <w:color w:val="auto"/>
        </w:rPr>
        <w:t>Revenue is recognized when a customer obtains control of promised goods or services. The amount of revenue recognized reflects the consideration to which the Company expects to be entitled to receive in exchange for these goods or services. To achieve this core principle, the Company applies the following five steps: (1) identify the contracts with a customer; (2) identify the performance obligations in the contract; (3) determine the transaction price; (4) allocate the transaction price to the performance obligations in the contract; and (5) recognize revenue when (or as) the Company satisfies a performance obligation.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Disaggregation of Revenue</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The following table summarizes revenue by revenue source as follows:</w:t>
      </w:r>
    </w:p>
    <w:p>
      <w:pPr>
        <w:spacing w:after="0" w:line="73" w:lineRule="exact"/>
        <w:rPr>
          <w:sz w:val="20"/>
          <w:szCs w:val="20"/>
          <w:color w:val="auto"/>
        </w:rPr>
      </w:pPr>
    </w:p>
    <w:tbl>
      <w:tblPr>
        <w:tblLayout w:type="fixed"/>
        <w:tblInd w:w="500" w:type="dxa"/>
        <w:tblCellMar>
          <w:top w:w="0" w:type="dxa"/>
          <w:left w:w="0" w:type="dxa"/>
          <w:bottom w:w="0" w:type="dxa"/>
          <w:right w:w="0" w:type="dxa"/>
        </w:tblCellMar>
      </w:tblPr>
      <w:tr>
        <w:trPr>
          <w:trHeight w:val="262"/>
        </w:trPr>
        <w:tc>
          <w:tcPr>
            <w:tcW w:w="3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20"/>
                <w:szCs w:val="20"/>
                <w:b w:val="1"/>
                <w:bCs w:val="1"/>
                <w:color w:val="auto"/>
                <w:w w:val="98"/>
              </w:rPr>
              <w:t>Year Ended December 31,</w:t>
            </w:r>
          </w:p>
        </w:tc>
        <w:tc>
          <w:tcPr>
            <w:tcW w:w="4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3120" w:type="dxa"/>
            <w:vAlign w:val="bottom"/>
          </w:tcPr>
          <w:p>
            <w:pPr>
              <w:ind w:left="40"/>
              <w:spacing w:after="0" w:line="193" w:lineRule="exact"/>
              <w:rPr>
                <w:sz w:val="20"/>
                <w:szCs w:val="20"/>
                <w:color w:val="auto"/>
              </w:rPr>
            </w:pPr>
            <w:r>
              <w:rPr>
                <w:rFonts w:ascii="Times New Roman" w:cs="Times New Roman" w:eastAsia="Times New Roman" w:hAnsi="Times New Roman"/>
                <w:sz w:val="20"/>
                <w:szCs w:val="20"/>
                <w:b w:val="1"/>
                <w:bCs w:val="1"/>
                <w:color w:val="auto"/>
              </w:rPr>
              <w:t>Major Products/Service Lines</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vMerge w:val="restart"/>
          </w:tcPr>
          <w:p>
            <w:pPr>
              <w:jc w:val="right"/>
              <w:ind w:right="642"/>
              <w:spacing w:after="0"/>
              <w:rPr>
                <w:sz w:val="20"/>
                <w:szCs w:val="20"/>
                <w:color w:val="auto"/>
              </w:rPr>
            </w:pPr>
            <w:r>
              <w:rPr>
                <w:rFonts w:ascii="Times New Roman" w:cs="Times New Roman" w:eastAsia="Times New Roman" w:hAnsi="Times New Roman"/>
                <w:sz w:val="20"/>
                <w:szCs w:val="20"/>
                <w:b w:val="1"/>
                <w:bCs w:val="1"/>
                <w:color w:val="auto"/>
              </w:rPr>
              <w:t>2024</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vMerge w:val="restart"/>
          </w:tcPr>
          <w:p>
            <w:pPr>
              <w:jc w:val="right"/>
              <w:ind w:right="682"/>
              <w:spacing w:after="0"/>
              <w:rPr>
                <w:sz w:val="20"/>
                <w:szCs w:val="20"/>
                <w:color w:val="auto"/>
              </w:rPr>
            </w:pPr>
            <w:r>
              <w:rPr>
                <w:rFonts w:ascii="Times New Roman" w:cs="Times New Roman" w:eastAsia="Times New Roman" w:hAnsi="Times New Roman"/>
                <w:sz w:val="20"/>
                <w:szCs w:val="20"/>
                <w:b w:val="1"/>
                <w:bCs w:val="1"/>
                <w:color w:val="auto"/>
              </w:rPr>
              <w:t>2023</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vMerge w:val="restart"/>
          </w:tcPr>
          <w:p>
            <w:pPr>
              <w:jc w:val="right"/>
              <w:ind w:right="682"/>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258"/>
        </w:trPr>
        <w:tc>
          <w:tcPr>
            <w:tcW w:w="3240" w:type="dxa"/>
            <w:vAlign w:val="bottom"/>
            <w:tcBorders>
              <w:bottom w:val="single" w:sz="8" w:color="E9E9E9"/>
            </w:tcBorders>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4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vMerge w:val="continue"/>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E9E9E9"/>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E9E9E9"/>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3240" w:type="dxa"/>
            <w:vAlign w:val="bottom"/>
            <w:gridSpan w:val="2"/>
            <w:shd w:val="clear" w:color="auto" w:fill="E9E9E9"/>
          </w:tcPr>
          <w:p>
            <w:pPr>
              <w:ind w:left="240"/>
              <w:spacing w:after="0" w:line="283" w:lineRule="exact"/>
              <w:rPr>
                <w:sz w:val="20"/>
                <w:szCs w:val="20"/>
                <w:color w:val="auto"/>
              </w:rPr>
            </w:pPr>
            <w:r>
              <w:rPr>
                <w:rFonts w:ascii="Times New Roman" w:cs="Times New Roman" w:eastAsia="Times New Roman" w:hAnsi="Times New Roman"/>
                <w:sz w:val="20"/>
                <w:szCs w:val="20"/>
                <w:color w:val="auto"/>
              </w:rPr>
              <w:t>Product revenue, net</w:t>
            </w:r>
            <w:r>
              <w:rPr>
                <w:rFonts w:ascii="Times New Roman" w:cs="Times New Roman" w:eastAsia="Times New Roman" w:hAnsi="Times New Roman"/>
                <w:sz w:val="25"/>
                <w:szCs w:val="25"/>
                <w:color w:val="auto"/>
                <w:vertAlign w:val="superscript"/>
              </w:rPr>
              <w:t>(1)</w:t>
            </w:r>
          </w:p>
        </w:tc>
        <w:tc>
          <w:tcPr>
            <w:tcW w:w="460" w:type="dxa"/>
            <w:vAlign w:val="bottom"/>
            <w:shd w:val="clear" w:color="auto" w:fill="E9E9E9"/>
          </w:tcPr>
          <w:p>
            <w:pPr>
              <w:jc w:val="right"/>
              <w:ind w:right="202"/>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1,524,782</w:t>
            </w:r>
          </w:p>
        </w:tc>
        <w:tc>
          <w:tcPr>
            <w:tcW w:w="620" w:type="dxa"/>
            <w:vAlign w:val="bottom"/>
            <w:gridSpan w:val="3"/>
            <w:shd w:val="clear" w:color="auto" w:fill="E9E9E9"/>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1,263,068</w:t>
            </w:r>
          </w:p>
        </w:tc>
        <w:tc>
          <w:tcPr>
            <w:tcW w:w="120" w:type="dxa"/>
            <w:vAlign w:val="bottom"/>
            <w:shd w:val="clear" w:color="auto" w:fill="E9E9E9"/>
          </w:tcPr>
          <w:p>
            <w:pPr>
              <w:spacing w:after="0"/>
              <w:rPr>
                <w:sz w:val="24"/>
                <w:szCs w:val="24"/>
                <w:color w:val="auto"/>
              </w:rPr>
            </w:pPr>
          </w:p>
        </w:tc>
        <w:tc>
          <w:tcPr>
            <w:tcW w:w="40" w:type="dxa"/>
            <w:vAlign w:val="bottom"/>
            <w:shd w:val="clear" w:color="auto" w:fill="E9E9E9"/>
          </w:tcPr>
          <w:p>
            <w:pPr>
              <w:spacing w:after="0"/>
              <w:rPr>
                <w:sz w:val="24"/>
                <w:szCs w:val="24"/>
                <w:color w:val="auto"/>
              </w:rPr>
            </w:pPr>
          </w:p>
        </w:tc>
        <w:tc>
          <w:tcPr>
            <w:tcW w:w="440" w:type="dxa"/>
            <w:vAlign w:val="bottom"/>
            <w:shd w:val="clear" w:color="auto" w:fill="E9E9E9"/>
          </w:tcPr>
          <w:p>
            <w:pPr>
              <w:jc w:val="right"/>
              <w:ind w:right="222"/>
              <w:spacing w:after="0"/>
              <w:rPr>
                <w:sz w:val="20"/>
                <w:szCs w:val="20"/>
                <w:color w:val="auto"/>
              </w:rPr>
            </w:pPr>
            <w:r>
              <w:rPr>
                <w:rFonts w:ascii="Times New Roman" w:cs="Times New Roman" w:eastAsia="Times New Roman" w:hAnsi="Times New Roman"/>
                <w:sz w:val="20"/>
                <w:szCs w:val="20"/>
                <w:color w:val="auto"/>
                <w:w w:val="99"/>
              </w:rPr>
              <w:t>$</w:t>
            </w:r>
          </w:p>
        </w:tc>
        <w:tc>
          <w:tcPr>
            <w:tcW w:w="14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887,038</w:t>
            </w:r>
          </w:p>
        </w:tc>
        <w:tc>
          <w:tcPr>
            <w:tcW w:w="0" w:type="dxa"/>
            <w:vAlign w:val="bottom"/>
          </w:tcPr>
          <w:p>
            <w:pPr>
              <w:spacing w:after="0"/>
              <w:rPr>
                <w:sz w:val="1"/>
                <w:szCs w:val="1"/>
                <w:color w:val="auto"/>
              </w:rPr>
            </w:pPr>
          </w:p>
        </w:tc>
      </w:tr>
      <w:tr>
        <w:trPr>
          <w:trHeight w:val="284"/>
        </w:trPr>
        <w:tc>
          <w:tcPr>
            <w:tcW w:w="3240" w:type="dxa"/>
            <w:vAlign w:val="bottom"/>
            <w:tcBorders>
              <w:bottom w:val="single" w:sz="8" w:color="E9E9E9"/>
            </w:tcBorders>
            <w:gridSpan w:val="2"/>
          </w:tcPr>
          <w:p>
            <w:pPr>
              <w:ind w:left="240"/>
              <w:spacing w:after="0" w:line="284" w:lineRule="exact"/>
              <w:rPr>
                <w:sz w:val="20"/>
                <w:szCs w:val="20"/>
                <w:color w:val="auto"/>
              </w:rPr>
            </w:pPr>
            <w:r>
              <w:rPr>
                <w:rFonts w:ascii="Times New Roman" w:cs="Times New Roman" w:eastAsia="Times New Roman" w:hAnsi="Times New Roman"/>
                <w:sz w:val="20"/>
                <w:szCs w:val="20"/>
                <w:color w:val="auto"/>
              </w:rPr>
              <w:t>License and royalty revenues</w:t>
            </w:r>
            <w:r>
              <w:rPr>
                <w:rFonts w:ascii="Times New Roman" w:cs="Times New Roman" w:eastAsia="Times New Roman" w:hAnsi="Times New Roman"/>
                <w:sz w:val="25"/>
                <w:szCs w:val="25"/>
                <w:color w:val="auto"/>
                <w:vertAlign w:val="superscript"/>
              </w:rPr>
              <w:t>(2)</w:t>
            </w:r>
          </w:p>
        </w:tc>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9,128</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E9E9E9"/>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33,361</w:t>
            </w:r>
          </w:p>
        </w:tc>
        <w:tc>
          <w:tcPr>
            <w:tcW w:w="120" w:type="dxa"/>
            <w:vAlign w:val="bottom"/>
            <w:tcBorders>
              <w:bottom w:val="single" w:sz="8" w:color="E9E9E9"/>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48,023</w:t>
            </w:r>
          </w:p>
        </w:tc>
        <w:tc>
          <w:tcPr>
            <w:tcW w:w="0" w:type="dxa"/>
            <w:vAlign w:val="bottom"/>
          </w:tcPr>
          <w:p>
            <w:pPr>
              <w:spacing w:after="0"/>
              <w:rPr>
                <w:sz w:val="1"/>
                <w:szCs w:val="1"/>
                <w:color w:val="auto"/>
              </w:rPr>
            </w:pPr>
          </w:p>
        </w:tc>
      </w:tr>
      <w:tr>
        <w:trPr>
          <w:trHeight w:val="293"/>
        </w:trPr>
        <w:tc>
          <w:tcPr>
            <w:tcW w:w="3240" w:type="dxa"/>
            <w:vAlign w:val="bottom"/>
            <w:gridSpan w:val="2"/>
            <w:shd w:val="clear" w:color="auto" w:fill="E9E9E9"/>
          </w:tcPr>
          <w:p>
            <w:pPr>
              <w:ind w:left="400"/>
              <w:spacing w:after="0"/>
              <w:rPr>
                <w:sz w:val="20"/>
                <w:szCs w:val="20"/>
                <w:color w:val="auto"/>
              </w:rPr>
            </w:pPr>
            <w:r>
              <w:rPr>
                <w:rFonts w:ascii="Times New Roman" w:cs="Times New Roman" w:eastAsia="Times New Roman" w:hAnsi="Times New Roman"/>
                <w:sz w:val="20"/>
                <w:szCs w:val="20"/>
                <w:color w:val="auto"/>
              </w:rPr>
              <w:t>Total revenues</w:t>
            </w:r>
          </w:p>
        </w:tc>
        <w:tc>
          <w:tcPr>
            <w:tcW w:w="460" w:type="dxa"/>
            <w:vAlign w:val="bottom"/>
            <w:shd w:val="clear" w:color="auto" w:fill="E9E9E9"/>
          </w:tcPr>
          <w:p>
            <w:pPr>
              <w:jc w:val="right"/>
              <w:ind w:right="202"/>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1,533,910</w:t>
            </w:r>
          </w:p>
        </w:tc>
        <w:tc>
          <w:tcPr>
            <w:tcW w:w="620" w:type="dxa"/>
            <w:vAlign w:val="bottom"/>
            <w:gridSpan w:val="3"/>
            <w:shd w:val="clear" w:color="auto" w:fill="E9E9E9"/>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1,296,429</w:t>
            </w:r>
          </w:p>
        </w:tc>
        <w:tc>
          <w:tcPr>
            <w:tcW w:w="120" w:type="dxa"/>
            <w:vAlign w:val="bottom"/>
            <w:shd w:val="clear" w:color="auto" w:fill="E9E9E9"/>
          </w:tcPr>
          <w:p>
            <w:pPr>
              <w:spacing w:after="0"/>
              <w:rPr>
                <w:sz w:val="24"/>
                <w:szCs w:val="24"/>
                <w:color w:val="auto"/>
              </w:rPr>
            </w:pPr>
          </w:p>
        </w:tc>
        <w:tc>
          <w:tcPr>
            <w:tcW w:w="40" w:type="dxa"/>
            <w:vAlign w:val="bottom"/>
            <w:shd w:val="clear" w:color="auto" w:fill="E9E9E9"/>
          </w:tcPr>
          <w:p>
            <w:pPr>
              <w:spacing w:after="0"/>
              <w:rPr>
                <w:sz w:val="24"/>
                <w:szCs w:val="24"/>
                <w:color w:val="auto"/>
              </w:rPr>
            </w:pPr>
          </w:p>
        </w:tc>
        <w:tc>
          <w:tcPr>
            <w:tcW w:w="440" w:type="dxa"/>
            <w:vAlign w:val="bottom"/>
            <w:shd w:val="clear" w:color="auto" w:fill="E9E9E9"/>
          </w:tcPr>
          <w:p>
            <w:pPr>
              <w:jc w:val="right"/>
              <w:ind w:right="222"/>
              <w:spacing w:after="0"/>
              <w:rPr>
                <w:sz w:val="20"/>
                <w:szCs w:val="20"/>
                <w:color w:val="auto"/>
              </w:rPr>
            </w:pPr>
            <w:r>
              <w:rPr>
                <w:rFonts w:ascii="Times New Roman" w:cs="Times New Roman" w:eastAsia="Times New Roman" w:hAnsi="Times New Roman"/>
                <w:sz w:val="20"/>
                <w:szCs w:val="20"/>
                <w:color w:val="auto"/>
                <w:w w:val="99"/>
              </w:rPr>
              <w:t>$</w:t>
            </w:r>
          </w:p>
        </w:tc>
        <w:tc>
          <w:tcPr>
            <w:tcW w:w="14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935,061</w:t>
            </w:r>
          </w:p>
        </w:tc>
        <w:tc>
          <w:tcPr>
            <w:tcW w:w="0" w:type="dxa"/>
            <w:vAlign w:val="bottom"/>
          </w:tcPr>
          <w:p>
            <w:pPr>
              <w:spacing w:after="0"/>
              <w:rPr>
                <w:sz w:val="1"/>
                <w:szCs w:val="1"/>
                <w:color w:val="auto"/>
              </w:rPr>
            </w:pPr>
          </w:p>
        </w:tc>
      </w:tr>
      <w:tr>
        <w:trPr>
          <w:trHeight w:val="254"/>
        </w:trPr>
        <w:tc>
          <w:tcPr>
            <w:tcW w:w="3240" w:type="dxa"/>
            <w:vAlign w:val="bottom"/>
            <w:tcBorders>
              <w:top w:val="single" w:sz="8" w:color="E9E9E9"/>
            </w:tcBorders>
            <w:gridSpan w:val="2"/>
          </w:tcPr>
          <w:p>
            <w:pPr>
              <w:ind w:left="200"/>
              <w:spacing w:after="0"/>
              <w:rPr>
                <w:sz w:val="20"/>
                <w:szCs w:val="20"/>
                <w:color w:val="auto"/>
              </w:rPr>
            </w:pPr>
            <w:r>
              <w:rPr>
                <w:rFonts w:ascii="Times New Roman" w:cs="Times New Roman" w:eastAsia="Times New Roman" w:hAnsi="Times New Roman"/>
                <w:sz w:val="20"/>
                <w:szCs w:val="20"/>
                <w:color w:val="auto"/>
              </w:rPr>
              <w:t>______________________________</w:t>
            </w:r>
          </w:p>
        </w:tc>
        <w:tc>
          <w:tcPr>
            <w:tcW w:w="4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Borders>
              <w:top w:val="single" w:sz="8" w:color="E9E9E9"/>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20" w:type="dxa"/>
            <w:vAlign w:val="bottom"/>
            <w:tcBorders>
              <w:top w:val="single" w:sz="8" w:color="E9E9E9"/>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-204470</wp:posOffset>
            </wp:positionV>
            <wp:extent cx="3898900" cy="501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98900" cy="50165"/>
                    </a:xfrm>
                    <a:prstGeom prst="rect">
                      <a:avLst/>
                    </a:prstGeom>
                    <a:noFill/>
                  </pic:spPr>
                </pic:pic>
              </a:graphicData>
            </a:graphic>
          </wp:anchor>
        </w:drawing>
      </w:r>
    </w:p>
    <w:p>
      <w:pPr>
        <w:ind w:left="720" w:right="120" w:hanging="712"/>
        <w:spacing w:after="0" w:line="245" w:lineRule="auto"/>
        <w:tabs>
          <w:tab w:leader="none" w:pos="7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product revenue includes PYLARIFY and DEFINITY, among other products. This category represents the delivery of physical goods. The Company applies the same revenue recognition policies and judgments for all of its principal products.</w:t>
      </w:r>
    </w:p>
    <w:p>
      <w:pPr>
        <w:ind w:left="720" w:hanging="712"/>
        <w:spacing w:after="0"/>
        <w:tabs>
          <w:tab w:leader="none" w:pos="7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recognized $24.0 million license revenue in the first quarter of 2022 related to an agreement with Novartis Pharma AG.</w:t>
      </w:r>
    </w:p>
    <w:p>
      <w:pPr>
        <w:spacing w:after="0" w:line="227" w:lineRule="exact"/>
        <w:rPr>
          <w:sz w:val="20"/>
          <w:szCs w:val="20"/>
          <w:color w:val="auto"/>
        </w:rPr>
      </w:pPr>
    </w:p>
    <w:p>
      <w:pPr>
        <w:ind w:right="100" w:firstLine="441"/>
        <w:spacing w:after="0" w:line="263" w:lineRule="auto"/>
        <w:rPr>
          <w:sz w:val="20"/>
          <w:szCs w:val="20"/>
          <w:color w:val="auto"/>
        </w:rPr>
      </w:pPr>
      <w:r>
        <w:rPr>
          <w:rFonts w:ascii="Times New Roman" w:cs="Times New Roman" w:eastAsia="Times New Roman" w:hAnsi="Times New Roman"/>
          <w:sz w:val="19"/>
          <w:szCs w:val="19"/>
          <w:color w:val="auto"/>
        </w:rPr>
        <w:t>The Company classifies its revenues into three product categories: Radiopharmaceutical Oncology, Precision Diagnostics, and Strategic Partnerships and Other Revenue. Radiopharmaceutical Oncology includes PYLARIFY and AZEDRA. In the first quarter of 2024, the Company discontinued the production of AZEDRA. Precision Diagnostics includes DEFINITY, TechneLite and other diagnostic imaging products. Strategic Partnerships and Other Revenue includes out-licensing arrangements and partnerships for the Company’s biomarker solutions, digital solutions, and radiotherapeutic platforms, inclusive of two investigational late-stage diagnostic agents, MK-6240 and NAV-4694. On August 2, 2023, the Company sold the RELISTOR net sales royalty asset (the “RELISTOR royalty asset”) under its license agreement with Bausch Health Companies, Inc. (“Bausch”); the Company retained the rights to future sales-based milestone payments. No sales-based milestone payment was earned in 2024. During the fourth quarter of 2023, the Company earned a sales-based milestone payment of $15.0 million.</w:t>
      </w:r>
    </w:p>
    <w:p>
      <w:pPr>
        <w:spacing w:after="0" w:line="197" w:lineRule="exact"/>
        <w:rPr>
          <w:sz w:val="20"/>
          <w:szCs w:val="20"/>
          <w:color w:val="auto"/>
        </w:rPr>
      </w:pPr>
    </w:p>
    <w:p>
      <w:pPr>
        <w:ind w:right="160" w:firstLine="441"/>
        <w:spacing w:after="0" w:line="261" w:lineRule="auto"/>
        <w:rPr>
          <w:sz w:val="20"/>
          <w:szCs w:val="20"/>
          <w:color w:val="auto"/>
        </w:rPr>
      </w:pPr>
      <w:r>
        <w:rPr>
          <w:rFonts w:ascii="Times New Roman" w:cs="Times New Roman" w:eastAsia="Times New Roman" w:hAnsi="Times New Roman"/>
          <w:sz w:val="19"/>
          <w:szCs w:val="19"/>
          <w:color w:val="auto"/>
        </w:rPr>
        <w:t xml:space="preserve">On January 31, 2022, the Company entered into a global settlement agreement with Novartis Pharma AG (“Novartis”), Advanced Accelerator Applications USA, Inc., Endocyte, Inc. and their affiliates (the “Novartis Agreement”) to settle certain disputes between the parties. Under the Novartis Agreement, Novartis agreed to make a lump sum payment to the Company, as well as to reimburse the Company for certain fees and expenses in connection with certain German litigation, and the Company agreed to license certain intellectual property to Novartis. In addition, the Company agreed to supply PYLARIFY for clinical purposes at an arms-length value which will be recorded revenue in the future as product is provided. In accordance with the Company's ASC 606, </w:t>
      </w:r>
      <w:r>
        <w:rPr>
          <w:rFonts w:ascii="Times New Roman" w:cs="Times New Roman" w:eastAsia="Times New Roman" w:hAnsi="Times New Roman"/>
          <w:sz w:val="19"/>
          <w:szCs w:val="19"/>
          <w:i w:val="1"/>
          <w:iCs w:val="1"/>
          <w:color w:val="auto"/>
        </w:rPr>
        <w:t>“Revenue from Contracts with Customers”</w:t>
      </w:r>
      <w:r>
        <w:rPr>
          <w:rFonts w:ascii="Times New Roman" w:cs="Times New Roman" w:eastAsia="Times New Roman" w:hAnsi="Times New Roman"/>
          <w:sz w:val="19"/>
          <w:szCs w:val="19"/>
          <w:color w:val="auto"/>
        </w:rPr>
        <w:t>, assessment, Novartis is considered to be a customer. The Company determined that the $24.0 million constituted a single element which was satisfied on the date of the execution of the Novartis Agreement. The Company determined that the license of intellectual property carried a fair value of $24.0 million. As such, the Company assigned the value to the fair value of the license, which constitutes the entire transaction price and does not require further allocation. The Company determined that the $24.0 million represented the point at which the licensee was able to use and benefit from the license and recognized revenue when the license was granted to Novartis upon execution of the Novartis Agreement. The Company recognized the $24.0 million fee as revenue on its consolidated statement of operations for the quarter ended March 31, 2022. The Company received the $24.0 million payment in April 2022.</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Revenue by product category on a net basis is as follows:</w:t>
      </w:r>
    </w:p>
    <w:p>
      <w:pPr>
        <w:sectPr>
          <w:pgSz w:w="11880" w:h="15480" w:orient="portrait"/>
          <w:cols w:equalWidth="0" w:num="1">
            <w:col w:w="10320"/>
          </w:cols>
          <w:pgMar w:left="640" w:top="74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95</w:t>
      </w:r>
    </w:p>
    <w:p>
      <w:pPr>
        <w:sectPr>
          <w:pgSz w:w="11880" w:h="15480" w:orient="portrait"/>
          <w:cols w:equalWidth="0" w:num="1">
            <w:col w:w="10320"/>
          </w:cols>
          <w:pgMar w:left="640" w:top="747" w:right="920" w:bottom="0" w:gutter="0" w:footer="0" w:header="0"/>
          <w:type w:val="continuous"/>
        </w:sectPr>
      </w:pPr>
    </w:p>
    <w:bookmarkStart w:id="101" w:name="page102"/>
    <w:bookmarkEnd w:id="101"/>
    <w:tbl>
      <w:tblPr>
        <w:tblLayout w:type="fixed"/>
        <w:tblInd w:w="420" w:type="dxa"/>
        <w:tblCellMar>
          <w:top w:w="0" w:type="dxa"/>
          <w:left w:w="0" w:type="dxa"/>
          <w:bottom w:w="0" w:type="dxa"/>
          <w:right w:w="0" w:type="dxa"/>
        </w:tblCellMar>
      </w:tblPr>
      <w:tr>
        <w:trPr>
          <w:trHeight w:val="262"/>
        </w:trPr>
        <w:tc>
          <w:tcPr>
            <w:tcW w:w="32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20"/>
                <w:szCs w:val="20"/>
                <w:b w:val="1"/>
                <w:bCs w:val="1"/>
                <w:color w:val="auto"/>
                <w:w w:val="98"/>
              </w:rPr>
              <w:t>Year Ended December 31,</w:t>
            </w:r>
          </w:p>
        </w:tc>
        <w:tc>
          <w:tcPr>
            <w:tcW w:w="4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r>
      <w:tr>
        <w:trPr>
          <w:trHeight w:val="259"/>
        </w:trPr>
        <w:tc>
          <w:tcPr>
            <w:tcW w:w="3280" w:type="dxa"/>
            <w:vAlign w:val="bottom"/>
            <w:tcBorders>
              <w:bottom w:val="single" w:sz="8" w:color="E9E9E9"/>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120" w:type="dxa"/>
            <w:vAlign w:val="bottom"/>
            <w:tcBorders>
              <w:bottom w:val="single" w:sz="8" w:color="E9E9E9"/>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E9E9E9"/>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20"/>
                <w:szCs w:val="20"/>
                <w:b w:val="1"/>
                <w:bCs w:val="1"/>
                <w:color w:val="auto"/>
              </w:rPr>
              <w:t>2023</w:t>
            </w:r>
          </w:p>
        </w:tc>
        <w:tc>
          <w:tcPr>
            <w:tcW w:w="120" w:type="dxa"/>
            <w:vAlign w:val="bottom"/>
            <w:tcBorders>
              <w:bottom w:val="single" w:sz="8" w:color="E9E9E9"/>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84"/>
        </w:trPr>
        <w:tc>
          <w:tcPr>
            <w:tcW w:w="3280" w:type="dxa"/>
            <w:vAlign w:val="bottom"/>
            <w:shd w:val="clear" w:color="auto" w:fill="E9E9E9"/>
          </w:tcPr>
          <w:p>
            <w:pPr>
              <w:ind w:left="220"/>
              <w:spacing w:after="0"/>
              <w:rPr>
                <w:sz w:val="20"/>
                <w:szCs w:val="20"/>
                <w:color w:val="auto"/>
              </w:rPr>
            </w:pPr>
            <w:r>
              <w:rPr>
                <w:rFonts w:ascii="Times New Roman" w:cs="Times New Roman" w:eastAsia="Times New Roman" w:hAnsi="Times New Roman"/>
                <w:sz w:val="20"/>
                <w:szCs w:val="20"/>
                <w:color w:val="auto"/>
              </w:rPr>
              <w:t>PYLARIFY</w:t>
            </w:r>
          </w:p>
        </w:tc>
        <w:tc>
          <w:tcPr>
            <w:tcW w:w="580" w:type="dxa"/>
            <w:vAlign w:val="bottom"/>
            <w:gridSpan w:val="2"/>
            <w:shd w:val="clear" w:color="auto" w:fill="E9E9E9"/>
          </w:tcPr>
          <w:p>
            <w:pPr>
              <w:jc w:val="right"/>
              <w:ind w:right="222"/>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1,057,834</w:t>
            </w:r>
          </w:p>
        </w:tc>
        <w:tc>
          <w:tcPr>
            <w:tcW w:w="640" w:type="dxa"/>
            <w:vAlign w:val="bottom"/>
            <w:gridSpan w:val="3"/>
            <w:shd w:val="clear" w:color="auto" w:fill="E9E9E9"/>
          </w:tcPr>
          <w:p>
            <w:pPr>
              <w:jc w:val="right"/>
              <w:ind w:right="222"/>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851,303</w:t>
            </w:r>
          </w:p>
        </w:tc>
        <w:tc>
          <w:tcPr>
            <w:tcW w:w="120" w:type="dxa"/>
            <w:vAlign w:val="bottom"/>
            <w:shd w:val="clear" w:color="auto" w:fill="E9E9E9"/>
          </w:tcPr>
          <w:p>
            <w:pPr>
              <w:spacing w:after="0"/>
              <w:rPr>
                <w:sz w:val="24"/>
                <w:szCs w:val="24"/>
                <w:color w:val="auto"/>
              </w:rPr>
            </w:pPr>
          </w:p>
        </w:tc>
        <w:tc>
          <w:tcPr>
            <w:tcW w:w="20" w:type="dxa"/>
            <w:vAlign w:val="bottom"/>
            <w:shd w:val="clear" w:color="auto" w:fill="E9E9E9"/>
          </w:tcPr>
          <w:p>
            <w:pPr>
              <w:spacing w:after="0"/>
              <w:rPr>
                <w:sz w:val="24"/>
                <w:szCs w:val="24"/>
                <w:color w:val="auto"/>
              </w:rPr>
            </w:pPr>
          </w:p>
        </w:tc>
        <w:tc>
          <w:tcPr>
            <w:tcW w:w="440" w:type="dxa"/>
            <w:vAlign w:val="bottom"/>
            <w:shd w:val="clear" w:color="auto" w:fill="E9E9E9"/>
          </w:tcPr>
          <w:p>
            <w:pPr>
              <w:jc w:val="right"/>
              <w:ind w:right="202"/>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527,405</w:t>
            </w:r>
          </w:p>
        </w:tc>
      </w:tr>
      <w:tr>
        <w:trPr>
          <w:trHeight w:val="284"/>
        </w:trPr>
        <w:tc>
          <w:tcPr>
            <w:tcW w:w="3280" w:type="dxa"/>
            <w:vAlign w:val="bottom"/>
            <w:tcBorders>
              <w:bottom w:val="single" w:sz="8" w:color="E9E9E9"/>
            </w:tcBorders>
          </w:tcPr>
          <w:p>
            <w:pPr>
              <w:ind w:left="220"/>
              <w:spacing w:after="0"/>
              <w:rPr>
                <w:sz w:val="20"/>
                <w:szCs w:val="20"/>
                <w:color w:val="auto"/>
              </w:rPr>
            </w:pPr>
            <w:r>
              <w:rPr>
                <w:rFonts w:ascii="Times New Roman" w:cs="Times New Roman" w:eastAsia="Times New Roman" w:hAnsi="Times New Roman"/>
                <w:sz w:val="20"/>
                <w:szCs w:val="20"/>
                <w:color w:val="auto"/>
              </w:rPr>
              <w:t>Other radiopharmaceutical oncology</w:t>
            </w:r>
          </w:p>
        </w:tc>
        <w:tc>
          <w:tcPr>
            <w:tcW w:w="120" w:type="dxa"/>
            <w:vAlign w:val="bottom"/>
            <w:tcBorders>
              <w:bottom w:val="single" w:sz="8" w:color="E9E9E9"/>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384</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E9E9E9"/>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3,130</w:t>
            </w:r>
          </w:p>
        </w:tc>
        <w:tc>
          <w:tcPr>
            <w:tcW w:w="120" w:type="dxa"/>
            <w:vAlign w:val="bottom"/>
            <w:tcBorders>
              <w:bottom w:val="single" w:sz="8" w:color="E9E9E9"/>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4,102</w:t>
            </w:r>
          </w:p>
        </w:tc>
      </w:tr>
      <w:tr>
        <w:trPr>
          <w:trHeight w:val="293"/>
        </w:trPr>
        <w:tc>
          <w:tcPr>
            <w:tcW w:w="3280" w:type="dxa"/>
            <w:vAlign w:val="bottom"/>
            <w:tcBorders>
              <w:bottom w:val="single" w:sz="8" w:color="E9E9E9"/>
            </w:tcBorders>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Total radiopharmaceutical oncology</w:t>
            </w:r>
          </w:p>
        </w:tc>
        <w:tc>
          <w:tcPr>
            <w:tcW w:w="120" w:type="dxa"/>
            <w:vAlign w:val="bottom"/>
            <w:tcBorders>
              <w:bottom w:val="single" w:sz="8" w:color="E9E9E9"/>
            </w:tcBorders>
            <w:shd w:val="clear" w:color="auto" w:fill="E9E9E9"/>
          </w:tcPr>
          <w:p>
            <w:pPr>
              <w:spacing w:after="0"/>
              <w:rPr>
                <w:sz w:val="24"/>
                <w:szCs w:val="24"/>
                <w:color w:val="auto"/>
              </w:rPr>
            </w:pPr>
          </w:p>
        </w:tc>
        <w:tc>
          <w:tcPr>
            <w:tcW w:w="460" w:type="dxa"/>
            <w:vAlign w:val="bottom"/>
            <w:tcBorders>
              <w:bottom w:val="single" w:sz="8" w:color="auto"/>
            </w:tcBorders>
            <w:shd w:val="clear" w:color="auto" w:fill="E9E9E9"/>
          </w:tcPr>
          <w:p>
            <w:pPr>
              <w:spacing w:after="0"/>
              <w:rPr>
                <w:sz w:val="24"/>
                <w:szCs w:val="24"/>
                <w:color w:val="auto"/>
              </w:rPr>
            </w:pPr>
          </w:p>
        </w:tc>
        <w:tc>
          <w:tcPr>
            <w:tcW w:w="144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1,058,218</w:t>
            </w:r>
          </w:p>
        </w:tc>
        <w:tc>
          <w:tcPr>
            <w:tcW w:w="60" w:type="dxa"/>
            <w:vAlign w:val="bottom"/>
            <w:tcBorders>
              <w:bottom w:val="single" w:sz="8" w:color="auto"/>
            </w:tcBorders>
            <w:shd w:val="clear" w:color="auto" w:fill="E9E9E9"/>
          </w:tcPr>
          <w:p>
            <w:pPr>
              <w:spacing w:after="0"/>
              <w:rPr>
                <w:sz w:val="24"/>
                <w:szCs w:val="24"/>
                <w:color w:val="auto"/>
              </w:rPr>
            </w:pPr>
          </w:p>
        </w:tc>
        <w:tc>
          <w:tcPr>
            <w:tcW w:w="100" w:type="dxa"/>
            <w:vAlign w:val="bottom"/>
            <w:tcBorders>
              <w:bottom w:val="single" w:sz="8" w:color="E9E9E9"/>
            </w:tcBorders>
            <w:shd w:val="clear" w:color="auto" w:fill="E9E9E9"/>
          </w:tcPr>
          <w:p>
            <w:pPr>
              <w:spacing w:after="0"/>
              <w:rPr>
                <w:sz w:val="24"/>
                <w:szCs w:val="24"/>
                <w:color w:val="auto"/>
              </w:rPr>
            </w:pPr>
          </w:p>
        </w:tc>
        <w:tc>
          <w:tcPr>
            <w:tcW w:w="480" w:type="dxa"/>
            <w:vAlign w:val="bottom"/>
            <w:tcBorders>
              <w:bottom w:val="single" w:sz="8" w:color="auto"/>
            </w:tcBorders>
            <w:shd w:val="clear" w:color="auto" w:fill="E9E9E9"/>
          </w:tcPr>
          <w:p>
            <w:pPr>
              <w:spacing w:after="0"/>
              <w:rPr>
                <w:sz w:val="24"/>
                <w:szCs w:val="24"/>
                <w:color w:val="auto"/>
              </w:rPr>
            </w:pPr>
          </w:p>
        </w:tc>
        <w:tc>
          <w:tcPr>
            <w:tcW w:w="14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854,433</w:t>
            </w:r>
          </w:p>
        </w:tc>
        <w:tc>
          <w:tcPr>
            <w:tcW w:w="120" w:type="dxa"/>
            <w:vAlign w:val="bottom"/>
            <w:tcBorders>
              <w:bottom w:val="single" w:sz="8" w:color="E9E9E9"/>
            </w:tcBorders>
            <w:shd w:val="clear" w:color="auto" w:fill="E9E9E9"/>
          </w:tcPr>
          <w:p>
            <w:pPr>
              <w:spacing w:after="0"/>
              <w:rPr>
                <w:sz w:val="24"/>
                <w:szCs w:val="24"/>
                <w:color w:val="auto"/>
              </w:rPr>
            </w:pPr>
          </w:p>
        </w:tc>
        <w:tc>
          <w:tcPr>
            <w:tcW w:w="20" w:type="dxa"/>
            <w:vAlign w:val="bottom"/>
            <w:tcBorders>
              <w:bottom w:val="single" w:sz="8" w:color="auto"/>
            </w:tcBorders>
            <w:shd w:val="clear" w:color="auto" w:fill="E9E9E9"/>
          </w:tcPr>
          <w:p>
            <w:pPr>
              <w:spacing w:after="0"/>
              <w:rPr>
                <w:sz w:val="24"/>
                <w:szCs w:val="24"/>
                <w:color w:val="auto"/>
              </w:rPr>
            </w:pPr>
          </w:p>
        </w:tc>
        <w:tc>
          <w:tcPr>
            <w:tcW w:w="440" w:type="dxa"/>
            <w:vAlign w:val="bottom"/>
            <w:tcBorders>
              <w:bottom w:val="single" w:sz="8" w:color="auto"/>
            </w:tcBorders>
            <w:shd w:val="clear" w:color="auto" w:fill="E9E9E9"/>
          </w:tcPr>
          <w:p>
            <w:pPr>
              <w:spacing w:after="0"/>
              <w:rPr>
                <w:sz w:val="24"/>
                <w:szCs w:val="24"/>
                <w:color w:val="auto"/>
              </w:rPr>
            </w:pPr>
          </w:p>
        </w:tc>
        <w:tc>
          <w:tcPr>
            <w:tcW w:w="150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531,507</w:t>
            </w:r>
          </w:p>
        </w:tc>
      </w:tr>
      <w:tr>
        <w:trPr>
          <w:trHeight w:val="259"/>
        </w:trPr>
        <w:tc>
          <w:tcPr>
            <w:tcW w:w="32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DEFINITY</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317,792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279,768</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244,993</w:t>
            </w:r>
          </w:p>
        </w:tc>
      </w:tr>
      <w:tr>
        <w:trPr>
          <w:trHeight w:val="301"/>
        </w:trPr>
        <w:tc>
          <w:tcPr>
            <w:tcW w:w="3280" w:type="dxa"/>
            <w:vAlign w:val="bottom"/>
            <w:shd w:val="clear" w:color="auto" w:fill="E9E9E9"/>
          </w:tcPr>
          <w:p>
            <w:pPr>
              <w:ind w:left="220"/>
              <w:spacing w:after="0"/>
              <w:rPr>
                <w:sz w:val="20"/>
                <w:szCs w:val="20"/>
                <w:color w:val="auto"/>
              </w:rPr>
            </w:pPr>
            <w:r>
              <w:rPr>
                <w:rFonts w:ascii="Times New Roman" w:cs="Times New Roman" w:eastAsia="Times New Roman" w:hAnsi="Times New Roman"/>
                <w:sz w:val="20"/>
                <w:szCs w:val="20"/>
                <w:color w:val="auto"/>
              </w:rPr>
              <w:t>TechneLite</w:t>
            </w:r>
          </w:p>
        </w:tc>
        <w:tc>
          <w:tcPr>
            <w:tcW w:w="120" w:type="dxa"/>
            <w:vAlign w:val="bottom"/>
            <w:shd w:val="clear" w:color="auto" w:fill="E9E9E9"/>
          </w:tcPr>
          <w:p>
            <w:pPr>
              <w:spacing w:after="0"/>
              <w:rPr>
                <w:sz w:val="24"/>
                <w:szCs w:val="24"/>
                <w:color w:val="auto"/>
              </w:rPr>
            </w:pPr>
          </w:p>
        </w:tc>
        <w:tc>
          <w:tcPr>
            <w:tcW w:w="460" w:type="dxa"/>
            <w:vAlign w:val="bottom"/>
            <w:shd w:val="clear" w:color="auto" w:fill="E9E9E9"/>
          </w:tcPr>
          <w:p>
            <w:pPr>
              <w:spacing w:after="0"/>
              <w:rPr>
                <w:sz w:val="24"/>
                <w:szCs w:val="24"/>
                <w:color w:val="auto"/>
              </w:rPr>
            </w:pPr>
          </w:p>
        </w:tc>
        <w:tc>
          <w:tcPr>
            <w:tcW w:w="14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95,487</w:t>
            </w:r>
          </w:p>
        </w:tc>
        <w:tc>
          <w:tcPr>
            <w:tcW w:w="60" w:type="dxa"/>
            <w:vAlign w:val="bottom"/>
            <w:shd w:val="clear" w:color="auto" w:fill="E9E9E9"/>
          </w:tcPr>
          <w:p>
            <w:pPr>
              <w:spacing w:after="0"/>
              <w:rPr>
                <w:sz w:val="24"/>
                <w:szCs w:val="24"/>
                <w:color w:val="auto"/>
              </w:rPr>
            </w:pPr>
          </w:p>
        </w:tc>
        <w:tc>
          <w:tcPr>
            <w:tcW w:w="100" w:type="dxa"/>
            <w:vAlign w:val="bottom"/>
            <w:shd w:val="clear" w:color="auto" w:fill="E9E9E9"/>
          </w:tcPr>
          <w:p>
            <w:pPr>
              <w:spacing w:after="0"/>
              <w:rPr>
                <w:sz w:val="24"/>
                <w:szCs w:val="24"/>
                <w:color w:val="auto"/>
              </w:rPr>
            </w:pPr>
          </w:p>
        </w:tc>
        <w:tc>
          <w:tcPr>
            <w:tcW w:w="480" w:type="dxa"/>
            <w:vAlign w:val="bottom"/>
            <w:shd w:val="clear" w:color="auto" w:fill="E9E9E9"/>
          </w:tcPr>
          <w:p>
            <w:pPr>
              <w:spacing w:after="0"/>
              <w:rPr>
                <w:sz w:val="24"/>
                <w:szCs w:val="24"/>
                <w:color w:val="auto"/>
              </w:rPr>
            </w:pPr>
          </w:p>
        </w:tc>
        <w:tc>
          <w:tcPr>
            <w:tcW w:w="14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87,370</w:t>
            </w:r>
          </w:p>
        </w:tc>
        <w:tc>
          <w:tcPr>
            <w:tcW w:w="120" w:type="dxa"/>
            <w:vAlign w:val="bottom"/>
            <w:shd w:val="clear" w:color="auto" w:fill="E9E9E9"/>
          </w:tcPr>
          <w:p>
            <w:pPr>
              <w:spacing w:after="0"/>
              <w:rPr>
                <w:sz w:val="24"/>
                <w:szCs w:val="24"/>
                <w:color w:val="auto"/>
              </w:rPr>
            </w:pPr>
          </w:p>
        </w:tc>
        <w:tc>
          <w:tcPr>
            <w:tcW w:w="20" w:type="dxa"/>
            <w:vAlign w:val="bottom"/>
            <w:shd w:val="clear" w:color="auto" w:fill="E9E9E9"/>
          </w:tcPr>
          <w:p>
            <w:pPr>
              <w:spacing w:after="0"/>
              <w:rPr>
                <w:sz w:val="24"/>
                <w:szCs w:val="24"/>
                <w:color w:val="auto"/>
              </w:rPr>
            </w:pPr>
          </w:p>
        </w:tc>
        <w:tc>
          <w:tcPr>
            <w:tcW w:w="440" w:type="dxa"/>
            <w:vAlign w:val="bottom"/>
            <w:shd w:val="clear" w:color="auto" w:fill="E9E9E9"/>
          </w:tcPr>
          <w:p>
            <w:pPr>
              <w:spacing w:after="0"/>
              <w:rPr>
                <w:sz w:val="24"/>
                <w:szCs w:val="24"/>
                <w:color w:val="auto"/>
              </w:rPr>
            </w:pPr>
          </w:p>
        </w:tc>
        <w:tc>
          <w:tcPr>
            <w:tcW w:w="15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88,864</w:t>
            </w:r>
          </w:p>
        </w:tc>
      </w:tr>
      <w:tr>
        <w:trPr>
          <w:trHeight w:val="284"/>
        </w:trPr>
        <w:tc>
          <w:tcPr>
            <w:tcW w:w="3280" w:type="dxa"/>
            <w:vAlign w:val="bottom"/>
            <w:tcBorders>
              <w:bottom w:val="single" w:sz="8" w:color="E9E9E9"/>
            </w:tcBorders>
          </w:tcPr>
          <w:p>
            <w:pPr>
              <w:ind w:left="220"/>
              <w:spacing w:after="0"/>
              <w:rPr>
                <w:sz w:val="20"/>
                <w:szCs w:val="20"/>
                <w:color w:val="auto"/>
              </w:rPr>
            </w:pPr>
            <w:r>
              <w:rPr>
                <w:rFonts w:ascii="Times New Roman" w:cs="Times New Roman" w:eastAsia="Times New Roman" w:hAnsi="Times New Roman"/>
                <w:sz w:val="20"/>
                <w:szCs w:val="20"/>
                <w:color w:val="auto"/>
              </w:rPr>
              <w:t>Other precision diagnostics</w:t>
            </w:r>
          </w:p>
        </w:tc>
        <w:tc>
          <w:tcPr>
            <w:tcW w:w="120" w:type="dxa"/>
            <w:vAlign w:val="bottom"/>
            <w:tcBorders>
              <w:bottom w:val="single" w:sz="8" w:color="E9E9E9"/>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24,231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E9E9E9"/>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22,980</w:t>
            </w:r>
          </w:p>
        </w:tc>
        <w:tc>
          <w:tcPr>
            <w:tcW w:w="120" w:type="dxa"/>
            <w:vAlign w:val="bottom"/>
            <w:tcBorders>
              <w:bottom w:val="single" w:sz="8" w:color="E9E9E9"/>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22,825</w:t>
            </w:r>
          </w:p>
        </w:tc>
      </w:tr>
      <w:tr>
        <w:trPr>
          <w:trHeight w:val="293"/>
        </w:trPr>
        <w:tc>
          <w:tcPr>
            <w:tcW w:w="3280" w:type="dxa"/>
            <w:vAlign w:val="bottom"/>
            <w:tcBorders>
              <w:bottom w:val="single" w:sz="8" w:color="E9E9E9"/>
            </w:tcBorders>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Total precision diagnostics</w:t>
            </w:r>
          </w:p>
        </w:tc>
        <w:tc>
          <w:tcPr>
            <w:tcW w:w="120" w:type="dxa"/>
            <w:vAlign w:val="bottom"/>
            <w:tcBorders>
              <w:bottom w:val="single" w:sz="8" w:color="E9E9E9"/>
            </w:tcBorders>
            <w:shd w:val="clear" w:color="auto" w:fill="E9E9E9"/>
          </w:tcPr>
          <w:p>
            <w:pPr>
              <w:spacing w:after="0"/>
              <w:rPr>
                <w:sz w:val="24"/>
                <w:szCs w:val="24"/>
                <w:color w:val="auto"/>
              </w:rPr>
            </w:pPr>
          </w:p>
        </w:tc>
        <w:tc>
          <w:tcPr>
            <w:tcW w:w="460" w:type="dxa"/>
            <w:vAlign w:val="bottom"/>
            <w:tcBorders>
              <w:bottom w:val="single" w:sz="8" w:color="auto"/>
            </w:tcBorders>
            <w:shd w:val="clear" w:color="auto" w:fill="E9E9E9"/>
          </w:tcPr>
          <w:p>
            <w:pPr>
              <w:spacing w:after="0"/>
              <w:rPr>
                <w:sz w:val="24"/>
                <w:szCs w:val="24"/>
                <w:color w:val="auto"/>
              </w:rPr>
            </w:pPr>
          </w:p>
        </w:tc>
        <w:tc>
          <w:tcPr>
            <w:tcW w:w="144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437,510</w:t>
            </w:r>
          </w:p>
        </w:tc>
        <w:tc>
          <w:tcPr>
            <w:tcW w:w="60" w:type="dxa"/>
            <w:vAlign w:val="bottom"/>
            <w:tcBorders>
              <w:bottom w:val="single" w:sz="8" w:color="auto"/>
            </w:tcBorders>
            <w:shd w:val="clear" w:color="auto" w:fill="E9E9E9"/>
          </w:tcPr>
          <w:p>
            <w:pPr>
              <w:spacing w:after="0"/>
              <w:rPr>
                <w:sz w:val="24"/>
                <w:szCs w:val="24"/>
                <w:color w:val="auto"/>
              </w:rPr>
            </w:pPr>
          </w:p>
        </w:tc>
        <w:tc>
          <w:tcPr>
            <w:tcW w:w="100" w:type="dxa"/>
            <w:vAlign w:val="bottom"/>
            <w:tcBorders>
              <w:bottom w:val="single" w:sz="8" w:color="E9E9E9"/>
            </w:tcBorders>
            <w:shd w:val="clear" w:color="auto" w:fill="E9E9E9"/>
          </w:tcPr>
          <w:p>
            <w:pPr>
              <w:spacing w:after="0"/>
              <w:rPr>
                <w:sz w:val="24"/>
                <w:szCs w:val="24"/>
                <w:color w:val="auto"/>
              </w:rPr>
            </w:pPr>
          </w:p>
        </w:tc>
        <w:tc>
          <w:tcPr>
            <w:tcW w:w="480" w:type="dxa"/>
            <w:vAlign w:val="bottom"/>
            <w:tcBorders>
              <w:bottom w:val="single" w:sz="8" w:color="auto"/>
            </w:tcBorders>
            <w:shd w:val="clear" w:color="auto" w:fill="E9E9E9"/>
          </w:tcPr>
          <w:p>
            <w:pPr>
              <w:spacing w:after="0"/>
              <w:rPr>
                <w:sz w:val="24"/>
                <w:szCs w:val="24"/>
                <w:color w:val="auto"/>
              </w:rPr>
            </w:pPr>
          </w:p>
        </w:tc>
        <w:tc>
          <w:tcPr>
            <w:tcW w:w="14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390,118</w:t>
            </w:r>
          </w:p>
        </w:tc>
        <w:tc>
          <w:tcPr>
            <w:tcW w:w="120" w:type="dxa"/>
            <w:vAlign w:val="bottom"/>
            <w:tcBorders>
              <w:bottom w:val="single" w:sz="8" w:color="E9E9E9"/>
            </w:tcBorders>
            <w:shd w:val="clear" w:color="auto" w:fill="E9E9E9"/>
          </w:tcPr>
          <w:p>
            <w:pPr>
              <w:spacing w:after="0"/>
              <w:rPr>
                <w:sz w:val="24"/>
                <w:szCs w:val="24"/>
                <w:color w:val="auto"/>
              </w:rPr>
            </w:pPr>
          </w:p>
        </w:tc>
        <w:tc>
          <w:tcPr>
            <w:tcW w:w="20" w:type="dxa"/>
            <w:vAlign w:val="bottom"/>
            <w:tcBorders>
              <w:bottom w:val="single" w:sz="8" w:color="auto"/>
            </w:tcBorders>
            <w:shd w:val="clear" w:color="auto" w:fill="E9E9E9"/>
          </w:tcPr>
          <w:p>
            <w:pPr>
              <w:spacing w:after="0"/>
              <w:rPr>
                <w:sz w:val="24"/>
                <w:szCs w:val="24"/>
                <w:color w:val="auto"/>
              </w:rPr>
            </w:pPr>
          </w:p>
        </w:tc>
        <w:tc>
          <w:tcPr>
            <w:tcW w:w="440" w:type="dxa"/>
            <w:vAlign w:val="bottom"/>
            <w:tcBorders>
              <w:bottom w:val="single" w:sz="8" w:color="auto"/>
            </w:tcBorders>
            <w:shd w:val="clear" w:color="auto" w:fill="E9E9E9"/>
          </w:tcPr>
          <w:p>
            <w:pPr>
              <w:spacing w:after="0"/>
              <w:rPr>
                <w:sz w:val="24"/>
                <w:szCs w:val="24"/>
                <w:color w:val="auto"/>
              </w:rPr>
            </w:pPr>
          </w:p>
        </w:tc>
        <w:tc>
          <w:tcPr>
            <w:tcW w:w="150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356,682</w:t>
            </w:r>
          </w:p>
        </w:tc>
      </w:tr>
      <w:tr>
        <w:trPr>
          <w:trHeight w:val="255"/>
        </w:trPr>
        <w:tc>
          <w:tcPr>
            <w:tcW w:w="3280" w:type="dxa"/>
            <w:vAlign w:val="bottom"/>
            <w:tcBorders>
              <w:bottom w:val="single" w:sz="8" w:color="E9E9E9"/>
            </w:tcBorders>
          </w:tcPr>
          <w:p>
            <w:pPr>
              <w:ind w:left="60"/>
              <w:spacing w:after="0"/>
              <w:rPr>
                <w:sz w:val="20"/>
                <w:szCs w:val="20"/>
                <w:color w:val="auto"/>
              </w:rPr>
            </w:pPr>
            <w:r>
              <w:rPr>
                <w:rFonts w:ascii="Times New Roman" w:cs="Times New Roman" w:eastAsia="Times New Roman" w:hAnsi="Times New Roman"/>
                <w:sz w:val="20"/>
                <w:szCs w:val="20"/>
                <w:color w:val="auto"/>
                <w:w w:val="98"/>
              </w:rPr>
              <w:t>Strategic Partnerships and other revenue</w:t>
            </w:r>
          </w:p>
        </w:tc>
        <w:tc>
          <w:tcPr>
            <w:tcW w:w="120" w:type="dxa"/>
            <w:vAlign w:val="bottom"/>
            <w:tcBorders>
              <w:bottom w:val="single" w:sz="8" w:color="E9E9E9"/>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38,182</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E9E9E9"/>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51,878</w:t>
            </w:r>
          </w:p>
        </w:tc>
        <w:tc>
          <w:tcPr>
            <w:tcW w:w="120" w:type="dxa"/>
            <w:vAlign w:val="bottom"/>
            <w:tcBorders>
              <w:bottom w:val="single" w:sz="8" w:color="E9E9E9"/>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46,872</w:t>
            </w:r>
          </w:p>
        </w:tc>
      </w:tr>
      <w:tr>
        <w:trPr>
          <w:trHeight w:val="294"/>
        </w:trPr>
        <w:tc>
          <w:tcPr>
            <w:tcW w:w="3280" w:type="dxa"/>
            <w:vAlign w:val="bottom"/>
            <w:tcBorders>
              <w:bottom w:val="single" w:sz="8" w:color="E9E9E9"/>
            </w:tcBorders>
            <w:shd w:val="clear" w:color="auto" w:fill="E9E9E9"/>
          </w:tcPr>
          <w:p>
            <w:pPr>
              <w:ind w:left="400"/>
              <w:spacing w:after="0"/>
              <w:rPr>
                <w:sz w:val="20"/>
                <w:szCs w:val="20"/>
                <w:color w:val="auto"/>
              </w:rPr>
            </w:pPr>
            <w:r>
              <w:rPr>
                <w:rFonts w:ascii="Times New Roman" w:cs="Times New Roman" w:eastAsia="Times New Roman" w:hAnsi="Times New Roman"/>
                <w:sz w:val="20"/>
                <w:szCs w:val="20"/>
                <w:color w:val="auto"/>
              </w:rPr>
              <w:t>Total revenues</w:t>
            </w:r>
          </w:p>
        </w:tc>
        <w:tc>
          <w:tcPr>
            <w:tcW w:w="120" w:type="dxa"/>
            <w:vAlign w:val="bottom"/>
            <w:tcBorders>
              <w:bottom w:val="single" w:sz="8" w:color="E9E9E9"/>
            </w:tcBorders>
            <w:shd w:val="clear" w:color="auto" w:fill="E9E9E9"/>
          </w:tcPr>
          <w:p>
            <w:pPr>
              <w:spacing w:after="0"/>
              <w:rPr>
                <w:sz w:val="24"/>
                <w:szCs w:val="24"/>
                <w:color w:val="auto"/>
              </w:rPr>
            </w:pPr>
          </w:p>
        </w:tc>
        <w:tc>
          <w:tcPr>
            <w:tcW w:w="460" w:type="dxa"/>
            <w:vAlign w:val="bottom"/>
            <w:tcBorders>
              <w:bottom w:val="single" w:sz="8" w:color="auto"/>
            </w:tcBorders>
            <w:shd w:val="clear" w:color="auto" w:fill="E9E9E9"/>
          </w:tcPr>
          <w:p>
            <w:pPr>
              <w:jc w:val="right"/>
              <w:ind w:right="222"/>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1,533,910</w:t>
            </w:r>
          </w:p>
        </w:tc>
        <w:tc>
          <w:tcPr>
            <w:tcW w:w="60" w:type="dxa"/>
            <w:vAlign w:val="bottom"/>
            <w:tcBorders>
              <w:bottom w:val="single" w:sz="8" w:color="auto"/>
            </w:tcBorders>
            <w:shd w:val="clear" w:color="auto" w:fill="E9E9E9"/>
          </w:tcPr>
          <w:p>
            <w:pPr>
              <w:spacing w:after="0"/>
              <w:rPr>
                <w:sz w:val="24"/>
                <w:szCs w:val="24"/>
                <w:color w:val="auto"/>
              </w:rPr>
            </w:pPr>
          </w:p>
        </w:tc>
        <w:tc>
          <w:tcPr>
            <w:tcW w:w="100" w:type="dxa"/>
            <w:vAlign w:val="bottom"/>
            <w:tcBorders>
              <w:bottom w:val="single" w:sz="8" w:color="E9E9E9"/>
            </w:tcBorders>
            <w:shd w:val="clear" w:color="auto" w:fill="E9E9E9"/>
          </w:tcPr>
          <w:p>
            <w:pPr>
              <w:spacing w:after="0"/>
              <w:rPr>
                <w:sz w:val="24"/>
                <w:szCs w:val="24"/>
                <w:color w:val="auto"/>
              </w:rPr>
            </w:pPr>
          </w:p>
        </w:tc>
        <w:tc>
          <w:tcPr>
            <w:tcW w:w="480" w:type="dxa"/>
            <w:vAlign w:val="bottom"/>
            <w:tcBorders>
              <w:bottom w:val="single" w:sz="8" w:color="auto"/>
            </w:tcBorders>
            <w:shd w:val="clear" w:color="auto" w:fill="E9E9E9"/>
          </w:tcPr>
          <w:p>
            <w:pPr>
              <w:jc w:val="right"/>
              <w:ind w:right="222"/>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1,296,429</w:t>
            </w:r>
          </w:p>
        </w:tc>
        <w:tc>
          <w:tcPr>
            <w:tcW w:w="120" w:type="dxa"/>
            <w:vAlign w:val="bottom"/>
            <w:tcBorders>
              <w:bottom w:val="single" w:sz="8" w:color="E9E9E9"/>
            </w:tcBorders>
            <w:shd w:val="clear" w:color="auto" w:fill="E9E9E9"/>
          </w:tcPr>
          <w:p>
            <w:pPr>
              <w:spacing w:after="0"/>
              <w:rPr>
                <w:sz w:val="24"/>
                <w:szCs w:val="24"/>
                <w:color w:val="auto"/>
              </w:rPr>
            </w:pPr>
          </w:p>
        </w:tc>
        <w:tc>
          <w:tcPr>
            <w:tcW w:w="20" w:type="dxa"/>
            <w:vAlign w:val="bottom"/>
            <w:tcBorders>
              <w:bottom w:val="single" w:sz="8" w:color="auto"/>
            </w:tcBorders>
            <w:shd w:val="clear" w:color="auto" w:fill="E9E9E9"/>
          </w:tcPr>
          <w:p>
            <w:pPr>
              <w:spacing w:after="0"/>
              <w:rPr>
                <w:sz w:val="24"/>
                <w:szCs w:val="24"/>
                <w:color w:val="auto"/>
              </w:rPr>
            </w:pPr>
          </w:p>
        </w:tc>
        <w:tc>
          <w:tcPr>
            <w:tcW w:w="440" w:type="dxa"/>
            <w:vAlign w:val="bottom"/>
            <w:tcBorders>
              <w:bottom w:val="single" w:sz="8" w:color="auto"/>
            </w:tcBorders>
            <w:shd w:val="clear" w:color="auto" w:fill="E9E9E9"/>
          </w:tcPr>
          <w:p>
            <w:pPr>
              <w:jc w:val="right"/>
              <w:ind w:right="202"/>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935,061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2409825</wp:posOffset>
            </wp:positionH>
            <wp:positionV relativeFrom="paragraph">
              <wp:posOffset>-43180</wp:posOffset>
            </wp:positionV>
            <wp:extent cx="3899535" cy="501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99535" cy="5016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Revenue, Net</w:t>
      </w:r>
    </w:p>
    <w:p>
      <w:pPr>
        <w:spacing w:after="0" w:line="237"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20"/>
          <w:szCs w:val="20"/>
          <w:color w:val="auto"/>
        </w:rPr>
        <w:t>The Company sells its products principally to hospitals, independent diagnostic testing facilities, and radiopharmacies. The Company considers customer purchase orders, which in some cases are governed by master sales or group purchasing organization agreements, to be the contracts with a customer.</w:t>
      </w:r>
    </w:p>
    <w:p>
      <w:pPr>
        <w:spacing w:after="0" w:line="199" w:lineRule="exact"/>
        <w:rPr>
          <w:sz w:val="20"/>
          <w:szCs w:val="20"/>
          <w:color w:val="auto"/>
        </w:rPr>
      </w:pPr>
    </w:p>
    <w:p>
      <w:pPr>
        <w:jc w:val="both"/>
        <w:ind w:right="380" w:firstLine="441"/>
        <w:spacing w:after="0" w:line="258" w:lineRule="auto"/>
        <w:rPr>
          <w:sz w:val="20"/>
          <w:szCs w:val="20"/>
          <w:color w:val="auto"/>
        </w:rPr>
      </w:pPr>
      <w:r>
        <w:rPr>
          <w:rFonts w:ascii="Times New Roman" w:cs="Times New Roman" w:eastAsia="Times New Roman" w:hAnsi="Times New Roman"/>
          <w:sz w:val="20"/>
          <w:szCs w:val="20"/>
          <w:color w:val="auto"/>
        </w:rPr>
        <w:t>For each contract, the Company considers the promise to transfer products, each of which is distinct, to be the identified performance obligations. In determining the transaction price, the Company evaluates whether the price is subject to refund or adjustment to determine the net consideration to which the Company expects to be entitled.</w:t>
      </w:r>
    </w:p>
    <w:p>
      <w:pPr>
        <w:spacing w:after="0" w:line="199" w:lineRule="exact"/>
        <w:rPr>
          <w:sz w:val="20"/>
          <w:szCs w:val="20"/>
          <w:color w:val="auto"/>
        </w:rPr>
      </w:pPr>
    </w:p>
    <w:p>
      <w:pPr>
        <w:ind w:right="360" w:firstLine="441"/>
        <w:spacing w:after="0" w:line="258" w:lineRule="auto"/>
        <w:rPr>
          <w:sz w:val="20"/>
          <w:szCs w:val="20"/>
          <w:color w:val="auto"/>
        </w:rPr>
      </w:pPr>
      <w:r>
        <w:rPr>
          <w:rFonts w:ascii="Times New Roman" w:cs="Times New Roman" w:eastAsia="Times New Roman" w:hAnsi="Times New Roman"/>
          <w:sz w:val="20"/>
          <w:szCs w:val="20"/>
          <w:color w:val="auto"/>
        </w:rPr>
        <w:t>The Company typically invoices customers upon satisfaction of identified performance obligations. As the Company’s standard payment terms are 30 to 60 days from invoicing, the Company has elected to use the significant financing component practical expedient.</w:t>
      </w:r>
    </w:p>
    <w:p>
      <w:pPr>
        <w:spacing w:after="0" w:line="199"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20"/>
          <w:szCs w:val="20"/>
          <w:color w:val="auto"/>
        </w:rPr>
        <w:t>The Company allocates the transaction price to each distinct product based on their relative standalone selling price. The product price as specified on the purchase order is considered the standalone selling price as it is an observable input which depicts the price as if sold to a similar customer in similar circumstances.</w:t>
      </w:r>
    </w:p>
    <w:p>
      <w:pPr>
        <w:spacing w:after="0" w:line="199" w:lineRule="exact"/>
        <w:rPr>
          <w:sz w:val="20"/>
          <w:szCs w:val="20"/>
          <w:color w:val="auto"/>
        </w:rPr>
      </w:pPr>
    </w:p>
    <w:p>
      <w:pPr>
        <w:ind w:right="60" w:firstLine="441"/>
        <w:spacing w:after="0" w:line="254" w:lineRule="auto"/>
        <w:rPr>
          <w:sz w:val="20"/>
          <w:szCs w:val="20"/>
          <w:color w:val="auto"/>
        </w:rPr>
      </w:pPr>
      <w:r>
        <w:rPr>
          <w:rFonts w:ascii="Times New Roman" w:cs="Times New Roman" w:eastAsia="Times New Roman" w:hAnsi="Times New Roman"/>
          <w:sz w:val="20"/>
          <w:szCs w:val="20"/>
          <w:color w:val="auto"/>
        </w:rPr>
        <w:t>Revenue is recognized when control of the product is transferred to the customer (i.e., when the Company’s performance obligation is satisfied), which typically occurs upon delivery to the customer. Further, in determining whether control has transferred, the Company considers if there is a present right to payment and legal title, along with risks and rewards of ownership having transferred to the customer.</w:t>
      </w:r>
    </w:p>
    <w:p>
      <w:pPr>
        <w:spacing w:after="0" w:line="202" w:lineRule="exact"/>
        <w:rPr>
          <w:sz w:val="20"/>
          <w:szCs w:val="20"/>
          <w:color w:val="auto"/>
        </w:rPr>
      </w:pPr>
    </w:p>
    <w:p>
      <w:pPr>
        <w:ind w:right="400" w:firstLine="441"/>
        <w:spacing w:after="0" w:line="258" w:lineRule="auto"/>
        <w:rPr>
          <w:sz w:val="20"/>
          <w:szCs w:val="20"/>
          <w:color w:val="auto"/>
        </w:rPr>
      </w:pPr>
      <w:r>
        <w:rPr>
          <w:rFonts w:ascii="Times New Roman" w:cs="Times New Roman" w:eastAsia="Times New Roman" w:hAnsi="Times New Roman"/>
          <w:sz w:val="20"/>
          <w:szCs w:val="20"/>
          <w:color w:val="auto"/>
        </w:rPr>
        <w:t>Frequently, the Company receives orders for products to be delivered over multiple dates that may extend across several reporting periods. The Company invoices for each delivery upon shipment and recognizes revenues for each distinct product delivered, assuming transfer of control has occurred.</w:t>
      </w:r>
    </w:p>
    <w:p>
      <w:pPr>
        <w:spacing w:after="0" w:line="199"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20"/>
          <w:szCs w:val="20"/>
          <w:color w:val="auto"/>
        </w:rPr>
        <w:t>The Company generally does not separately charge customers for shipping and handling costs, but any shipping and handling costs charged to customers are included in product revenue, net. Taxes collected from customers relating to product sales and remitted to governmental authorities are excluded from revenues.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Variable Consideration</w:t>
      </w:r>
    </w:p>
    <w:p>
      <w:pPr>
        <w:spacing w:after="0" w:line="126" w:lineRule="exact"/>
        <w:rPr>
          <w:sz w:val="20"/>
          <w:szCs w:val="20"/>
          <w:color w:val="auto"/>
        </w:rPr>
      </w:pPr>
    </w:p>
    <w:p>
      <w:pPr>
        <w:ind w:right="60" w:firstLine="441"/>
        <w:spacing w:after="0" w:line="262" w:lineRule="auto"/>
        <w:rPr>
          <w:sz w:val="20"/>
          <w:szCs w:val="20"/>
          <w:color w:val="auto"/>
        </w:rPr>
      </w:pPr>
      <w:r>
        <w:rPr>
          <w:rFonts w:ascii="Times New Roman" w:cs="Times New Roman" w:eastAsia="Times New Roman" w:hAnsi="Times New Roman"/>
          <w:sz w:val="19"/>
          <w:szCs w:val="19"/>
          <w:color w:val="auto"/>
        </w:rPr>
        <w:t>Revenues from product sales are recorded at the net sales price (transaction price), which includes estimates of variable consideration for which reserves are established for discounts, returns, rebates and allowances that are offered within contracts between the Company and its customers. These reserves are based on the amounts earned or to be claimed on the related sales and are classified as a current liability. 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which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w:t>
      </w:r>
    </w:p>
    <w:p>
      <w:pPr>
        <w:sectPr>
          <w:pgSz w:w="11880" w:h="15480" w:orient="portrait"/>
          <w:cols w:equalWidth="0" w:num="1">
            <w:col w:w="10280"/>
          </w:cols>
          <w:pgMar w:left="640" w:top="82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96</w:t>
      </w:r>
    </w:p>
    <w:p>
      <w:pPr>
        <w:sectPr>
          <w:pgSz w:w="11880" w:h="15480" w:orient="portrait"/>
          <w:cols w:equalWidth="0" w:num="1">
            <w:col w:w="10280"/>
          </w:cols>
          <w:pgMar w:left="640" w:top="822" w:right="960" w:bottom="0" w:gutter="0" w:footer="0" w:header="0"/>
          <w:type w:val="continuous"/>
        </w:sectPr>
      </w:pPr>
    </w:p>
    <w:bookmarkStart w:id="102" w:name="page103"/>
    <w:bookmarkEnd w:id="102"/>
    <w:p>
      <w:pPr>
        <w:ind w:right="460"/>
        <w:spacing w:after="0" w:line="271" w:lineRule="auto"/>
        <w:rPr>
          <w:sz w:val="20"/>
          <w:szCs w:val="20"/>
          <w:color w:val="auto"/>
        </w:rPr>
      </w:pPr>
      <w:r>
        <w:rPr>
          <w:rFonts w:ascii="Times New Roman" w:cs="Times New Roman" w:eastAsia="Times New Roman" w:hAnsi="Times New Roman"/>
          <w:sz w:val="20"/>
          <w:szCs w:val="20"/>
          <w:color w:val="auto"/>
        </w:rPr>
        <w:t>Company’s estimates. If actual results in the future vary from the Company’s estimates, the Company adjusts these estimates, which would affect product revenue and earnings in the period such variances become known.</w:t>
      </w:r>
    </w:p>
    <w:p>
      <w:pPr>
        <w:spacing w:after="0" w:line="183" w:lineRule="exact"/>
        <w:rPr>
          <w:sz w:val="20"/>
          <w:szCs w:val="20"/>
          <w:color w:val="auto"/>
        </w:rPr>
      </w:pPr>
    </w:p>
    <w:p>
      <w:pPr>
        <w:ind w:right="120" w:firstLine="441"/>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Rebates and Allowances: </w:t>
      </w:r>
      <w:r>
        <w:rPr>
          <w:rFonts w:ascii="Times New Roman" w:cs="Times New Roman" w:eastAsia="Times New Roman" w:hAnsi="Times New Roman"/>
          <w:sz w:val="20"/>
          <w:szCs w:val="20"/>
          <w:color w:val="auto"/>
        </w:rPr>
        <w:t>The Company provides certain customers with rebates and allowances that are explicitly stated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Company’s contracts and are recorded as a reduction of revenue in the period the related product revenue is recognized. The Company establishes a liability for such amounts, which is included in accrued expenses and other liabilities in the accompanying consolidated balance sheets. These rebates and allowances result from performance-based offers that are primarily based on attaining contractually specified sales volumes and administrative fees the Company is required to pay to group purchasing organizations. The Company estimates the amount of rebates and allowances that are explicitly stated in the Company’s contracts based on a combination of actual purchases and an estimate of the customer’s buying patterns.</w:t>
      </w:r>
    </w:p>
    <w:p>
      <w:pPr>
        <w:spacing w:after="0" w:line="205" w:lineRule="exact"/>
        <w:rPr>
          <w:sz w:val="20"/>
          <w:szCs w:val="20"/>
          <w:color w:val="auto"/>
        </w:rPr>
      </w:pPr>
    </w:p>
    <w:p>
      <w:pPr>
        <w:ind w:firstLine="441"/>
        <w:spacing w:after="0" w:line="251" w:lineRule="auto"/>
        <w:rPr>
          <w:sz w:val="20"/>
          <w:szCs w:val="20"/>
          <w:color w:val="auto"/>
        </w:rPr>
      </w:pPr>
      <w:r>
        <w:rPr>
          <w:rFonts w:ascii="Times New Roman" w:cs="Times New Roman" w:eastAsia="Times New Roman" w:hAnsi="Times New Roman"/>
          <w:sz w:val="20"/>
          <w:szCs w:val="20"/>
          <w:i w:val="1"/>
          <w:iCs w:val="1"/>
          <w:color w:val="auto"/>
        </w:rPr>
        <w:t xml:space="preserve">Product Returns: </w:t>
      </w:r>
      <w:r>
        <w:rPr>
          <w:rFonts w:ascii="Times New Roman" w:cs="Times New Roman" w:eastAsia="Times New Roman" w:hAnsi="Times New Roman"/>
          <w:sz w:val="20"/>
          <w:szCs w:val="20"/>
          <w:color w:val="auto"/>
        </w:rPr>
        <w:t>The Company generally offers customers a limited right of return due to non-conforming product.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estimates the amount 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Reserves for product returns are not significant to the Company due to the nature of its products including radiopharmaceutical products with limited half-lives.</w:t>
      </w:r>
    </w:p>
    <w:p>
      <w:pPr>
        <w:spacing w:after="0" w:line="206" w:lineRule="exact"/>
        <w:rPr>
          <w:sz w:val="20"/>
          <w:szCs w:val="20"/>
          <w:color w:val="auto"/>
        </w:rPr>
      </w:pPr>
    </w:p>
    <w:tbl>
      <w:tblPr>
        <w:tblLayout w:type="fixed"/>
        <w:tblInd w:w="440" w:type="dxa"/>
        <w:tblCellMar>
          <w:top w:w="0" w:type="dxa"/>
          <w:left w:w="0" w:type="dxa"/>
          <w:bottom w:w="0" w:type="dxa"/>
          <w:right w:w="0" w:type="dxa"/>
        </w:tblCellMar>
      </w:tblPr>
      <w:tr>
        <w:trPr>
          <w:trHeight w:val="255"/>
        </w:trPr>
        <w:tc>
          <w:tcPr>
            <w:tcW w:w="6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 analysis of the amount of, and change in, reserves is summarized as follows:</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400" w:type="dxa"/>
            <w:vAlign w:val="bottom"/>
          </w:tcPr>
          <w:p>
            <w:pPr>
              <w:spacing w:after="0"/>
              <w:rPr>
                <w:sz w:val="21"/>
                <w:szCs w:val="21"/>
                <w:color w:val="auto"/>
              </w:rPr>
            </w:pPr>
          </w:p>
        </w:tc>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180" w:type="dxa"/>
            <w:vAlign w:val="bottom"/>
          </w:tcPr>
          <w:p>
            <w:pPr>
              <w:spacing w:after="0"/>
              <w:rPr>
                <w:sz w:val="21"/>
                <w:szCs w:val="21"/>
                <w:color w:val="auto"/>
              </w:rPr>
            </w:pPr>
          </w:p>
        </w:tc>
        <w:tc>
          <w:tcPr>
            <w:tcW w:w="1320" w:type="dxa"/>
            <w:vAlign w:val="bottom"/>
          </w:tcPr>
          <w:p>
            <w:pPr>
              <w:jc w:val="right"/>
              <w:ind w:right="142"/>
              <w:spacing w:after="0"/>
              <w:rPr>
                <w:sz w:val="20"/>
                <w:szCs w:val="20"/>
                <w:color w:val="auto"/>
              </w:rPr>
            </w:pPr>
            <w:r>
              <w:rPr>
                <w:rFonts w:ascii="Times New Roman" w:cs="Times New Roman" w:eastAsia="Times New Roman" w:hAnsi="Times New Roman"/>
                <w:sz w:val="20"/>
                <w:szCs w:val="20"/>
                <w:b w:val="1"/>
                <w:bCs w:val="1"/>
                <w:color w:val="auto"/>
              </w:rPr>
              <w:t>Rebates and</w:t>
            </w:r>
          </w:p>
        </w:tc>
        <w:tc>
          <w:tcPr>
            <w:tcW w:w="0" w:type="dxa"/>
            <w:vAlign w:val="bottom"/>
          </w:tcPr>
          <w:p>
            <w:pPr>
              <w:spacing w:after="0"/>
              <w:rPr>
                <w:sz w:val="1"/>
                <w:szCs w:val="1"/>
                <w:color w:val="auto"/>
              </w:rPr>
            </w:pPr>
          </w:p>
        </w:tc>
      </w:tr>
      <w:tr>
        <w:trPr>
          <w:trHeight w:val="258"/>
        </w:trPr>
        <w:tc>
          <w:tcPr>
            <w:tcW w:w="1400" w:type="dxa"/>
            <w:vAlign w:val="bottom"/>
          </w:tcPr>
          <w:p>
            <w:pPr>
              <w:spacing w:after="0"/>
              <w:rPr>
                <w:sz w:val="22"/>
                <w:szCs w:val="22"/>
                <w:color w:val="auto"/>
              </w:rPr>
            </w:pPr>
          </w:p>
        </w:tc>
        <w:tc>
          <w:tcPr>
            <w:tcW w:w="5160" w:type="dxa"/>
            <w:vAlign w:val="bottom"/>
            <w:tcBorders>
              <w:bottom w:val="single" w:sz="8" w:color="E9E9E9"/>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20"/>
                <w:szCs w:val="20"/>
                <w:b w:val="1"/>
                <w:bCs w:val="1"/>
                <w:color w:val="auto"/>
              </w:rPr>
              <w:t>Allowances</w:t>
            </w:r>
          </w:p>
        </w:tc>
        <w:tc>
          <w:tcPr>
            <w:tcW w:w="0" w:type="dxa"/>
            <w:vAlign w:val="bottom"/>
          </w:tcPr>
          <w:p>
            <w:pPr>
              <w:spacing w:after="0"/>
              <w:rPr>
                <w:sz w:val="1"/>
                <w:szCs w:val="1"/>
                <w:color w:val="auto"/>
              </w:rPr>
            </w:pPr>
          </w:p>
        </w:tc>
      </w:tr>
      <w:tr>
        <w:trPr>
          <w:trHeight w:val="269"/>
        </w:trPr>
        <w:tc>
          <w:tcPr>
            <w:tcW w:w="1400" w:type="dxa"/>
            <w:vAlign w:val="bottom"/>
          </w:tcPr>
          <w:p>
            <w:pPr>
              <w:spacing w:after="0"/>
              <w:rPr>
                <w:sz w:val="23"/>
                <w:szCs w:val="23"/>
                <w:color w:val="auto"/>
              </w:rPr>
            </w:pPr>
          </w:p>
        </w:tc>
        <w:tc>
          <w:tcPr>
            <w:tcW w:w="516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Balance, January 1, 2023</w:t>
            </w:r>
          </w:p>
        </w:tc>
        <w:tc>
          <w:tcPr>
            <w:tcW w:w="1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13,399</w:t>
            </w:r>
          </w:p>
        </w:tc>
        <w:tc>
          <w:tcPr>
            <w:tcW w:w="0" w:type="dxa"/>
            <w:vAlign w:val="bottom"/>
          </w:tcPr>
          <w:p>
            <w:pPr>
              <w:spacing w:after="0"/>
              <w:rPr>
                <w:sz w:val="1"/>
                <w:szCs w:val="1"/>
                <w:color w:val="auto"/>
              </w:rPr>
            </w:pPr>
          </w:p>
        </w:tc>
      </w:tr>
      <w:tr>
        <w:trPr>
          <w:trHeight w:val="273"/>
        </w:trPr>
        <w:tc>
          <w:tcPr>
            <w:tcW w:w="1400" w:type="dxa"/>
            <w:vAlign w:val="bottom"/>
          </w:tcPr>
          <w:p>
            <w:pPr>
              <w:spacing w:after="0"/>
              <w:rPr>
                <w:sz w:val="23"/>
                <w:szCs w:val="23"/>
                <w:color w:val="auto"/>
              </w:rPr>
            </w:pPr>
          </w:p>
        </w:tc>
        <w:tc>
          <w:tcPr>
            <w:tcW w:w="51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Provision related to current period revenues</w:t>
            </w: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32,308</w:t>
            </w:r>
          </w:p>
        </w:tc>
        <w:tc>
          <w:tcPr>
            <w:tcW w:w="0" w:type="dxa"/>
            <w:vAlign w:val="bottom"/>
          </w:tcPr>
          <w:p>
            <w:pPr>
              <w:spacing w:after="0"/>
              <w:rPr>
                <w:sz w:val="1"/>
                <w:szCs w:val="1"/>
                <w:color w:val="auto"/>
              </w:rPr>
            </w:pPr>
          </w:p>
        </w:tc>
      </w:tr>
      <w:tr>
        <w:trPr>
          <w:trHeight w:val="285"/>
        </w:trPr>
        <w:tc>
          <w:tcPr>
            <w:tcW w:w="1400" w:type="dxa"/>
            <w:vAlign w:val="bottom"/>
          </w:tcPr>
          <w:p>
            <w:pPr>
              <w:spacing w:after="0"/>
              <w:rPr>
                <w:sz w:val="24"/>
                <w:szCs w:val="24"/>
                <w:color w:val="auto"/>
              </w:rPr>
            </w:pPr>
          </w:p>
        </w:tc>
        <w:tc>
          <w:tcPr>
            <w:tcW w:w="5160" w:type="dxa"/>
            <w:vAlign w:val="bottom"/>
            <w:shd w:val="clear" w:color="auto" w:fill="E9E9E9"/>
          </w:tcPr>
          <w:p>
            <w:pPr>
              <w:ind w:left="400"/>
              <w:spacing w:after="0"/>
              <w:rPr>
                <w:sz w:val="20"/>
                <w:szCs w:val="20"/>
                <w:color w:val="auto"/>
              </w:rPr>
            </w:pPr>
            <w:r>
              <w:rPr>
                <w:rFonts w:ascii="Times New Roman" w:cs="Times New Roman" w:eastAsia="Times New Roman" w:hAnsi="Times New Roman"/>
                <w:sz w:val="20"/>
                <w:szCs w:val="20"/>
                <w:color w:val="auto"/>
              </w:rPr>
              <w:t>Adjustments relating to prior period revenues</w:t>
            </w:r>
          </w:p>
        </w:tc>
        <w:tc>
          <w:tcPr>
            <w:tcW w:w="180" w:type="dxa"/>
            <w:vAlign w:val="bottom"/>
            <w:shd w:val="clear" w:color="auto" w:fill="E9E9E9"/>
          </w:tcPr>
          <w:p>
            <w:pPr>
              <w:spacing w:after="0"/>
              <w:rPr>
                <w:sz w:val="24"/>
                <w:szCs w:val="24"/>
                <w:color w:val="auto"/>
              </w:rPr>
            </w:pPr>
          </w:p>
        </w:tc>
        <w:tc>
          <w:tcPr>
            <w:tcW w:w="13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(453)</w:t>
            </w:r>
          </w:p>
        </w:tc>
        <w:tc>
          <w:tcPr>
            <w:tcW w:w="0" w:type="dxa"/>
            <w:vAlign w:val="bottom"/>
          </w:tcPr>
          <w:p>
            <w:pPr>
              <w:spacing w:after="0"/>
              <w:rPr>
                <w:sz w:val="1"/>
                <w:szCs w:val="1"/>
                <w:color w:val="auto"/>
              </w:rPr>
            </w:pPr>
          </w:p>
        </w:tc>
      </w:tr>
      <w:tr>
        <w:trPr>
          <w:trHeight w:val="269"/>
        </w:trPr>
        <w:tc>
          <w:tcPr>
            <w:tcW w:w="1400" w:type="dxa"/>
            <w:vAlign w:val="bottom"/>
          </w:tcPr>
          <w:p>
            <w:pPr>
              <w:spacing w:after="0"/>
              <w:rPr>
                <w:sz w:val="23"/>
                <w:szCs w:val="23"/>
                <w:color w:val="auto"/>
              </w:rPr>
            </w:pPr>
          </w:p>
        </w:tc>
        <w:tc>
          <w:tcPr>
            <w:tcW w:w="5160" w:type="dxa"/>
            <w:vAlign w:val="bottom"/>
            <w:tcBorders>
              <w:bottom w:val="single" w:sz="8" w:color="E9E9E9"/>
            </w:tcBorders>
          </w:tcPr>
          <w:p>
            <w:pPr>
              <w:ind w:left="400"/>
              <w:spacing w:after="0"/>
              <w:rPr>
                <w:sz w:val="20"/>
                <w:szCs w:val="20"/>
                <w:color w:val="auto"/>
              </w:rPr>
            </w:pPr>
            <w:r>
              <w:rPr>
                <w:rFonts w:ascii="Times New Roman" w:cs="Times New Roman" w:eastAsia="Times New Roman" w:hAnsi="Times New Roman"/>
                <w:sz w:val="20"/>
                <w:szCs w:val="20"/>
                <w:color w:val="auto"/>
              </w:rPr>
              <w:t>Payments or credits made during the period</w:t>
            </w:r>
          </w:p>
        </w:tc>
        <w:tc>
          <w:tcPr>
            <w:tcW w:w="1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(29,184)</w:t>
            </w: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3"/>
                <w:szCs w:val="23"/>
                <w:color w:val="auto"/>
              </w:rPr>
            </w:pPr>
          </w:p>
        </w:tc>
        <w:tc>
          <w:tcPr>
            <w:tcW w:w="516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Balance, December 31, 2023</w:t>
            </w:r>
          </w:p>
        </w:tc>
        <w:tc>
          <w:tcPr>
            <w:tcW w:w="180" w:type="dxa"/>
            <w:vAlign w:val="bottom"/>
            <w:shd w:val="clear" w:color="auto" w:fill="E9E9E9"/>
          </w:tcPr>
          <w:p>
            <w:pPr>
              <w:spacing w:after="0"/>
              <w:rPr>
                <w:sz w:val="23"/>
                <w:szCs w:val="23"/>
                <w:color w:val="auto"/>
              </w:rPr>
            </w:pPr>
          </w:p>
        </w:tc>
        <w:tc>
          <w:tcPr>
            <w:tcW w:w="13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16,070</w:t>
            </w:r>
          </w:p>
        </w:tc>
        <w:tc>
          <w:tcPr>
            <w:tcW w:w="0" w:type="dxa"/>
            <w:vAlign w:val="bottom"/>
          </w:tcPr>
          <w:p>
            <w:pPr>
              <w:spacing w:after="0"/>
              <w:rPr>
                <w:sz w:val="1"/>
                <w:szCs w:val="1"/>
                <w:color w:val="auto"/>
              </w:rPr>
            </w:pPr>
          </w:p>
        </w:tc>
      </w:tr>
      <w:tr>
        <w:trPr>
          <w:trHeight w:val="273"/>
        </w:trPr>
        <w:tc>
          <w:tcPr>
            <w:tcW w:w="1400" w:type="dxa"/>
            <w:vAlign w:val="bottom"/>
          </w:tcPr>
          <w:p>
            <w:pPr>
              <w:spacing w:after="0"/>
              <w:rPr>
                <w:sz w:val="23"/>
                <w:szCs w:val="23"/>
                <w:color w:val="auto"/>
              </w:rPr>
            </w:pPr>
          </w:p>
        </w:tc>
        <w:tc>
          <w:tcPr>
            <w:tcW w:w="51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Provision related to current period revenues</w:t>
            </w: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63,504</w:t>
            </w:r>
          </w:p>
        </w:tc>
        <w:tc>
          <w:tcPr>
            <w:tcW w:w="0" w:type="dxa"/>
            <w:vAlign w:val="bottom"/>
          </w:tcPr>
          <w:p>
            <w:pPr>
              <w:spacing w:after="0"/>
              <w:rPr>
                <w:sz w:val="1"/>
                <w:szCs w:val="1"/>
                <w:color w:val="auto"/>
              </w:rPr>
            </w:pPr>
          </w:p>
        </w:tc>
      </w:tr>
      <w:tr>
        <w:trPr>
          <w:trHeight w:val="294"/>
        </w:trPr>
        <w:tc>
          <w:tcPr>
            <w:tcW w:w="1400" w:type="dxa"/>
            <w:vAlign w:val="bottom"/>
          </w:tcPr>
          <w:p>
            <w:pPr>
              <w:spacing w:after="0"/>
              <w:rPr>
                <w:sz w:val="24"/>
                <w:szCs w:val="24"/>
                <w:color w:val="auto"/>
              </w:rPr>
            </w:pPr>
          </w:p>
        </w:tc>
        <w:tc>
          <w:tcPr>
            <w:tcW w:w="5160" w:type="dxa"/>
            <w:vAlign w:val="bottom"/>
            <w:tcBorders>
              <w:bottom w:val="single" w:sz="8" w:color="E9E9E9"/>
            </w:tcBorders>
            <w:shd w:val="clear" w:color="auto" w:fill="E9E9E9"/>
          </w:tcPr>
          <w:p>
            <w:pPr>
              <w:ind w:left="400"/>
              <w:spacing w:after="0"/>
              <w:rPr>
                <w:sz w:val="20"/>
                <w:szCs w:val="20"/>
                <w:color w:val="auto"/>
              </w:rPr>
            </w:pPr>
            <w:r>
              <w:rPr>
                <w:rFonts w:ascii="Times New Roman" w:cs="Times New Roman" w:eastAsia="Times New Roman" w:hAnsi="Times New Roman"/>
                <w:sz w:val="20"/>
                <w:szCs w:val="20"/>
                <w:color w:val="auto"/>
              </w:rPr>
              <w:t>Payments or credits made during the period</w:t>
            </w:r>
          </w:p>
        </w:tc>
        <w:tc>
          <w:tcPr>
            <w:tcW w:w="180" w:type="dxa"/>
            <w:vAlign w:val="bottom"/>
            <w:tcBorders>
              <w:bottom w:val="single" w:sz="8" w:color="auto"/>
            </w:tcBorders>
            <w:shd w:val="clear" w:color="auto" w:fill="E9E9E9"/>
          </w:tcPr>
          <w:p>
            <w:pPr>
              <w:spacing w:after="0"/>
              <w:rPr>
                <w:sz w:val="24"/>
                <w:szCs w:val="24"/>
                <w:color w:val="auto"/>
              </w:rPr>
            </w:pPr>
          </w:p>
        </w:tc>
        <w:tc>
          <w:tcPr>
            <w:tcW w:w="132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(54,326)</w:t>
            </w:r>
          </w:p>
        </w:tc>
        <w:tc>
          <w:tcPr>
            <w:tcW w:w="0" w:type="dxa"/>
            <w:vAlign w:val="bottom"/>
          </w:tcPr>
          <w:p>
            <w:pPr>
              <w:spacing w:after="0"/>
              <w:rPr>
                <w:sz w:val="1"/>
                <w:szCs w:val="1"/>
                <w:color w:val="auto"/>
              </w:rPr>
            </w:pPr>
          </w:p>
        </w:tc>
      </w:tr>
      <w:tr>
        <w:trPr>
          <w:trHeight w:val="221"/>
        </w:trPr>
        <w:tc>
          <w:tcPr>
            <w:tcW w:w="1400" w:type="dxa"/>
            <w:vAlign w:val="bottom"/>
          </w:tcPr>
          <w:p>
            <w:pPr>
              <w:spacing w:after="0"/>
              <w:rPr>
                <w:sz w:val="19"/>
                <w:szCs w:val="19"/>
                <w:color w:val="auto"/>
              </w:rPr>
            </w:pPr>
          </w:p>
        </w:tc>
        <w:tc>
          <w:tcPr>
            <w:tcW w:w="5160" w:type="dxa"/>
            <w:vAlign w:val="bottom"/>
          </w:tcPr>
          <w:p>
            <w:pPr>
              <w:ind w:left="40"/>
              <w:spacing w:after="0" w:line="221" w:lineRule="exact"/>
              <w:rPr>
                <w:sz w:val="20"/>
                <w:szCs w:val="20"/>
                <w:color w:val="auto"/>
              </w:rPr>
            </w:pPr>
            <w:r>
              <w:rPr>
                <w:rFonts w:ascii="Times New Roman" w:cs="Times New Roman" w:eastAsia="Times New Roman" w:hAnsi="Times New Roman"/>
                <w:sz w:val="20"/>
                <w:szCs w:val="20"/>
                <w:color w:val="auto"/>
              </w:rPr>
              <w:t>Balance, December 31, 2024</w:t>
            </w:r>
          </w:p>
        </w:tc>
        <w:tc>
          <w:tcPr>
            <w:tcW w:w="1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13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25,248</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-43180</wp:posOffset>
            </wp:positionV>
            <wp:extent cx="986790" cy="501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86790" cy="5016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License and Royalty Revenues</w:t>
      </w:r>
    </w:p>
    <w:p>
      <w:pPr>
        <w:spacing w:after="0" w:line="131" w:lineRule="exact"/>
        <w:rPr>
          <w:sz w:val="20"/>
          <w:szCs w:val="20"/>
          <w:color w:val="auto"/>
        </w:rPr>
      </w:pPr>
    </w:p>
    <w:p>
      <w:pPr>
        <w:ind w:right="60" w:firstLine="441"/>
        <w:spacing w:after="0" w:line="252" w:lineRule="auto"/>
        <w:rPr>
          <w:sz w:val="20"/>
          <w:szCs w:val="20"/>
          <w:color w:val="auto"/>
        </w:rPr>
      </w:pPr>
      <w:r>
        <w:rPr>
          <w:rFonts w:ascii="Times New Roman" w:cs="Times New Roman" w:eastAsia="Times New Roman" w:hAnsi="Times New Roman"/>
          <w:sz w:val="20"/>
          <w:szCs w:val="20"/>
          <w:color w:val="auto"/>
        </w:rPr>
        <w:t>The Company has entered into licensing agreements, under which it licenses certain rights to third parties. The terms of these arrangements typically include payment to the Company of one or more of the following: non-refundable, up-front license fees; development, regulatory and commercial milestone payments; and royalties on net sales of licensed products. The Company also has distribution licenses which are treated as combined performance obligations with the delivery of its products and are classified as product revenue, net.</w:t>
      </w:r>
    </w:p>
    <w:p>
      <w:pPr>
        <w:spacing w:after="0" w:line="204" w:lineRule="exact"/>
        <w:rPr>
          <w:sz w:val="20"/>
          <w:szCs w:val="20"/>
          <w:color w:val="auto"/>
        </w:rPr>
      </w:pPr>
    </w:p>
    <w:p>
      <w:pPr>
        <w:ind w:right="60" w:firstLine="441"/>
        <w:spacing w:after="0" w:line="265" w:lineRule="auto"/>
        <w:rPr>
          <w:sz w:val="20"/>
          <w:szCs w:val="20"/>
          <w:color w:val="auto"/>
        </w:rPr>
      </w:pPr>
      <w:r>
        <w:rPr>
          <w:rFonts w:ascii="Times New Roman" w:cs="Times New Roman" w:eastAsia="Times New Roman" w:hAnsi="Times New Roman"/>
          <w:sz w:val="19"/>
          <w:szCs w:val="19"/>
          <w:color w:val="auto"/>
        </w:rPr>
        <w:t>In determining the appropriate amount of revenue to be recognized as it fulfills its obligations under each of its agreements, the Company performs the five-step approach stated earlier. The Company uses judgment in determining the number of performance obligations in a license agreement by assessing whether the license is distinct or should be combined with another performance obligation, as well as the nature of the license. As part of the accounting for these arrangements, the Company must develop assumptions that require judgment to determine the stand-alone selling price for each performance obligation identified in the contract. The Company uses key assumptions to determine the stand-alone selling price, which may include market conditions, reimbursement rates for personnel costs, development timelines and probabilities of regulatory success.</w:t>
      </w:r>
    </w:p>
    <w:p>
      <w:pPr>
        <w:spacing w:after="0" w:line="190" w:lineRule="exact"/>
        <w:rPr>
          <w:sz w:val="20"/>
          <w:szCs w:val="20"/>
          <w:color w:val="auto"/>
        </w:rPr>
      </w:pPr>
    </w:p>
    <w:p>
      <w:pPr>
        <w:ind w:right="80" w:firstLine="441"/>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Licenses of intellectual property: </w:t>
      </w:r>
      <w:r>
        <w:rPr>
          <w:rFonts w:ascii="Times New Roman" w:cs="Times New Roman" w:eastAsia="Times New Roman" w:hAnsi="Times New Roman"/>
          <w:sz w:val="20"/>
          <w:szCs w:val="20"/>
          <w:color w:val="auto"/>
        </w:rPr>
        <w:t>If the license to the Company’s intellectual property is determined to be distinct from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other performance obligations identified in the arrangement,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208" w:lineRule="exact"/>
        <w:rPr>
          <w:sz w:val="20"/>
          <w:szCs w:val="20"/>
          <w:color w:val="auto"/>
        </w:rPr>
      </w:pPr>
    </w:p>
    <w:p>
      <w:pPr>
        <w:ind w:right="260" w:firstLine="441"/>
        <w:spacing w:after="0" w:line="302" w:lineRule="auto"/>
        <w:rPr>
          <w:sz w:val="20"/>
          <w:szCs w:val="20"/>
          <w:color w:val="auto"/>
        </w:rPr>
      </w:pPr>
      <w:r>
        <w:rPr>
          <w:rFonts w:ascii="Times New Roman" w:cs="Times New Roman" w:eastAsia="Times New Roman" w:hAnsi="Times New Roman"/>
          <w:sz w:val="19"/>
          <w:szCs w:val="19"/>
          <w:i w:val="1"/>
          <w:iCs w:val="1"/>
          <w:color w:val="auto"/>
        </w:rPr>
        <w:t xml:space="preserve">Milestone Payments: </w:t>
      </w:r>
      <w:r>
        <w:rPr>
          <w:rFonts w:ascii="Times New Roman" w:cs="Times New Roman" w:eastAsia="Times New Roman" w:hAnsi="Times New Roman"/>
          <w:sz w:val="19"/>
          <w:szCs w:val="19"/>
          <w:color w:val="auto"/>
        </w:rPr>
        <w:t>At the inception of each arrangement that includes development or sales milestone payments,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Company evaluates whether the milestones are considered probable of being reached and estimates the amount to be included in</w:t>
      </w:r>
    </w:p>
    <w:p>
      <w:pPr>
        <w:sectPr>
          <w:pgSz w:w="11880" w:h="15480" w:orient="portrait"/>
          <w:cols w:equalWidth="0" w:num="1">
            <w:col w:w="10320"/>
          </w:cols>
          <w:pgMar w:left="640" w:top="754" w:right="920" w:bottom="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97</w:t>
      </w:r>
    </w:p>
    <w:p>
      <w:pPr>
        <w:sectPr>
          <w:pgSz w:w="11880" w:h="15480" w:orient="portrait"/>
          <w:cols w:equalWidth="0" w:num="1">
            <w:col w:w="10320"/>
          </w:cols>
          <w:pgMar w:left="640" w:top="754" w:right="920" w:bottom="0" w:gutter="0" w:footer="0" w:header="0"/>
          <w:type w:val="continuous"/>
        </w:sectPr>
      </w:pPr>
    </w:p>
    <w:bookmarkStart w:id="103" w:name="page104"/>
    <w:bookmarkEnd w:id="103"/>
    <w:p>
      <w:pPr>
        <w:ind w:right="20"/>
        <w:spacing w:after="0" w:line="248" w:lineRule="auto"/>
        <w:rPr>
          <w:sz w:val="20"/>
          <w:szCs w:val="20"/>
          <w:color w:val="auto"/>
        </w:rPr>
      </w:pPr>
      <w:r>
        <w:rPr>
          <w:rFonts w:ascii="Times New Roman" w:cs="Times New Roman" w:eastAsia="Times New Roman" w:hAnsi="Times New Roman"/>
          <w:sz w:val="20"/>
          <w:szCs w:val="20"/>
          <w:color w:val="auto"/>
        </w:rPr>
        <w:t>the transaction price using the most likely amount method. If it is probable that a significant revenue reversal would not occur, the associated milestone value is included in the transaction price. Milestone payments that are outside the control of the Company or the licensee,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milestones and any related constraint, and if necessary, adjusts its estimate of the overall transaction price. Any such adjustments are recorded on a cumulative catch-up basis, which would affect license and royalty revenues and earnings in the period of adjustment. At December 31, 2024, the variable consideration for the milestone payments is constrained and is excluded from contract price until the milestone is achieved by the customer.</w:t>
      </w:r>
    </w:p>
    <w:p>
      <w:pPr>
        <w:spacing w:after="0" w:line="208" w:lineRule="exact"/>
        <w:rPr>
          <w:sz w:val="20"/>
          <w:szCs w:val="20"/>
          <w:color w:val="auto"/>
        </w:rPr>
      </w:pPr>
    </w:p>
    <w:p>
      <w:pPr>
        <w:ind w:right="240" w:firstLine="441"/>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Royalty Revenues: </w:t>
      </w:r>
      <w:r>
        <w:rPr>
          <w:rFonts w:ascii="Times New Roman" w:cs="Times New Roman" w:eastAsia="Times New Roman" w:hAnsi="Times New Roman"/>
          <w:sz w:val="20"/>
          <w:szCs w:val="20"/>
          <w:color w:val="auto"/>
        </w:rPr>
        <w:t>For arrangements that include sales-based royalties, including milestone payments based on the level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sales, and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Contract Costs</w:t>
      </w:r>
    </w:p>
    <w:p>
      <w:pPr>
        <w:spacing w:after="0" w:line="131" w:lineRule="exact"/>
        <w:rPr>
          <w:sz w:val="20"/>
          <w:szCs w:val="20"/>
          <w:color w:val="auto"/>
        </w:rPr>
      </w:pPr>
    </w:p>
    <w:p>
      <w:pPr>
        <w:ind w:right="140" w:firstLine="441"/>
        <w:spacing w:after="0" w:line="254" w:lineRule="auto"/>
        <w:rPr>
          <w:sz w:val="20"/>
          <w:szCs w:val="20"/>
          <w:color w:val="auto"/>
        </w:rPr>
      </w:pPr>
      <w:r>
        <w:rPr>
          <w:rFonts w:ascii="Times New Roman" w:cs="Times New Roman" w:eastAsia="Times New Roman" w:hAnsi="Times New Roman"/>
          <w:sz w:val="20"/>
          <w:szCs w:val="20"/>
          <w:color w:val="auto"/>
        </w:rPr>
        <w:t>The Company recognizes an asset for incremental costs of obtaining a contract with a customer if it expects to recover those costs. The Company’s sales incentive compensation plans qualify for capitalization since these plans are directly related to sales achieved during a period of time. However, the Company has elected the practical expedient to expense the costs as they are incurred, within sales and marketing expenses, since the amortization period is less than one year.</w:t>
      </w:r>
    </w:p>
    <w:p>
      <w:pPr>
        <w:spacing w:after="0" w:line="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The Company recognized certain revenues as follows:</w:t>
      </w:r>
    </w:p>
    <w:p>
      <w:pPr>
        <w:spacing w:after="0" w:line="367" w:lineRule="exact"/>
        <w:rPr>
          <w:sz w:val="20"/>
          <w:szCs w:val="20"/>
          <w:color w:val="auto"/>
        </w:rPr>
      </w:pPr>
    </w:p>
    <w:tbl>
      <w:tblPr>
        <w:tblLayout w:type="fixed"/>
        <w:tblInd w:w="440" w:type="dxa"/>
        <w:tblCellMar>
          <w:top w:w="0" w:type="dxa"/>
          <w:left w:w="0" w:type="dxa"/>
          <w:bottom w:w="0" w:type="dxa"/>
          <w:right w:w="0" w:type="dxa"/>
        </w:tblCellMar>
      </w:tblPr>
      <w:tr>
        <w:trPr>
          <w:trHeight w:val="262"/>
        </w:trPr>
        <w:tc>
          <w:tcPr>
            <w:tcW w:w="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300" w:type="dxa"/>
            <w:vAlign w:val="bottom"/>
          </w:tcPr>
          <w:p>
            <w:pPr>
              <w:spacing w:after="0"/>
              <w:rPr>
                <w:sz w:val="22"/>
                <w:szCs w:val="22"/>
                <w:color w:val="auto"/>
              </w:rPr>
            </w:pPr>
          </w:p>
        </w:tc>
        <w:tc>
          <w:tcPr>
            <w:tcW w:w="28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460" w:type="dxa"/>
            <w:vAlign w:val="bottom"/>
            <w:tcBorders>
              <w:bottom w:val="single" w:sz="8" w:color="auto"/>
            </w:tcBorders>
          </w:tcPr>
          <w:p>
            <w:pPr>
              <w:spacing w:after="0"/>
              <w:rPr>
                <w:sz w:val="22"/>
                <w:szCs w:val="22"/>
                <w:color w:val="auto"/>
              </w:rPr>
            </w:pPr>
          </w:p>
        </w:tc>
      </w:tr>
      <w:tr>
        <w:trPr>
          <w:trHeight w:val="214"/>
        </w:trPr>
        <w:tc>
          <w:tcPr>
            <w:tcW w:w="60" w:type="dxa"/>
            <w:vAlign w:val="bottom"/>
          </w:tcPr>
          <w:p>
            <w:pPr>
              <w:spacing w:after="0"/>
              <w:rPr>
                <w:sz w:val="18"/>
                <w:szCs w:val="18"/>
                <w:color w:val="auto"/>
              </w:rPr>
            </w:pPr>
          </w:p>
        </w:tc>
        <w:tc>
          <w:tcPr>
            <w:tcW w:w="6500" w:type="dxa"/>
            <w:vAlign w:val="bottom"/>
            <w:gridSpan w:val="2"/>
          </w:tcPr>
          <w:p>
            <w:pPr>
              <w:spacing w:after="0" w:line="214" w:lineRule="exact"/>
              <w:rPr>
                <w:sz w:val="20"/>
                <w:szCs w:val="20"/>
                <w:color w:val="auto"/>
              </w:rPr>
            </w:pPr>
            <w:r>
              <w:rPr>
                <w:rFonts w:ascii="Times New Roman" w:cs="Times New Roman" w:eastAsia="Times New Roman" w:hAnsi="Times New Roman"/>
                <w:sz w:val="20"/>
                <w:szCs w:val="20"/>
                <w:b w:val="1"/>
                <w:bCs w:val="1"/>
                <w:color w:val="auto"/>
              </w:rPr>
              <w:t>(in thousands)</w:t>
            </w:r>
          </w:p>
        </w:tc>
        <w:tc>
          <w:tcPr>
            <w:tcW w:w="1120" w:type="dxa"/>
            <w:vAlign w:val="bottom"/>
          </w:tcPr>
          <w:p>
            <w:pPr>
              <w:jc w:val="right"/>
              <w:ind w:right="22"/>
              <w:spacing w:after="0" w:line="214" w:lineRule="exact"/>
              <w:rPr>
                <w:sz w:val="20"/>
                <w:szCs w:val="20"/>
                <w:color w:val="auto"/>
              </w:rPr>
            </w:pPr>
            <w:r>
              <w:rPr>
                <w:rFonts w:ascii="Times New Roman" w:cs="Times New Roman" w:eastAsia="Times New Roman" w:hAnsi="Times New Roman"/>
                <w:sz w:val="20"/>
                <w:szCs w:val="20"/>
                <w:b w:val="1"/>
                <w:bCs w:val="1"/>
                <w:color w:val="auto"/>
              </w:rPr>
              <w:t>2024</w:t>
            </w:r>
          </w:p>
        </w:tc>
        <w:tc>
          <w:tcPr>
            <w:tcW w:w="480" w:type="dxa"/>
            <w:vAlign w:val="bottom"/>
          </w:tcPr>
          <w:p>
            <w:pPr>
              <w:spacing w:after="0"/>
              <w:rPr>
                <w:sz w:val="18"/>
                <w:szCs w:val="18"/>
                <w:color w:val="auto"/>
              </w:rPr>
            </w:pPr>
          </w:p>
        </w:tc>
        <w:tc>
          <w:tcPr>
            <w:tcW w:w="1260" w:type="dxa"/>
            <w:vAlign w:val="bottom"/>
            <w:gridSpan w:val="2"/>
          </w:tcPr>
          <w:p>
            <w:pPr>
              <w:jc w:val="right"/>
              <w:ind w:right="140"/>
              <w:spacing w:after="0" w:line="214" w:lineRule="exact"/>
              <w:rPr>
                <w:sz w:val="20"/>
                <w:szCs w:val="20"/>
                <w:color w:val="auto"/>
              </w:rPr>
            </w:pPr>
            <w:r>
              <w:rPr>
                <w:rFonts w:ascii="Times New Roman" w:cs="Times New Roman" w:eastAsia="Times New Roman" w:hAnsi="Times New Roman"/>
                <w:sz w:val="20"/>
                <w:szCs w:val="20"/>
                <w:b w:val="1"/>
                <w:bCs w:val="1"/>
                <w:color w:val="auto"/>
              </w:rPr>
              <w:t>2023</w:t>
            </w:r>
          </w:p>
        </w:tc>
        <w:tc>
          <w:tcPr>
            <w:tcW w:w="460" w:type="dxa"/>
            <w:vAlign w:val="bottom"/>
          </w:tcPr>
          <w:p>
            <w:pPr>
              <w:spacing w:after="0"/>
              <w:rPr>
                <w:sz w:val="18"/>
                <w:szCs w:val="18"/>
                <w:color w:val="auto"/>
              </w:rPr>
            </w:pPr>
          </w:p>
        </w:tc>
      </w:tr>
      <w:tr>
        <w:trPr>
          <w:trHeight w:val="25"/>
        </w:trPr>
        <w:tc>
          <w:tcPr>
            <w:tcW w:w="60" w:type="dxa"/>
            <w:vAlign w:val="bottom"/>
            <w:tcBorders>
              <w:bottom w:val="single" w:sz="8" w:color="E9E9E9"/>
            </w:tcBorders>
          </w:tcPr>
          <w:p>
            <w:pPr>
              <w:spacing w:after="0"/>
              <w:rPr>
                <w:sz w:val="2"/>
                <w:szCs w:val="2"/>
                <w:color w:val="auto"/>
              </w:rPr>
            </w:pPr>
          </w:p>
        </w:tc>
        <w:tc>
          <w:tcPr>
            <w:tcW w:w="1200" w:type="dxa"/>
            <w:vAlign w:val="bottom"/>
            <w:tcBorders>
              <w:top w:val="single" w:sz="8" w:color="auto"/>
              <w:bottom w:val="single" w:sz="8" w:color="E9E9E9"/>
            </w:tcBorders>
          </w:tcPr>
          <w:p>
            <w:pPr>
              <w:spacing w:after="0"/>
              <w:rPr>
                <w:sz w:val="2"/>
                <w:szCs w:val="2"/>
                <w:color w:val="auto"/>
              </w:rPr>
            </w:pPr>
          </w:p>
        </w:tc>
        <w:tc>
          <w:tcPr>
            <w:tcW w:w="5300" w:type="dxa"/>
            <w:vAlign w:val="bottom"/>
            <w:tcBorders>
              <w:bottom w:val="single" w:sz="8" w:color="E9E9E9"/>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E9E9E9"/>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84"/>
        </w:trPr>
        <w:tc>
          <w:tcPr>
            <w:tcW w:w="60" w:type="dxa"/>
            <w:vAlign w:val="bottom"/>
            <w:shd w:val="clear" w:color="auto" w:fill="E9E9E9"/>
          </w:tcPr>
          <w:p>
            <w:pPr>
              <w:spacing w:after="0"/>
              <w:rPr>
                <w:sz w:val="24"/>
                <w:szCs w:val="24"/>
                <w:color w:val="auto"/>
              </w:rPr>
            </w:pPr>
          </w:p>
        </w:tc>
        <w:tc>
          <w:tcPr>
            <w:tcW w:w="6500" w:type="dxa"/>
            <w:vAlign w:val="bottom"/>
            <w:gridSpan w:val="2"/>
            <w:shd w:val="clear" w:color="auto" w:fill="E9E9E9"/>
          </w:tcPr>
          <w:p>
            <w:pPr>
              <w:spacing w:after="0"/>
              <w:rPr>
                <w:sz w:val="20"/>
                <w:szCs w:val="20"/>
                <w:color w:val="auto"/>
              </w:rPr>
            </w:pPr>
            <w:r>
              <w:rPr>
                <w:rFonts w:ascii="Times New Roman" w:cs="Times New Roman" w:eastAsia="Times New Roman" w:hAnsi="Times New Roman"/>
                <w:sz w:val="20"/>
                <w:szCs w:val="20"/>
                <w:color w:val="auto"/>
              </w:rPr>
              <w:t>Amounts included in the contract liability at the beginning of the period</w:t>
            </w:r>
          </w:p>
        </w:tc>
        <w:tc>
          <w:tcPr>
            <w:tcW w:w="1120" w:type="dxa"/>
            <w:vAlign w:val="bottom"/>
            <w:shd w:val="clear" w:color="auto" w:fill="E9E9E9"/>
          </w:tcPr>
          <w:p>
            <w:pPr>
              <w:jc w:val="right"/>
              <w:ind w:right="862"/>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447</w:t>
            </w:r>
          </w:p>
        </w:tc>
        <w:tc>
          <w:tcPr>
            <w:tcW w:w="1260" w:type="dxa"/>
            <w:vAlign w:val="bottom"/>
            <w:gridSpan w:val="2"/>
            <w:shd w:val="clear" w:color="auto" w:fill="E9E9E9"/>
          </w:tcPr>
          <w:p>
            <w:pPr>
              <w:jc w:val="right"/>
              <w:ind w:right="98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682</w:t>
            </w:r>
          </w:p>
        </w:tc>
      </w:tr>
    </w:tbl>
    <w:p>
      <w:pPr>
        <w:spacing w:after="0" w:line="272" w:lineRule="exact"/>
        <w:rPr>
          <w:sz w:val="20"/>
          <w:szCs w:val="20"/>
          <w:color w:val="auto"/>
        </w:rPr>
      </w:pPr>
    </w:p>
    <w:p>
      <w:pPr>
        <w:ind w:right="500" w:firstLine="441"/>
        <w:spacing w:after="0" w:line="271" w:lineRule="auto"/>
        <w:rPr>
          <w:sz w:val="20"/>
          <w:szCs w:val="20"/>
          <w:color w:val="auto"/>
        </w:rPr>
      </w:pPr>
      <w:r>
        <w:rPr>
          <w:rFonts w:ascii="Times New Roman" w:cs="Times New Roman" w:eastAsia="Times New Roman" w:hAnsi="Times New Roman"/>
          <w:sz w:val="20"/>
          <w:szCs w:val="20"/>
          <w:color w:val="auto"/>
        </w:rPr>
        <w:t>The Company did not record any revenue related to performance obligations satisfied (or partially satisfied) in previous periods during the years ended December 31, 2024 and 2023.</w:t>
      </w:r>
    </w:p>
    <w:p>
      <w:pPr>
        <w:spacing w:after="0" w:line="186" w:lineRule="exact"/>
        <w:rPr>
          <w:sz w:val="20"/>
          <w:szCs w:val="20"/>
          <w:color w:val="auto"/>
        </w:rPr>
      </w:pPr>
    </w:p>
    <w:p>
      <w:pPr>
        <w:ind w:right="80" w:firstLine="441"/>
        <w:spacing w:after="0" w:line="258" w:lineRule="auto"/>
        <w:rPr>
          <w:sz w:val="20"/>
          <w:szCs w:val="20"/>
          <w:color w:val="auto"/>
        </w:rPr>
      </w:pPr>
      <w:r>
        <w:rPr>
          <w:rFonts w:ascii="Times New Roman" w:cs="Times New Roman" w:eastAsia="Times New Roman" w:hAnsi="Times New Roman"/>
          <w:sz w:val="20"/>
          <w:szCs w:val="20"/>
          <w:color w:val="auto"/>
        </w:rPr>
        <w:t>The Company’s performance obligations are typically part of contracts that have an original expected duration of one year or less. As such, the Company is not disclosing the aggregate amount of the transaction price allocated to performance obligations that are unsatisfied (or partially satisfied) as of the end of the reporting period.</w:t>
      </w:r>
    </w:p>
    <w:p>
      <w:pPr>
        <w:sectPr>
          <w:pgSz w:w="11880" w:h="15480" w:orient="portrait"/>
          <w:cols w:equalWidth="0" w:num="1">
            <w:col w:w="10320"/>
          </w:cols>
          <w:pgMar w:left="640" w:top="75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98</w:t>
      </w:r>
    </w:p>
    <w:p>
      <w:pPr>
        <w:sectPr>
          <w:pgSz w:w="11880" w:h="15480" w:orient="portrait"/>
          <w:cols w:equalWidth="0" w:num="1">
            <w:col w:w="10320"/>
          </w:cols>
          <w:pgMar w:left="640" w:top="754" w:right="920" w:bottom="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20"/>
          <w:szCs w:val="20"/>
          <w:b w:val="1"/>
          <w:bCs w:val="1"/>
          <w:color w:val="auto"/>
        </w:rPr>
        <w:t>4. Fair Value of Financial Instruments</w:t>
      </w:r>
    </w:p>
    <w:p>
      <w:pPr>
        <w:spacing w:after="0" w:line="130" w:lineRule="exact"/>
        <w:rPr>
          <w:sz w:val="20"/>
          <w:szCs w:val="20"/>
          <w:color w:val="auto"/>
        </w:rPr>
      </w:pPr>
    </w:p>
    <w:p>
      <w:pPr>
        <w:ind w:right="140" w:firstLine="441"/>
        <w:spacing w:after="0" w:line="254" w:lineRule="auto"/>
        <w:rPr>
          <w:sz w:val="20"/>
          <w:szCs w:val="20"/>
          <w:color w:val="auto"/>
        </w:rPr>
      </w:pPr>
      <w:r>
        <w:rPr>
          <w:rFonts w:ascii="Times New Roman" w:cs="Times New Roman" w:eastAsia="Times New Roman" w:hAnsi="Times New Roman"/>
          <w:sz w:val="20"/>
          <w:szCs w:val="20"/>
          <w:color w:val="auto"/>
        </w:rPr>
        <w:t>Fair value is defined as the price that would be received to sell an asset or paid to transfer a liability in an orderly transaction between market participants at the measurement date. In order to increase consistency and comparability of fair value measurements, financial instruments are categorized based on a hierarchy that prioritizes observable and unobservable inputs used to measure fair value into three broad levels, which are described below:</w:t>
      </w:r>
    </w:p>
    <w:p>
      <w:pPr>
        <w:spacing w:after="0" w:line="82" w:lineRule="exact"/>
        <w:rPr>
          <w:sz w:val="20"/>
          <w:szCs w:val="20"/>
          <w:color w:val="auto"/>
        </w:rPr>
      </w:pPr>
    </w:p>
    <w:p>
      <w:pPr>
        <w:ind w:left="720" w:right="300" w:hanging="359"/>
        <w:spacing w:after="0" w:line="275" w:lineRule="auto"/>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Level 1 </w:t>
      </w:r>
      <w:r>
        <w:rPr>
          <w:rFonts w:ascii="Times New Roman" w:cs="Times New Roman" w:eastAsia="Times New Roman" w:hAnsi="Times New Roman"/>
          <w:sz w:val="20"/>
          <w:szCs w:val="20"/>
          <w:color w:val="auto"/>
        </w:rPr>
        <w:t>— Inputs are unadjusted quoted prices in active markets for identical assets or liabilities that the Company has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ability to access at the measurement date.</w:t>
      </w:r>
    </w:p>
    <w:p>
      <w:pPr>
        <w:spacing w:after="0" w:line="60" w:lineRule="exact"/>
        <w:rPr>
          <w:rFonts w:ascii="Times New Roman" w:cs="Times New Roman" w:eastAsia="Times New Roman" w:hAnsi="Times New Roman"/>
          <w:sz w:val="20"/>
          <w:szCs w:val="20"/>
          <w:color w:val="auto"/>
        </w:rPr>
      </w:pPr>
    </w:p>
    <w:p>
      <w:pPr>
        <w:ind w:left="720" w:right="260" w:hanging="359"/>
        <w:spacing w:after="0" w:line="255" w:lineRule="auto"/>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Level 2 </w:t>
      </w:r>
      <w:r>
        <w:rPr>
          <w:rFonts w:ascii="Times New Roman" w:cs="Times New Roman" w:eastAsia="Times New Roman" w:hAnsi="Times New Roman"/>
          <w:sz w:val="20"/>
          <w:szCs w:val="20"/>
          <w:color w:val="auto"/>
        </w:rPr>
        <w:t>— Inputs include quoted prices for similar assets and liabilities in active markets, quoted prices for identical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80" w:lineRule="exact"/>
        <w:rPr>
          <w:rFonts w:ascii="Times New Roman" w:cs="Times New Roman" w:eastAsia="Times New Roman" w:hAnsi="Times New Roman"/>
          <w:sz w:val="20"/>
          <w:szCs w:val="20"/>
          <w:color w:val="auto"/>
        </w:rPr>
      </w:pPr>
    </w:p>
    <w:p>
      <w:pPr>
        <w:ind w:left="720" w:hanging="359"/>
        <w:spacing w:after="0" w:line="260" w:lineRule="auto"/>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Level 3 </w:t>
      </w:r>
      <w:r>
        <w:rPr>
          <w:rFonts w:ascii="Times New Roman" w:cs="Times New Roman" w:eastAsia="Times New Roman" w:hAnsi="Times New Roman"/>
          <w:sz w:val="20"/>
          <w:szCs w:val="20"/>
          <w:color w:val="auto"/>
        </w:rPr>
        <w:t>— Unobservable inputs that reflect a Company’s estimates about the assumptions that market participants would use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pricing the asset or liability. The Company develops these inputs based on the best information available, including its own data.</w:t>
      </w:r>
    </w:p>
    <w:p>
      <w:pPr>
        <w:spacing w:after="0" w:line="196" w:lineRule="exact"/>
        <w:rPr>
          <w:sz w:val="20"/>
          <w:szCs w:val="20"/>
          <w:color w:val="auto"/>
        </w:rPr>
      </w:pPr>
    </w:p>
    <w:p>
      <w:pPr>
        <w:ind w:right="20" w:firstLine="441"/>
        <w:spacing w:after="0" w:line="248" w:lineRule="auto"/>
        <w:rPr>
          <w:sz w:val="20"/>
          <w:szCs w:val="20"/>
          <w:color w:val="auto"/>
        </w:rPr>
      </w:pPr>
      <w:r>
        <w:rPr>
          <w:rFonts w:ascii="Times New Roman" w:cs="Times New Roman" w:eastAsia="Times New Roman" w:hAnsi="Times New Roman"/>
          <w:sz w:val="20"/>
          <w:szCs w:val="20"/>
          <w:color w:val="auto"/>
        </w:rPr>
        <w:t xml:space="preserve">The Company’s financial assets and liabilities measured at fair value on a recurring basis consist of money market funds, interest rate swaps, contingent consideration liabilities and equity investments. The Company invests excess cash from its operating cash accounts in overnight investments and reflects these amounts in cash and cash equivalents in the consolidated balance sheets at fair value using quoted prices in active markets for identical assets. The fair value of the interest rate swaps is determined based on observable market-based inputs, including interest rate curves and reflects the contractual terms of these instruments, including the period to maturity. Please refer to Note 13, </w:t>
      </w:r>
      <w:r>
        <w:rPr>
          <w:rFonts w:ascii="Times New Roman" w:cs="Times New Roman" w:eastAsia="Times New Roman" w:hAnsi="Times New Roman"/>
          <w:sz w:val="20"/>
          <w:szCs w:val="20"/>
          <w:i w:val="1"/>
          <w:iCs w:val="1"/>
          <w:color w:val="auto"/>
        </w:rPr>
        <w:t>“Derivative Instruments,”</w:t>
      </w:r>
      <w:r>
        <w:rPr>
          <w:rFonts w:ascii="Times New Roman" w:cs="Times New Roman" w:eastAsia="Times New Roman" w:hAnsi="Times New Roman"/>
          <w:sz w:val="20"/>
          <w:szCs w:val="20"/>
          <w:color w:val="auto"/>
        </w:rPr>
        <w:t xml:space="preserve"> to these consolidated financial statements for further details on the interest rate swaps. Investment in equity securities resulting from the Perspective Therapeutics, Inc. (“Perspective”) and Radiopharm Theranostics Limited (“Radiopharm”) strategic agreements were recorded at fair value by the Company and are adjusted for price changes observable in the market each quarter. The Company recorded the contingent consideration liabilities resulting from the Progenics Acquisition at fair value based on inputs that are not observable in the market.</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The tables below present information about the Company’s assets and liabilities measured at fair value on a recurring basis:</w:t>
      </w:r>
    </w:p>
    <w:p>
      <w:pPr>
        <w:spacing w:after="0" w:line="265" w:lineRule="exact"/>
        <w:rPr>
          <w:sz w:val="20"/>
          <w:szCs w:val="20"/>
          <w:color w:val="auto"/>
        </w:rPr>
      </w:pPr>
    </w:p>
    <w:tbl>
      <w:tblPr>
        <w:tblLayout w:type="fixed"/>
        <w:tblInd w:w="1080" w:type="dxa"/>
        <w:tblCellMar>
          <w:top w:w="0" w:type="dxa"/>
          <w:left w:w="0" w:type="dxa"/>
          <w:bottom w:w="0" w:type="dxa"/>
          <w:right w:w="0" w:type="dxa"/>
        </w:tblCellMar>
      </w:tblPr>
      <w:tr>
        <w:trPr>
          <w:trHeight w:val="262"/>
        </w:trPr>
        <w:tc>
          <w:tcPr>
            <w:tcW w:w="3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312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180" w:type="dxa"/>
            <w:vAlign w:val="bottom"/>
          </w:tcPr>
          <w:p>
            <w:pPr>
              <w:spacing w:after="0"/>
              <w:rPr>
                <w:sz w:val="15"/>
                <w:szCs w:val="15"/>
                <w:color w:val="auto"/>
              </w:rPr>
            </w:pPr>
          </w:p>
        </w:tc>
        <w:tc>
          <w:tcPr>
            <w:tcW w:w="1080" w:type="dxa"/>
            <w:vAlign w:val="bottom"/>
          </w:tcPr>
          <w:p>
            <w:pPr>
              <w:jc w:val="right"/>
              <w:ind w:right="102"/>
              <w:spacing w:after="0" w:line="179" w:lineRule="exact"/>
              <w:rPr>
                <w:sz w:val="20"/>
                <w:szCs w:val="20"/>
                <w:color w:val="auto"/>
              </w:rPr>
            </w:pPr>
            <w:r>
              <w:rPr>
                <w:rFonts w:ascii="Times New Roman" w:cs="Times New Roman" w:eastAsia="Times New Roman" w:hAnsi="Times New Roman"/>
                <w:sz w:val="20"/>
                <w:szCs w:val="20"/>
                <w:b w:val="1"/>
                <w:bCs w:val="1"/>
                <w:color w:val="auto"/>
                <w:w w:val="98"/>
              </w:rPr>
              <w:t>Total Fair</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restart"/>
          </w:tcPr>
          <w:p>
            <w:pPr>
              <w:jc w:val="right"/>
              <w:ind w:right="242"/>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0" w:type="dxa"/>
            <w:vAlign w:val="bottom"/>
          </w:tcPr>
          <w:p>
            <w:pPr>
              <w:spacing w:after="0"/>
              <w:rPr>
                <w:sz w:val="1"/>
                <w:szCs w:val="1"/>
                <w:color w:val="auto"/>
              </w:rPr>
            </w:pPr>
          </w:p>
        </w:tc>
      </w:tr>
      <w:tr>
        <w:trPr>
          <w:trHeight w:val="258"/>
        </w:trPr>
        <w:tc>
          <w:tcPr>
            <w:tcW w:w="3120" w:type="dxa"/>
            <w:vAlign w:val="bottom"/>
            <w:tcBorders>
              <w:bottom w:val="single" w:sz="8" w:color="E9E9E9"/>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20"/>
                <w:szCs w:val="20"/>
                <w:b w:val="1"/>
                <w:bCs w:val="1"/>
                <w:color w:val="auto"/>
              </w:rPr>
              <w:t>Value</w:t>
            </w:r>
          </w:p>
        </w:tc>
        <w:tc>
          <w:tcPr>
            <w:tcW w:w="80" w:type="dxa"/>
            <w:vAlign w:val="bottom"/>
            <w:tcBorders>
              <w:bottom w:val="single" w:sz="8" w:color="E9E9E9"/>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9E9E9"/>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E9E9E9"/>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312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Assets:</w:t>
            </w:r>
          </w:p>
        </w:tc>
        <w:tc>
          <w:tcPr>
            <w:tcW w:w="180" w:type="dxa"/>
            <w:vAlign w:val="bottom"/>
            <w:shd w:val="clear" w:color="auto" w:fill="E9E9E9"/>
          </w:tcPr>
          <w:p>
            <w:pPr>
              <w:spacing w:after="0"/>
              <w:rPr>
                <w:sz w:val="23"/>
                <w:szCs w:val="23"/>
                <w:color w:val="auto"/>
              </w:rPr>
            </w:pPr>
          </w:p>
        </w:tc>
        <w:tc>
          <w:tcPr>
            <w:tcW w:w="1080" w:type="dxa"/>
            <w:vAlign w:val="bottom"/>
            <w:shd w:val="clear" w:color="auto" w:fill="E9E9E9"/>
          </w:tcPr>
          <w:p>
            <w:pPr>
              <w:spacing w:after="0"/>
              <w:rPr>
                <w:sz w:val="23"/>
                <w:szCs w:val="23"/>
                <w:color w:val="auto"/>
              </w:rPr>
            </w:pPr>
          </w:p>
        </w:tc>
        <w:tc>
          <w:tcPr>
            <w:tcW w:w="80" w:type="dxa"/>
            <w:vAlign w:val="bottom"/>
            <w:shd w:val="clear" w:color="auto" w:fill="E9E9E9"/>
          </w:tcPr>
          <w:p>
            <w:pPr>
              <w:spacing w:after="0"/>
              <w:rPr>
                <w:sz w:val="23"/>
                <w:szCs w:val="23"/>
                <w:color w:val="auto"/>
              </w:rPr>
            </w:pPr>
          </w:p>
        </w:tc>
        <w:tc>
          <w:tcPr>
            <w:tcW w:w="240" w:type="dxa"/>
            <w:vAlign w:val="bottom"/>
            <w:shd w:val="clear" w:color="auto" w:fill="E9E9E9"/>
          </w:tcPr>
          <w:p>
            <w:pPr>
              <w:spacing w:after="0"/>
              <w:rPr>
                <w:sz w:val="23"/>
                <w:szCs w:val="23"/>
                <w:color w:val="auto"/>
              </w:rPr>
            </w:pPr>
          </w:p>
        </w:tc>
        <w:tc>
          <w:tcPr>
            <w:tcW w:w="1040" w:type="dxa"/>
            <w:vAlign w:val="bottom"/>
            <w:shd w:val="clear" w:color="auto" w:fill="E9E9E9"/>
          </w:tcPr>
          <w:p>
            <w:pPr>
              <w:spacing w:after="0"/>
              <w:rPr>
                <w:sz w:val="23"/>
                <w:szCs w:val="23"/>
                <w:color w:val="auto"/>
              </w:rPr>
            </w:pPr>
          </w:p>
        </w:tc>
        <w:tc>
          <w:tcPr>
            <w:tcW w:w="80" w:type="dxa"/>
            <w:vAlign w:val="bottom"/>
            <w:shd w:val="clear" w:color="auto" w:fill="E9E9E9"/>
          </w:tcPr>
          <w:p>
            <w:pPr>
              <w:spacing w:after="0"/>
              <w:rPr>
                <w:sz w:val="23"/>
                <w:szCs w:val="23"/>
                <w:color w:val="auto"/>
              </w:rPr>
            </w:pPr>
          </w:p>
        </w:tc>
        <w:tc>
          <w:tcPr>
            <w:tcW w:w="240" w:type="dxa"/>
            <w:vAlign w:val="bottom"/>
            <w:shd w:val="clear" w:color="auto" w:fill="E9E9E9"/>
          </w:tcPr>
          <w:p>
            <w:pPr>
              <w:spacing w:after="0"/>
              <w:rPr>
                <w:sz w:val="23"/>
                <w:szCs w:val="23"/>
                <w:color w:val="auto"/>
              </w:rPr>
            </w:pPr>
          </w:p>
        </w:tc>
        <w:tc>
          <w:tcPr>
            <w:tcW w:w="1040" w:type="dxa"/>
            <w:vAlign w:val="bottom"/>
            <w:shd w:val="clear" w:color="auto" w:fill="E9E9E9"/>
          </w:tcPr>
          <w:p>
            <w:pPr>
              <w:spacing w:after="0"/>
              <w:rPr>
                <w:sz w:val="23"/>
                <w:szCs w:val="23"/>
                <w:color w:val="auto"/>
              </w:rPr>
            </w:pPr>
          </w:p>
        </w:tc>
        <w:tc>
          <w:tcPr>
            <w:tcW w:w="60" w:type="dxa"/>
            <w:vAlign w:val="bottom"/>
            <w:shd w:val="clear" w:color="auto" w:fill="E9E9E9"/>
          </w:tcPr>
          <w:p>
            <w:pPr>
              <w:spacing w:after="0"/>
              <w:rPr>
                <w:sz w:val="23"/>
                <w:szCs w:val="23"/>
                <w:color w:val="auto"/>
              </w:rPr>
            </w:pPr>
          </w:p>
        </w:tc>
        <w:tc>
          <w:tcPr>
            <w:tcW w:w="260" w:type="dxa"/>
            <w:vAlign w:val="bottom"/>
            <w:shd w:val="clear" w:color="auto" w:fill="E9E9E9"/>
          </w:tcPr>
          <w:p>
            <w:pPr>
              <w:spacing w:after="0"/>
              <w:rPr>
                <w:sz w:val="23"/>
                <w:szCs w:val="23"/>
                <w:color w:val="auto"/>
              </w:rPr>
            </w:pPr>
          </w:p>
        </w:tc>
        <w:tc>
          <w:tcPr>
            <w:tcW w:w="1020" w:type="dxa"/>
            <w:vAlign w:val="bottom"/>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31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682,209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682,209</w:t>
            </w:r>
          </w:p>
        </w:tc>
        <w:tc>
          <w:tcPr>
            <w:tcW w:w="32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4"/>
        </w:trPr>
        <w:tc>
          <w:tcPr>
            <w:tcW w:w="3120" w:type="dxa"/>
            <w:vAlign w:val="bottom"/>
            <w:tcBorders>
              <w:bottom w:val="single" w:sz="8" w:color="E9E9E9"/>
            </w:tcBorders>
            <w:shd w:val="clear" w:color="auto" w:fill="E9E9E9"/>
          </w:tcPr>
          <w:p>
            <w:pPr>
              <w:ind w:left="220"/>
              <w:spacing w:after="0"/>
              <w:rPr>
                <w:sz w:val="20"/>
                <w:szCs w:val="20"/>
                <w:color w:val="auto"/>
              </w:rPr>
            </w:pPr>
            <w:r>
              <w:rPr>
                <w:rFonts w:ascii="Times New Roman" w:cs="Times New Roman" w:eastAsia="Times New Roman" w:hAnsi="Times New Roman"/>
                <w:sz w:val="20"/>
                <w:szCs w:val="20"/>
                <w:color w:val="auto"/>
              </w:rPr>
              <w:t>Investment securities</w:t>
            </w:r>
          </w:p>
        </w:tc>
        <w:tc>
          <w:tcPr>
            <w:tcW w:w="180" w:type="dxa"/>
            <w:vAlign w:val="bottom"/>
            <w:tcBorders>
              <w:bottom w:val="single" w:sz="8" w:color="auto"/>
            </w:tcBorders>
            <w:shd w:val="clear" w:color="auto" w:fill="E9E9E9"/>
          </w:tcPr>
          <w:p>
            <w:pPr>
              <w:spacing w:after="0"/>
              <w:rPr>
                <w:sz w:val="24"/>
                <w:szCs w:val="24"/>
                <w:color w:val="auto"/>
              </w:rPr>
            </w:pPr>
          </w:p>
        </w:tc>
        <w:tc>
          <w:tcPr>
            <w:tcW w:w="10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39,489</w:t>
            </w:r>
          </w:p>
        </w:tc>
        <w:tc>
          <w:tcPr>
            <w:tcW w:w="80" w:type="dxa"/>
            <w:vAlign w:val="bottom"/>
            <w:tcBorders>
              <w:bottom w:val="single" w:sz="8" w:color="E9E9E9"/>
            </w:tcBorders>
            <w:shd w:val="clear" w:color="auto" w:fill="E9E9E9"/>
          </w:tcPr>
          <w:p>
            <w:pPr>
              <w:spacing w:after="0"/>
              <w:rPr>
                <w:sz w:val="24"/>
                <w:szCs w:val="24"/>
                <w:color w:val="auto"/>
              </w:rPr>
            </w:pPr>
          </w:p>
        </w:tc>
        <w:tc>
          <w:tcPr>
            <w:tcW w:w="240" w:type="dxa"/>
            <w:vAlign w:val="bottom"/>
            <w:tcBorders>
              <w:bottom w:val="single" w:sz="8" w:color="auto"/>
            </w:tcBorders>
            <w:shd w:val="clear" w:color="auto" w:fill="E9E9E9"/>
          </w:tcPr>
          <w:p>
            <w:pPr>
              <w:spacing w:after="0"/>
              <w:rPr>
                <w:sz w:val="24"/>
                <w:szCs w:val="24"/>
                <w:color w:val="auto"/>
              </w:rPr>
            </w:pPr>
          </w:p>
        </w:tc>
        <w:tc>
          <w:tcPr>
            <w:tcW w:w="104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39,489</w:t>
            </w:r>
          </w:p>
        </w:tc>
        <w:tc>
          <w:tcPr>
            <w:tcW w:w="80" w:type="dxa"/>
            <w:vAlign w:val="bottom"/>
            <w:tcBorders>
              <w:bottom w:val="single" w:sz="8" w:color="E9E9E9"/>
            </w:tcBorders>
            <w:shd w:val="clear" w:color="auto" w:fill="E9E9E9"/>
          </w:tcPr>
          <w:p>
            <w:pPr>
              <w:spacing w:after="0"/>
              <w:rPr>
                <w:sz w:val="24"/>
                <w:szCs w:val="24"/>
                <w:color w:val="auto"/>
              </w:rPr>
            </w:pPr>
          </w:p>
        </w:tc>
        <w:tc>
          <w:tcPr>
            <w:tcW w:w="240" w:type="dxa"/>
            <w:vAlign w:val="bottom"/>
            <w:tcBorders>
              <w:bottom w:val="single" w:sz="8" w:color="auto"/>
            </w:tcBorders>
            <w:shd w:val="clear" w:color="auto" w:fill="E9E9E9"/>
          </w:tcPr>
          <w:p>
            <w:pPr>
              <w:spacing w:after="0"/>
              <w:rPr>
                <w:sz w:val="24"/>
                <w:szCs w:val="24"/>
                <w:color w:val="auto"/>
              </w:rPr>
            </w:pPr>
          </w:p>
        </w:tc>
        <w:tc>
          <w:tcPr>
            <w:tcW w:w="1040" w:type="dxa"/>
            <w:vAlign w:val="bottom"/>
            <w:tcBorders>
              <w:bottom w:val="single" w:sz="8" w:color="auto"/>
            </w:tcBorders>
            <w:shd w:val="clear" w:color="auto" w:fill="E9E9E9"/>
          </w:tcPr>
          <w:p>
            <w:pPr>
              <w:ind w:left="7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9E9E9"/>
            </w:tcBorders>
            <w:shd w:val="clear" w:color="auto" w:fill="E9E9E9"/>
          </w:tcPr>
          <w:p>
            <w:pPr>
              <w:spacing w:after="0"/>
              <w:rPr>
                <w:sz w:val="24"/>
                <w:szCs w:val="24"/>
                <w:color w:val="auto"/>
              </w:rPr>
            </w:pPr>
          </w:p>
        </w:tc>
        <w:tc>
          <w:tcPr>
            <w:tcW w:w="260" w:type="dxa"/>
            <w:vAlign w:val="bottom"/>
            <w:tcBorders>
              <w:bottom w:val="single" w:sz="8" w:color="auto"/>
            </w:tcBorders>
            <w:shd w:val="clear" w:color="auto" w:fill="E9E9E9"/>
          </w:tcPr>
          <w:p>
            <w:pPr>
              <w:spacing w:after="0"/>
              <w:rPr>
                <w:sz w:val="24"/>
                <w:szCs w:val="24"/>
                <w:color w:val="auto"/>
              </w:rPr>
            </w:pPr>
          </w:p>
        </w:tc>
        <w:tc>
          <w:tcPr>
            <w:tcW w:w="1020" w:type="dxa"/>
            <w:vAlign w:val="bottom"/>
            <w:tcBorders>
              <w:bottom w:val="single" w:sz="8" w:color="auto"/>
            </w:tcBorders>
            <w:shd w:val="clear" w:color="auto" w:fill="E9E9E9"/>
          </w:tcPr>
          <w:p>
            <w:pPr>
              <w:ind w:left="7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3120" w:type="dxa"/>
            <w:vAlign w:val="bottom"/>
          </w:tcPr>
          <w:p>
            <w:pPr>
              <w:ind w:left="40"/>
              <w:spacing w:after="0" w:line="221" w:lineRule="exact"/>
              <w:rPr>
                <w:sz w:val="20"/>
                <w:szCs w:val="20"/>
                <w:color w:val="auto"/>
              </w:rPr>
            </w:pPr>
            <w:r>
              <w:rPr>
                <w:rFonts w:ascii="Times New Roman" w:cs="Times New Roman" w:eastAsia="Times New Roman" w:hAnsi="Times New Roman"/>
                <w:sz w:val="20"/>
                <w:szCs w:val="20"/>
                <w:color w:val="auto"/>
              </w:rPr>
              <w:t>Total assets</w:t>
            </w:r>
          </w:p>
        </w:tc>
        <w:tc>
          <w:tcPr>
            <w:tcW w:w="1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721,698</w:t>
            </w:r>
          </w:p>
        </w:tc>
        <w:tc>
          <w:tcPr>
            <w:tcW w:w="32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721,698</w:t>
            </w:r>
          </w:p>
        </w:tc>
        <w:tc>
          <w:tcPr>
            <w:tcW w:w="320" w:type="dxa"/>
            <w:vAlign w:val="bottom"/>
            <w:gridSpan w:val="2"/>
          </w:tcPr>
          <w:p>
            <w:pPr>
              <w:jc w:val="right"/>
              <w:ind w:right="2"/>
              <w:spacing w:after="0" w:line="221"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ind w:left="760"/>
              <w:spacing w:after="0" w:line="221" w:lineRule="exact"/>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2"/>
              <w:spacing w:after="0" w:line="221"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ind w:left="760"/>
              <w:spacing w:after="0" w:line="221"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9"/>
        </w:trPr>
        <w:tc>
          <w:tcPr>
            <w:tcW w:w="3120" w:type="dxa"/>
            <w:vAlign w:val="bottom"/>
            <w:tcBorders>
              <w:top w:val="single" w:sz="8" w:color="E9E9E9"/>
              <w:bottom w:val="single" w:sz="8" w:color="E9E9E9"/>
            </w:tcBorders>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Liabilities:</w:t>
            </w:r>
          </w:p>
        </w:tc>
        <w:tc>
          <w:tcPr>
            <w:tcW w:w="180" w:type="dxa"/>
            <w:vAlign w:val="bottom"/>
            <w:tcBorders>
              <w:top w:val="single" w:sz="8" w:color="auto"/>
              <w:bottom w:val="single" w:sz="8" w:color="E9E9E9"/>
            </w:tcBorders>
            <w:shd w:val="clear" w:color="auto" w:fill="E9E9E9"/>
          </w:tcPr>
          <w:p>
            <w:pPr>
              <w:spacing w:after="0"/>
              <w:rPr>
                <w:sz w:val="22"/>
                <w:szCs w:val="22"/>
                <w:color w:val="auto"/>
              </w:rPr>
            </w:pPr>
          </w:p>
        </w:tc>
        <w:tc>
          <w:tcPr>
            <w:tcW w:w="1080" w:type="dxa"/>
            <w:vAlign w:val="bottom"/>
            <w:tcBorders>
              <w:top w:val="single" w:sz="8" w:color="auto"/>
              <w:bottom w:val="single" w:sz="8" w:color="E9E9E9"/>
            </w:tcBorders>
            <w:shd w:val="clear" w:color="auto" w:fill="E9E9E9"/>
          </w:tcPr>
          <w:p>
            <w:pPr>
              <w:spacing w:after="0"/>
              <w:rPr>
                <w:sz w:val="22"/>
                <w:szCs w:val="22"/>
                <w:color w:val="auto"/>
              </w:rPr>
            </w:pPr>
          </w:p>
        </w:tc>
        <w:tc>
          <w:tcPr>
            <w:tcW w:w="80" w:type="dxa"/>
            <w:vAlign w:val="bottom"/>
            <w:tcBorders>
              <w:top w:val="single" w:sz="8" w:color="E9E9E9"/>
              <w:bottom w:val="single" w:sz="8" w:color="E9E9E9"/>
            </w:tcBorders>
            <w:shd w:val="clear" w:color="auto" w:fill="E9E9E9"/>
          </w:tcPr>
          <w:p>
            <w:pPr>
              <w:spacing w:after="0"/>
              <w:rPr>
                <w:sz w:val="22"/>
                <w:szCs w:val="22"/>
                <w:color w:val="auto"/>
              </w:rPr>
            </w:pPr>
          </w:p>
        </w:tc>
        <w:tc>
          <w:tcPr>
            <w:tcW w:w="240" w:type="dxa"/>
            <w:vAlign w:val="bottom"/>
            <w:tcBorders>
              <w:top w:val="single" w:sz="8" w:color="auto"/>
              <w:bottom w:val="single" w:sz="8" w:color="E9E9E9"/>
            </w:tcBorders>
            <w:shd w:val="clear" w:color="auto" w:fill="E9E9E9"/>
          </w:tcPr>
          <w:p>
            <w:pPr>
              <w:spacing w:after="0"/>
              <w:rPr>
                <w:sz w:val="22"/>
                <w:szCs w:val="22"/>
                <w:color w:val="auto"/>
              </w:rPr>
            </w:pPr>
          </w:p>
        </w:tc>
        <w:tc>
          <w:tcPr>
            <w:tcW w:w="1040" w:type="dxa"/>
            <w:vAlign w:val="bottom"/>
            <w:tcBorders>
              <w:top w:val="single" w:sz="8" w:color="auto"/>
              <w:bottom w:val="single" w:sz="8" w:color="E9E9E9"/>
            </w:tcBorders>
            <w:shd w:val="clear" w:color="auto" w:fill="E9E9E9"/>
          </w:tcPr>
          <w:p>
            <w:pPr>
              <w:spacing w:after="0"/>
              <w:rPr>
                <w:sz w:val="22"/>
                <w:szCs w:val="22"/>
                <w:color w:val="auto"/>
              </w:rPr>
            </w:pPr>
          </w:p>
        </w:tc>
        <w:tc>
          <w:tcPr>
            <w:tcW w:w="80" w:type="dxa"/>
            <w:vAlign w:val="bottom"/>
            <w:tcBorders>
              <w:top w:val="single" w:sz="8" w:color="E9E9E9"/>
              <w:bottom w:val="single" w:sz="8" w:color="E9E9E9"/>
            </w:tcBorders>
            <w:shd w:val="clear" w:color="auto" w:fill="E9E9E9"/>
          </w:tcPr>
          <w:p>
            <w:pPr>
              <w:spacing w:after="0"/>
              <w:rPr>
                <w:sz w:val="22"/>
                <w:szCs w:val="22"/>
                <w:color w:val="auto"/>
              </w:rPr>
            </w:pPr>
          </w:p>
        </w:tc>
        <w:tc>
          <w:tcPr>
            <w:tcW w:w="240" w:type="dxa"/>
            <w:vAlign w:val="bottom"/>
            <w:tcBorders>
              <w:top w:val="single" w:sz="8" w:color="auto"/>
              <w:bottom w:val="single" w:sz="8" w:color="E9E9E9"/>
            </w:tcBorders>
            <w:shd w:val="clear" w:color="auto" w:fill="E9E9E9"/>
          </w:tcPr>
          <w:p>
            <w:pPr>
              <w:spacing w:after="0"/>
              <w:rPr>
                <w:sz w:val="22"/>
                <w:szCs w:val="22"/>
                <w:color w:val="auto"/>
              </w:rPr>
            </w:pPr>
          </w:p>
        </w:tc>
        <w:tc>
          <w:tcPr>
            <w:tcW w:w="1040" w:type="dxa"/>
            <w:vAlign w:val="bottom"/>
            <w:tcBorders>
              <w:top w:val="single" w:sz="8" w:color="auto"/>
              <w:bottom w:val="single" w:sz="8" w:color="E9E9E9"/>
            </w:tcBorders>
            <w:shd w:val="clear" w:color="auto" w:fill="E9E9E9"/>
          </w:tcPr>
          <w:p>
            <w:pPr>
              <w:spacing w:after="0"/>
              <w:rPr>
                <w:sz w:val="22"/>
                <w:szCs w:val="22"/>
                <w:color w:val="auto"/>
              </w:rPr>
            </w:pPr>
          </w:p>
        </w:tc>
        <w:tc>
          <w:tcPr>
            <w:tcW w:w="60" w:type="dxa"/>
            <w:vAlign w:val="bottom"/>
            <w:tcBorders>
              <w:top w:val="single" w:sz="8" w:color="E9E9E9"/>
              <w:bottom w:val="single" w:sz="8" w:color="E9E9E9"/>
            </w:tcBorders>
            <w:shd w:val="clear" w:color="auto" w:fill="E9E9E9"/>
          </w:tcPr>
          <w:p>
            <w:pPr>
              <w:spacing w:after="0"/>
              <w:rPr>
                <w:sz w:val="22"/>
                <w:szCs w:val="22"/>
                <w:color w:val="auto"/>
              </w:rPr>
            </w:pPr>
          </w:p>
        </w:tc>
        <w:tc>
          <w:tcPr>
            <w:tcW w:w="260" w:type="dxa"/>
            <w:vAlign w:val="bottom"/>
            <w:tcBorders>
              <w:top w:val="single" w:sz="8" w:color="auto"/>
              <w:bottom w:val="single" w:sz="8" w:color="E9E9E9"/>
            </w:tcBorders>
            <w:shd w:val="clear" w:color="auto" w:fill="E9E9E9"/>
          </w:tcPr>
          <w:p>
            <w:pPr>
              <w:spacing w:after="0"/>
              <w:rPr>
                <w:sz w:val="22"/>
                <w:szCs w:val="22"/>
                <w:color w:val="auto"/>
              </w:rPr>
            </w:pPr>
          </w:p>
        </w:tc>
        <w:tc>
          <w:tcPr>
            <w:tcW w:w="1020" w:type="dxa"/>
            <w:vAlign w:val="bottom"/>
            <w:tcBorders>
              <w:top w:val="single" w:sz="8" w:color="auto"/>
              <w:bottom w:val="single" w:sz="8" w:color="E9E9E9"/>
            </w:tcBorders>
            <w:shd w:val="clear" w:color="auto" w:fill="E9E9E9"/>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3120" w:type="dxa"/>
            <w:vAlign w:val="bottom"/>
            <w:tcBorders>
              <w:bottom w:val="single" w:sz="8" w:color="E9E9E9"/>
            </w:tcBorders>
          </w:tcPr>
          <w:p>
            <w:pPr>
              <w:ind w:left="220"/>
              <w:spacing w:after="0"/>
              <w:rPr>
                <w:sz w:val="20"/>
                <w:szCs w:val="20"/>
                <w:color w:val="auto"/>
              </w:rPr>
            </w:pPr>
            <w:r>
              <w:rPr>
                <w:rFonts w:ascii="Times New Roman" w:cs="Times New Roman" w:eastAsia="Times New Roman" w:hAnsi="Times New Roman"/>
                <w:sz w:val="20"/>
                <w:szCs w:val="20"/>
                <w:color w:val="auto"/>
              </w:rPr>
              <w:t>Contingent consideration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9E9E9"/>
            </w:tcBorders>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9E9E9"/>
            </w:tcBorders>
          </w:tcPr>
          <w:p>
            <w:pPr>
              <w:spacing w:after="0"/>
              <w:rPr>
                <w:sz w:val="23"/>
                <w:szCs w:val="23"/>
                <w:color w:val="auto"/>
              </w:rPr>
            </w:pPr>
          </w:p>
        </w:tc>
        <w:tc>
          <w:tcPr>
            <w:tcW w:w="2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9E9E9"/>
            </w:tcBorders>
          </w:tcPr>
          <w:p>
            <w:pPr>
              <w:spacing w:after="0"/>
              <w:rPr>
                <w:sz w:val="23"/>
                <w:szCs w:val="23"/>
                <w:color w:val="auto"/>
              </w:rPr>
            </w:pPr>
          </w:p>
        </w:tc>
        <w:tc>
          <w:tcPr>
            <w:tcW w:w="2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9"/>
        </w:trPr>
        <w:tc>
          <w:tcPr>
            <w:tcW w:w="3120" w:type="dxa"/>
            <w:vAlign w:val="bottom"/>
            <w:tcBorders>
              <w:bottom w:val="single" w:sz="8" w:color="E9E9E9"/>
            </w:tcBorders>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Total liabilities</w:t>
            </w:r>
          </w:p>
        </w:tc>
        <w:tc>
          <w:tcPr>
            <w:tcW w:w="1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9E9E9"/>
            </w:tcBorders>
            <w:shd w:val="clear" w:color="auto" w:fill="E9E9E9"/>
          </w:tcPr>
          <w:p>
            <w:pPr>
              <w:spacing w:after="0"/>
              <w:rPr>
                <w:sz w:val="24"/>
                <w:szCs w:val="24"/>
                <w:color w:val="auto"/>
              </w:rPr>
            </w:pPr>
          </w:p>
        </w:tc>
        <w:tc>
          <w:tcPr>
            <w:tcW w:w="24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9E9E9"/>
            </w:tcBorders>
            <w:shd w:val="clear" w:color="auto" w:fill="E9E9E9"/>
          </w:tcPr>
          <w:p>
            <w:pPr>
              <w:spacing w:after="0"/>
              <w:rPr>
                <w:sz w:val="24"/>
                <w:szCs w:val="24"/>
                <w:color w:val="auto"/>
              </w:rPr>
            </w:pPr>
          </w:p>
        </w:tc>
        <w:tc>
          <w:tcPr>
            <w:tcW w:w="240" w:type="dxa"/>
            <w:vAlign w:val="bottom"/>
            <w:tcBorders>
              <w:bottom w:val="single" w:sz="8" w:color="auto"/>
            </w:tcBorders>
            <w:shd w:val="clear" w:color="auto" w:fill="E9E9E9"/>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shd w:val="clear" w:color="auto" w:fill="E9E9E9"/>
          </w:tcPr>
          <w:p>
            <w:pPr>
              <w:ind w:left="7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9E9E9"/>
            </w:tcBorders>
            <w:shd w:val="clear" w:color="auto" w:fill="E9E9E9"/>
          </w:tcPr>
          <w:p>
            <w:pPr>
              <w:spacing w:after="0"/>
              <w:rPr>
                <w:sz w:val="24"/>
                <w:szCs w:val="24"/>
                <w:color w:val="auto"/>
              </w:rPr>
            </w:pPr>
          </w:p>
        </w:tc>
        <w:tc>
          <w:tcPr>
            <w:tcW w:w="260" w:type="dxa"/>
            <w:vAlign w:val="bottom"/>
            <w:tcBorders>
              <w:bottom w:val="single" w:sz="8" w:color="auto"/>
            </w:tcBorders>
            <w:shd w:val="clear" w:color="auto" w:fill="E9E9E9"/>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shd w:val="clear" w:color="auto" w:fill="E9E9E9"/>
          </w:tcPr>
          <w:p>
            <w:pPr>
              <w:ind w:left="7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2647950</wp:posOffset>
            </wp:positionH>
            <wp:positionV relativeFrom="paragraph">
              <wp:posOffset>-593725</wp:posOffset>
            </wp:positionV>
            <wp:extent cx="3413760" cy="501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13760" cy="50165"/>
                    </a:xfrm>
                    <a:prstGeom prst="rect">
                      <a:avLst/>
                    </a:prstGeom>
                    <a:noFill/>
                  </pic:spPr>
                </pic:pic>
              </a:graphicData>
            </a:graphic>
          </wp:anchor>
        </w:drawing>
        <w:drawing>
          <wp:anchor simplePos="0" relativeHeight="251657728" behindDoc="1" locked="0" layoutInCell="0" allowOverlap="1">
            <wp:simplePos x="0" y="0"/>
            <wp:positionH relativeFrom="column">
              <wp:posOffset>2647950</wp:posOffset>
            </wp:positionH>
            <wp:positionV relativeFrom="paragraph">
              <wp:posOffset>-43180</wp:posOffset>
            </wp:positionV>
            <wp:extent cx="3413760" cy="501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13760" cy="50165"/>
                    </a:xfrm>
                    <a:prstGeom prst="rect">
                      <a:avLst/>
                    </a:prstGeom>
                    <a:noFill/>
                  </pic:spPr>
                </pic:pic>
              </a:graphicData>
            </a:graphic>
          </wp:anchor>
        </w:drawing>
      </w:r>
    </w:p>
    <w:p>
      <w:pPr>
        <w:spacing w:after="0" w:line="129" w:lineRule="exact"/>
        <w:rPr>
          <w:sz w:val="20"/>
          <w:szCs w:val="20"/>
          <w:color w:val="auto"/>
        </w:rPr>
      </w:pPr>
    </w:p>
    <w:tbl>
      <w:tblPr>
        <w:tblLayout w:type="fixed"/>
        <w:tblInd w:w="1120" w:type="dxa"/>
        <w:tblCellMar>
          <w:top w:w="0" w:type="dxa"/>
          <w:left w:w="0" w:type="dxa"/>
          <w:bottom w:w="0" w:type="dxa"/>
          <w:right w:w="0" w:type="dxa"/>
        </w:tblCellMar>
      </w:tblPr>
      <w:tr>
        <w:trPr>
          <w:trHeight w:val="262"/>
        </w:trPr>
        <w:tc>
          <w:tcPr>
            <w:tcW w:w="30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3"/>
          </w:tcPr>
          <w:p>
            <w:pPr>
              <w:jc w:val="right"/>
              <w:ind w:right="122"/>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3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304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180" w:type="dxa"/>
            <w:vAlign w:val="bottom"/>
          </w:tcPr>
          <w:p>
            <w:pPr>
              <w:spacing w:after="0"/>
              <w:rPr>
                <w:sz w:val="15"/>
                <w:szCs w:val="15"/>
                <w:color w:val="auto"/>
              </w:rPr>
            </w:pPr>
          </w:p>
        </w:tc>
        <w:tc>
          <w:tcPr>
            <w:tcW w:w="1100" w:type="dxa"/>
            <w:vAlign w:val="bottom"/>
          </w:tcPr>
          <w:p>
            <w:pPr>
              <w:jc w:val="right"/>
              <w:ind w:right="122"/>
              <w:spacing w:after="0" w:line="179" w:lineRule="exact"/>
              <w:rPr>
                <w:sz w:val="20"/>
                <w:szCs w:val="20"/>
                <w:color w:val="auto"/>
              </w:rPr>
            </w:pPr>
            <w:r>
              <w:rPr>
                <w:rFonts w:ascii="Times New Roman" w:cs="Times New Roman" w:eastAsia="Times New Roman" w:hAnsi="Times New Roman"/>
                <w:sz w:val="20"/>
                <w:szCs w:val="20"/>
                <w:b w:val="1"/>
                <w:bCs w:val="1"/>
                <w:color w:val="auto"/>
                <w:w w:val="98"/>
              </w:rPr>
              <w:t>Total Fair</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restart"/>
          </w:tcPr>
          <w:p>
            <w:pPr>
              <w:jc w:val="right"/>
              <w:ind w:right="242"/>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restart"/>
          </w:tcPr>
          <w:p>
            <w:pPr>
              <w:jc w:val="right"/>
              <w:ind w:right="222"/>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0" w:type="dxa"/>
            <w:vAlign w:val="bottom"/>
          </w:tcPr>
          <w:p>
            <w:pPr>
              <w:spacing w:after="0"/>
              <w:rPr>
                <w:sz w:val="1"/>
                <w:szCs w:val="1"/>
                <w:color w:val="auto"/>
              </w:rPr>
            </w:pPr>
          </w:p>
        </w:tc>
      </w:tr>
      <w:tr>
        <w:trPr>
          <w:trHeight w:val="258"/>
        </w:trPr>
        <w:tc>
          <w:tcPr>
            <w:tcW w:w="3040" w:type="dxa"/>
            <w:vAlign w:val="bottom"/>
            <w:tcBorders>
              <w:bottom w:val="single" w:sz="8" w:color="E9E9E9"/>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20"/>
                <w:szCs w:val="20"/>
                <w:b w:val="1"/>
                <w:bCs w:val="1"/>
                <w:color w:val="auto"/>
              </w:rPr>
              <w:t>Value</w:t>
            </w:r>
          </w:p>
        </w:tc>
        <w:tc>
          <w:tcPr>
            <w:tcW w:w="60" w:type="dxa"/>
            <w:vAlign w:val="bottom"/>
            <w:tcBorders>
              <w:bottom w:val="single" w:sz="8" w:color="E9E9E9"/>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9E9E9"/>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 w:type="dxa"/>
            <w:vAlign w:val="bottom"/>
            <w:tcBorders>
              <w:bottom w:val="single" w:sz="8" w:color="E9E9E9"/>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304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Assets:</w:t>
            </w:r>
          </w:p>
        </w:tc>
        <w:tc>
          <w:tcPr>
            <w:tcW w:w="180" w:type="dxa"/>
            <w:vAlign w:val="bottom"/>
            <w:shd w:val="clear" w:color="auto" w:fill="E9E9E9"/>
          </w:tcPr>
          <w:p>
            <w:pPr>
              <w:spacing w:after="0"/>
              <w:rPr>
                <w:sz w:val="23"/>
                <w:szCs w:val="23"/>
                <w:color w:val="auto"/>
              </w:rPr>
            </w:pPr>
          </w:p>
        </w:tc>
        <w:tc>
          <w:tcPr>
            <w:tcW w:w="1100" w:type="dxa"/>
            <w:vAlign w:val="bottom"/>
            <w:shd w:val="clear" w:color="auto" w:fill="E9E9E9"/>
          </w:tcPr>
          <w:p>
            <w:pPr>
              <w:spacing w:after="0"/>
              <w:rPr>
                <w:sz w:val="23"/>
                <w:szCs w:val="23"/>
                <w:color w:val="auto"/>
              </w:rPr>
            </w:pPr>
          </w:p>
        </w:tc>
        <w:tc>
          <w:tcPr>
            <w:tcW w:w="60" w:type="dxa"/>
            <w:vAlign w:val="bottom"/>
            <w:shd w:val="clear" w:color="auto" w:fill="E9E9E9"/>
          </w:tcPr>
          <w:p>
            <w:pPr>
              <w:spacing w:after="0"/>
              <w:rPr>
                <w:sz w:val="23"/>
                <w:szCs w:val="23"/>
                <w:color w:val="auto"/>
              </w:rPr>
            </w:pPr>
          </w:p>
        </w:tc>
        <w:tc>
          <w:tcPr>
            <w:tcW w:w="240" w:type="dxa"/>
            <w:vAlign w:val="bottom"/>
            <w:shd w:val="clear" w:color="auto" w:fill="E9E9E9"/>
          </w:tcPr>
          <w:p>
            <w:pPr>
              <w:spacing w:after="0"/>
              <w:rPr>
                <w:sz w:val="23"/>
                <w:szCs w:val="23"/>
                <w:color w:val="auto"/>
              </w:rPr>
            </w:pPr>
          </w:p>
        </w:tc>
        <w:tc>
          <w:tcPr>
            <w:tcW w:w="1040" w:type="dxa"/>
            <w:vAlign w:val="bottom"/>
            <w:shd w:val="clear" w:color="auto" w:fill="E9E9E9"/>
          </w:tcPr>
          <w:p>
            <w:pPr>
              <w:spacing w:after="0"/>
              <w:rPr>
                <w:sz w:val="23"/>
                <w:szCs w:val="23"/>
                <w:color w:val="auto"/>
              </w:rPr>
            </w:pPr>
          </w:p>
        </w:tc>
        <w:tc>
          <w:tcPr>
            <w:tcW w:w="80" w:type="dxa"/>
            <w:vAlign w:val="bottom"/>
            <w:shd w:val="clear" w:color="auto" w:fill="E9E9E9"/>
          </w:tcPr>
          <w:p>
            <w:pPr>
              <w:spacing w:after="0"/>
              <w:rPr>
                <w:sz w:val="23"/>
                <w:szCs w:val="23"/>
                <w:color w:val="auto"/>
              </w:rPr>
            </w:pPr>
          </w:p>
        </w:tc>
        <w:tc>
          <w:tcPr>
            <w:tcW w:w="980" w:type="dxa"/>
            <w:vAlign w:val="bottom"/>
            <w:shd w:val="clear" w:color="auto" w:fill="E9E9E9"/>
          </w:tcPr>
          <w:p>
            <w:pPr>
              <w:spacing w:after="0"/>
              <w:rPr>
                <w:sz w:val="23"/>
                <w:szCs w:val="23"/>
                <w:color w:val="auto"/>
              </w:rPr>
            </w:pPr>
          </w:p>
        </w:tc>
        <w:tc>
          <w:tcPr>
            <w:tcW w:w="300" w:type="dxa"/>
            <w:vAlign w:val="bottom"/>
            <w:shd w:val="clear" w:color="auto" w:fill="E9E9E9"/>
          </w:tcPr>
          <w:p>
            <w:pPr>
              <w:spacing w:after="0"/>
              <w:rPr>
                <w:sz w:val="23"/>
                <w:szCs w:val="23"/>
                <w:color w:val="auto"/>
              </w:rPr>
            </w:pPr>
          </w:p>
        </w:tc>
        <w:tc>
          <w:tcPr>
            <w:tcW w:w="80" w:type="dxa"/>
            <w:vAlign w:val="bottom"/>
            <w:shd w:val="clear" w:color="auto" w:fill="E9E9E9"/>
          </w:tcPr>
          <w:p>
            <w:pPr>
              <w:spacing w:after="0"/>
              <w:rPr>
                <w:sz w:val="23"/>
                <w:szCs w:val="23"/>
                <w:color w:val="auto"/>
              </w:rPr>
            </w:pPr>
          </w:p>
        </w:tc>
        <w:tc>
          <w:tcPr>
            <w:tcW w:w="240" w:type="dxa"/>
            <w:vAlign w:val="bottom"/>
            <w:shd w:val="clear" w:color="auto" w:fill="E9E9E9"/>
          </w:tcPr>
          <w:p>
            <w:pPr>
              <w:spacing w:after="0"/>
              <w:rPr>
                <w:sz w:val="23"/>
                <w:szCs w:val="23"/>
                <w:color w:val="auto"/>
              </w:rPr>
            </w:pPr>
          </w:p>
        </w:tc>
        <w:tc>
          <w:tcPr>
            <w:tcW w:w="1020" w:type="dxa"/>
            <w:vAlign w:val="bottom"/>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3040" w:type="dxa"/>
            <w:vAlign w:val="bottom"/>
            <w:tcBorders>
              <w:bottom w:val="single" w:sz="8" w:color="E9E9E9"/>
            </w:tcBorders>
          </w:tcPr>
          <w:p>
            <w:pPr>
              <w:ind w:left="220"/>
              <w:spacing w:after="0"/>
              <w:rPr>
                <w:sz w:val="20"/>
                <w:szCs w:val="20"/>
                <w:color w:val="auto"/>
              </w:rPr>
            </w:pPr>
            <w:r>
              <w:rPr>
                <w:rFonts w:ascii="Times New Roman" w:cs="Times New Roman" w:eastAsia="Times New Roman" w:hAnsi="Times New Roman"/>
                <w:sz w:val="20"/>
                <w:szCs w:val="20"/>
                <w:color w:val="auto"/>
              </w:rPr>
              <w:t>Money market funds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574,131</w:t>
            </w:r>
          </w:p>
        </w:tc>
        <w:tc>
          <w:tcPr>
            <w:tcW w:w="60" w:type="dxa"/>
            <w:vAlign w:val="bottom"/>
            <w:tcBorders>
              <w:bottom w:val="single" w:sz="8" w:color="E9E9E9"/>
            </w:tcBorders>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574,131</w:t>
            </w:r>
          </w:p>
        </w:tc>
        <w:tc>
          <w:tcPr>
            <w:tcW w:w="80" w:type="dxa"/>
            <w:vAlign w:val="bottom"/>
            <w:tcBorders>
              <w:bottom w:val="single" w:sz="8" w:color="E9E9E9"/>
            </w:tcBorders>
          </w:tcPr>
          <w:p>
            <w:pPr>
              <w:spacing w:after="0"/>
              <w:rPr>
                <w:sz w:val="23"/>
                <w:szCs w:val="23"/>
                <w:color w:val="auto"/>
              </w:rPr>
            </w:pPr>
          </w:p>
        </w:tc>
        <w:tc>
          <w:tcPr>
            <w:tcW w:w="980" w:type="dxa"/>
            <w:vAlign w:val="bottom"/>
            <w:tcBorders>
              <w:bottom w:val="single" w:sz="8" w:color="auto"/>
            </w:tcBorders>
          </w:tcPr>
          <w:p>
            <w:pPr>
              <w:jc w:val="right"/>
              <w:ind w:right="742"/>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9E9E9"/>
            </w:tcBorders>
          </w:tcPr>
          <w:p>
            <w:pPr>
              <w:spacing w:after="0"/>
              <w:rPr>
                <w:sz w:val="23"/>
                <w:szCs w:val="23"/>
                <w:color w:val="auto"/>
              </w:rPr>
            </w:pPr>
          </w:p>
        </w:tc>
        <w:tc>
          <w:tcPr>
            <w:tcW w:w="2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9"/>
        </w:trPr>
        <w:tc>
          <w:tcPr>
            <w:tcW w:w="304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Total assets</w:t>
            </w:r>
          </w:p>
        </w:tc>
        <w:tc>
          <w:tcPr>
            <w:tcW w:w="1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574,131</w:t>
            </w:r>
          </w:p>
        </w:tc>
        <w:tc>
          <w:tcPr>
            <w:tcW w:w="30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574,131</w:t>
            </w:r>
          </w:p>
        </w:tc>
        <w:tc>
          <w:tcPr>
            <w:tcW w:w="1060" w:type="dxa"/>
            <w:vAlign w:val="bottom"/>
            <w:gridSpan w:val="2"/>
            <w:shd w:val="clear" w:color="auto" w:fill="E9E9E9"/>
          </w:tcPr>
          <w:p>
            <w:pPr>
              <w:jc w:val="right"/>
              <w:ind w:right="742"/>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shd w:val="clear" w:color="auto" w:fill="E9E9E9"/>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shd w:val="clear" w:color="auto" w:fill="E9E9E9"/>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3040" w:type="dxa"/>
            <w:vAlign w:val="bottom"/>
            <w:tcBorders>
              <w:top w:val="single" w:sz="8" w:color="E9E9E9"/>
            </w:tcBorders>
          </w:tcPr>
          <w:p>
            <w:pPr>
              <w:ind w:left="40"/>
              <w:spacing w:after="0"/>
              <w:rPr>
                <w:sz w:val="20"/>
                <w:szCs w:val="20"/>
                <w:color w:val="auto"/>
              </w:rPr>
            </w:pPr>
            <w:r>
              <w:rPr>
                <w:rFonts w:ascii="Times New Roman" w:cs="Times New Roman" w:eastAsia="Times New Roman" w:hAnsi="Times New Roman"/>
                <w:sz w:val="20"/>
                <w:szCs w:val="20"/>
                <w:color w:val="auto"/>
              </w:rPr>
              <w:t>Liabilities:</w:t>
            </w:r>
          </w:p>
        </w:tc>
        <w:tc>
          <w:tcPr>
            <w:tcW w:w="1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60" w:type="dxa"/>
            <w:vAlign w:val="bottom"/>
            <w:tcBorders>
              <w:top w:val="single" w:sz="8" w:color="E9E9E9"/>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80" w:type="dxa"/>
            <w:vAlign w:val="bottom"/>
            <w:tcBorders>
              <w:top w:val="single" w:sz="8" w:color="E9E9E9"/>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0" w:type="dxa"/>
            <w:vAlign w:val="bottom"/>
            <w:tcBorders>
              <w:top w:val="single" w:sz="8" w:color="E9E9E9"/>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3040" w:type="dxa"/>
            <w:vAlign w:val="bottom"/>
            <w:tcBorders>
              <w:bottom w:val="single" w:sz="8" w:color="E9E9E9"/>
            </w:tcBorders>
            <w:shd w:val="clear" w:color="auto" w:fill="E9E9E9"/>
          </w:tcPr>
          <w:p>
            <w:pPr>
              <w:ind w:left="220"/>
              <w:spacing w:after="0"/>
              <w:rPr>
                <w:sz w:val="20"/>
                <w:szCs w:val="20"/>
                <w:color w:val="auto"/>
              </w:rPr>
            </w:pPr>
            <w:r>
              <w:rPr>
                <w:rFonts w:ascii="Times New Roman" w:cs="Times New Roman" w:eastAsia="Times New Roman" w:hAnsi="Times New Roman"/>
                <w:sz w:val="20"/>
                <w:szCs w:val="20"/>
                <w:color w:val="auto"/>
                <w:w w:val="99"/>
              </w:rPr>
              <w:t>Contingent consideration liabilities</w:t>
            </w:r>
          </w:p>
        </w:tc>
        <w:tc>
          <w:tcPr>
            <w:tcW w:w="1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2,700</w:t>
            </w:r>
          </w:p>
        </w:tc>
        <w:tc>
          <w:tcPr>
            <w:tcW w:w="60" w:type="dxa"/>
            <w:vAlign w:val="bottom"/>
            <w:tcBorders>
              <w:bottom w:val="single" w:sz="8" w:color="E9E9E9"/>
            </w:tcBorders>
            <w:shd w:val="clear" w:color="auto" w:fill="E9E9E9"/>
          </w:tcPr>
          <w:p>
            <w:pPr>
              <w:spacing w:after="0"/>
              <w:rPr>
                <w:sz w:val="24"/>
                <w:szCs w:val="24"/>
                <w:color w:val="auto"/>
              </w:rPr>
            </w:pPr>
          </w:p>
        </w:tc>
        <w:tc>
          <w:tcPr>
            <w:tcW w:w="24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9E9E9"/>
            </w:tcBorders>
            <w:shd w:val="clear" w:color="auto" w:fill="E9E9E9"/>
          </w:tcPr>
          <w:p>
            <w:pPr>
              <w:spacing w:after="0"/>
              <w:rPr>
                <w:sz w:val="24"/>
                <w:szCs w:val="24"/>
                <w:color w:val="auto"/>
              </w:rPr>
            </w:pPr>
          </w:p>
        </w:tc>
        <w:tc>
          <w:tcPr>
            <w:tcW w:w="980" w:type="dxa"/>
            <w:vAlign w:val="bottom"/>
            <w:tcBorders>
              <w:bottom w:val="single" w:sz="8" w:color="auto"/>
            </w:tcBorders>
            <w:shd w:val="clear" w:color="auto" w:fill="E9E9E9"/>
          </w:tcPr>
          <w:p>
            <w:pPr>
              <w:jc w:val="right"/>
              <w:ind w:right="742"/>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Borders>
              <w:bottom w:val="single" w:sz="8" w:color="auto"/>
            </w:tcBorders>
            <w:shd w:val="clear" w:color="auto" w:fill="E9E9E9"/>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9E9E9"/>
            </w:tcBorders>
            <w:shd w:val="clear" w:color="auto" w:fill="E9E9E9"/>
          </w:tcPr>
          <w:p>
            <w:pPr>
              <w:spacing w:after="0"/>
              <w:rPr>
                <w:sz w:val="24"/>
                <w:szCs w:val="24"/>
                <w:color w:val="auto"/>
              </w:rPr>
            </w:pPr>
          </w:p>
        </w:tc>
        <w:tc>
          <w:tcPr>
            <w:tcW w:w="240" w:type="dxa"/>
            <w:vAlign w:val="bottom"/>
            <w:tcBorders>
              <w:bottom w:val="single" w:sz="8" w:color="auto"/>
            </w:tcBorders>
            <w:shd w:val="clear" w:color="auto" w:fill="E9E9E9"/>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2,700</w:t>
            </w:r>
          </w:p>
        </w:tc>
        <w:tc>
          <w:tcPr>
            <w:tcW w:w="0" w:type="dxa"/>
            <w:vAlign w:val="bottom"/>
          </w:tcPr>
          <w:p>
            <w:pPr>
              <w:spacing w:after="0"/>
              <w:rPr>
                <w:sz w:val="1"/>
                <w:szCs w:val="1"/>
                <w:color w:val="auto"/>
              </w:rPr>
            </w:pPr>
          </w:p>
        </w:tc>
      </w:tr>
      <w:tr>
        <w:trPr>
          <w:trHeight w:val="221"/>
        </w:trPr>
        <w:tc>
          <w:tcPr>
            <w:tcW w:w="3040" w:type="dxa"/>
            <w:vAlign w:val="bottom"/>
          </w:tcPr>
          <w:p>
            <w:pPr>
              <w:ind w:left="40"/>
              <w:spacing w:after="0" w:line="221" w:lineRule="exact"/>
              <w:rPr>
                <w:sz w:val="20"/>
                <w:szCs w:val="20"/>
                <w:color w:val="auto"/>
              </w:rPr>
            </w:pPr>
            <w:r>
              <w:rPr>
                <w:rFonts w:ascii="Times New Roman" w:cs="Times New Roman" w:eastAsia="Times New Roman" w:hAnsi="Times New Roman"/>
                <w:sz w:val="20"/>
                <w:szCs w:val="20"/>
                <w:color w:val="auto"/>
              </w:rPr>
              <w:t>Total liabilities</w:t>
            </w:r>
          </w:p>
        </w:tc>
        <w:tc>
          <w:tcPr>
            <w:tcW w:w="1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2,700</w:t>
            </w:r>
          </w:p>
        </w:tc>
        <w:tc>
          <w:tcPr>
            <w:tcW w:w="30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742"/>
              <w:spacing w:after="0" w:line="221"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ind w:left="20"/>
              <w:spacing w:after="0" w:line="221" w:lineRule="exact"/>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2"/>
              <w:spacing w:after="0" w:line="221"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2,700</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2624455</wp:posOffset>
            </wp:positionH>
            <wp:positionV relativeFrom="paragraph">
              <wp:posOffset>-575310</wp:posOffset>
            </wp:positionV>
            <wp:extent cx="3413760" cy="501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13760" cy="50165"/>
                    </a:xfrm>
                    <a:prstGeom prst="rect">
                      <a:avLst/>
                    </a:prstGeom>
                    <a:noFill/>
                  </pic:spPr>
                </pic:pic>
              </a:graphicData>
            </a:graphic>
          </wp:anchor>
        </w:drawing>
        <w:drawing>
          <wp:anchor simplePos="0" relativeHeight="251657728" behindDoc="1" locked="0" layoutInCell="0" allowOverlap="1">
            <wp:simplePos x="0" y="0"/>
            <wp:positionH relativeFrom="column">
              <wp:posOffset>2624455</wp:posOffset>
            </wp:positionH>
            <wp:positionV relativeFrom="paragraph">
              <wp:posOffset>-43180</wp:posOffset>
            </wp:positionV>
            <wp:extent cx="3413760" cy="501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13760" cy="5016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During the years ended December 31, 2024 and 2023, there were no transfers into or out of Level 3.</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Perspective Therapeutics, Inc. Equity Securities</w:t>
      </w:r>
    </w:p>
    <w:p>
      <w:pPr>
        <w:sectPr>
          <w:pgSz w:w="11880" w:h="15480" w:orient="portrait"/>
          <w:cols w:equalWidth="0" w:num="1">
            <w:col w:w="10580"/>
          </w:cols>
          <w:pgMar w:left="640" w:top="615"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99</w:t>
      </w:r>
    </w:p>
    <w:p>
      <w:pPr>
        <w:sectPr>
          <w:pgSz w:w="11880" w:h="15480" w:orient="portrait"/>
          <w:cols w:equalWidth="0" w:num="1">
            <w:col w:w="10580"/>
          </w:cols>
          <w:pgMar w:left="640" w:top="615" w:right="660" w:bottom="0" w:gutter="0" w:footer="0" w:header="0"/>
          <w:type w:val="continuous"/>
        </w:sectPr>
      </w:pPr>
    </w:p>
    <w:bookmarkStart w:id="105" w:name="page106"/>
    <w:bookmarkEnd w:id="105"/>
    <w:p>
      <w:pPr>
        <w:ind w:right="20" w:firstLine="441"/>
        <w:spacing w:after="0" w:line="249" w:lineRule="auto"/>
        <w:rPr>
          <w:sz w:val="20"/>
          <w:szCs w:val="20"/>
          <w:color w:val="auto"/>
        </w:rPr>
      </w:pPr>
      <w:r>
        <w:rPr>
          <w:rFonts w:ascii="Times New Roman" w:cs="Times New Roman" w:eastAsia="Times New Roman" w:hAnsi="Times New Roman"/>
          <w:sz w:val="20"/>
          <w:szCs w:val="20"/>
          <w:color w:val="auto"/>
        </w:rPr>
        <w:t xml:space="preserve">At December 31, 2024, the Company held 11,677,339 shares of Perspective common stock (“Perspective Shares”). The Company accounts for its investment in Perspective Shares as an equity investment with a readily determinable fair value, as the securities are publicly traded on the New York Stock Exchange (“NYSE”). The fair value of the equity securities is based on the closing price of the Perspective Shares on the NYSE at the end of the fiscal period and is classified within Level 1 of the fair value hierarchy because the equity securities are valued using quoted market prices. The fair value of the Perspective Shares as of December 31, 2024 was approximately $37.3 million based on a closing market price of $3.19 per share on December 31, 2024, resulting in an unrealized loss of $41.0 million for the year ended December 31, 2024. See Note 21, </w:t>
      </w:r>
      <w:r>
        <w:rPr>
          <w:rFonts w:ascii="Times New Roman" w:cs="Times New Roman" w:eastAsia="Times New Roman" w:hAnsi="Times New Roman"/>
          <w:sz w:val="20"/>
          <w:szCs w:val="20"/>
          <w:i w:val="1"/>
          <w:iCs w:val="1"/>
          <w:color w:val="auto"/>
        </w:rPr>
        <w:t>“Acquisition of Assets”</w:t>
      </w:r>
      <w:r>
        <w:rPr>
          <w:rFonts w:ascii="Times New Roman" w:cs="Times New Roman" w:eastAsia="Times New Roman" w:hAnsi="Times New Roman"/>
          <w:sz w:val="20"/>
          <w:szCs w:val="20"/>
          <w:color w:val="auto"/>
        </w:rPr>
        <w:t xml:space="preserve"> to these consolidated financial statements for further discussion of the Perspective transaction.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Radiopharm Theranostics Limited Equity Securities</w:t>
      </w:r>
    </w:p>
    <w:p>
      <w:pPr>
        <w:spacing w:after="0" w:line="131" w:lineRule="exact"/>
        <w:rPr>
          <w:sz w:val="20"/>
          <w:szCs w:val="20"/>
          <w:color w:val="auto"/>
        </w:rPr>
      </w:pPr>
    </w:p>
    <w:p>
      <w:pPr>
        <w:ind w:right="20" w:firstLine="441"/>
        <w:spacing w:after="0" w:line="246" w:lineRule="auto"/>
        <w:rPr>
          <w:sz w:val="20"/>
          <w:szCs w:val="20"/>
          <w:color w:val="auto"/>
        </w:rPr>
      </w:pPr>
      <w:r>
        <w:rPr>
          <w:rFonts w:ascii="Times New Roman" w:cs="Times New Roman" w:eastAsia="Times New Roman" w:hAnsi="Times New Roman"/>
          <w:sz w:val="19"/>
          <w:szCs w:val="19"/>
          <w:color w:val="auto"/>
        </w:rPr>
        <w:t xml:space="preserve">At December 31, 2024, the Company held 149,625,180 shares of Radiopharm common stock (“Radiopharm Shares”). The Company accounts for its investment in Radiopharm Shares as an equity investment with a readily determinable fair value, as the securities are publicly traded on the Australian Stock Exchange (“ASX”). The fair value of the equity securities is based on the closing price of the Radiopharm Shares on the ASX at the end of the fiscal period and is classified within Level 1 of the fair value hierarchy because the equity securities are valued using quoted market prices. The fair value of the Radiopharm Shares as of December 31, 2024 was approximately $2.2 million based on the converted closing market price of approximately $0.01 per share on December 31, 2024, resulting in an unrealized loss on equity securities of $2.6 million for the year ended December 31, 2024. See Note 21, </w:t>
      </w:r>
      <w:r>
        <w:rPr>
          <w:rFonts w:ascii="Times New Roman" w:cs="Times New Roman" w:eastAsia="Times New Roman" w:hAnsi="Times New Roman"/>
          <w:sz w:val="19"/>
          <w:szCs w:val="19"/>
          <w:i w:val="1"/>
          <w:iCs w:val="1"/>
          <w:color w:val="auto"/>
        </w:rPr>
        <w:t>“Acquisition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Assets” </w:t>
      </w:r>
      <w:r>
        <w:rPr>
          <w:rFonts w:ascii="Times New Roman" w:cs="Times New Roman" w:eastAsia="Times New Roman" w:hAnsi="Times New Roman"/>
          <w:sz w:val="19"/>
          <w:szCs w:val="19"/>
          <w:color w:val="auto"/>
        </w:rPr>
        <w:t>to these consolidated financial statements for further discussion of the Radiopharm transaction.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Contingent Consideration</w:t>
      </w:r>
    </w:p>
    <w:p>
      <w:pPr>
        <w:spacing w:after="0" w:line="115" w:lineRule="exact"/>
        <w:rPr>
          <w:sz w:val="20"/>
          <w:szCs w:val="20"/>
          <w:color w:val="auto"/>
        </w:rPr>
      </w:pPr>
    </w:p>
    <w:p>
      <w:pPr>
        <w:ind w:firstLine="441"/>
        <w:spacing w:after="0" w:line="232" w:lineRule="auto"/>
        <w:rPr>
          <w:sz w:val="20"/>
          <w:szCs w:val="20"/>
          <w:color w:val="auto"/>
        </w:rPr>
      </w:pPr>
      <w:r>
        <w:rPr>
          <w:rFonts w:ascii="Times New Roman" w:cs="Times New Roman" w:eastAsia="Times New Roman" w:hAnsi="Times New Roman"/>
          <w:sz w:val="20"/>
          <w:szCs w:val="20"/>
          <w:color w:val="auto"/>
        </w:rPr>
        <w:t>The Company assumed contingent consideration liabilities related to a previous acquisition completed by Progenics in 2013 (“2013 Acquisition”). These contingent consideration liabilities include potential payments of up to $70.0 million if the Company attains certain net sales targets primarily for AZEDRA and 1095 (also known as 131 I-MIP-1095) and a $5.0 million 1095 commercialization milestone. Additionally, there is a potential payment of up to $10.0 million for a commercialization milestone related to a prostate cancer product candidate the Company refers to as “1404” that was out-licensed to ROTOP Pharmaka GmbH. The Company’s total potential payments related to the 2013 Acquisition are approximately $85.0 million. The Company considers the contingent consideration liabilities relating to the 2013 Acquisition each a Level 3 instrument (one with significant unobservable inputs) in the fair value hierarchy. The estimated fair value of these was determined based on probability adjusted discounted cash flows and Monte Carlo simulation models that included significant estimates and assumptions pertaining to commercialization events and sales targets. The most significant unobservable inputs with respect to 1095 and 1404 are the probabilities of achieving regulatory approval of those development projects and subsequent commercial success.</w:t>
      </w:r>
    </w:p>
    <w:p>
      <w:pPr>
        <w:spacing w:after="0" w:line="204" w:lineRule="exact"/>
        <w:rPr>
          <w:sz w:val="20"/>
          <w:szCs w:val="20"/>
          <w:color w:val="auto"/>
        </w:rPr>
      </w:pPr>
    </w:p>
    <w:p>
      <w:pPr>
        <w:ind w:firstLine="441"/>
        <w:spacing w:after="0" w:line="250" w:lineRule="auto"/>
        <w:rPr>
          <w:sz w:val="20"/>
          <w:szCs w:val="20"/>
          <w:color w:val="auto"/>
        </w:rPr>
      </w:pPr>
      <w:r>
        <w:rPr>
          <w:rFonts w:ascii="Times New Roman" w:cs="Times New Roman" w:eastAsia="Times New Roman" w:hAnsi="Times New Roman"/>
          <w:sz w:val="20"/>
          <w:szCs w:val="20"/>
          <w:color w:val="auto"/>
        </w:rPr>
        <w:t>Significant changes in any of the probabilities of success, the probabilities as to the periods in which sales targets and milestones will be achieved, discount rates or underlying revenue forecasts would result in a significantly higher or lower fair value measurement. The Company records the contingent consideration liability at fair value with changes in estimated fair values recorded in general and administrative expenses in the consolidated statements of operations. The Company can give no assurance that the actual amounts paid, if any, in connection with the contingent consideration liabilities will be consistent with any recurring fair value estimate of such contingent consideration liabilities.</w:t>
      </w:r>
    </w:p>
    <w:p>
      <w:pPr>
        <w:spacing w:after="0" w:line="209" w:lineRule="exact"/>
        <w:rPr>
          <w:sz w:val="20"/>
          <w:szCs w:val="20"/>
          <w:color w:val="auto"/>
        </w:rPr>
      </w:pPr>
    </w:p>
    <w:p>
      <w:pPr>
        <w:ind w:right="100" w:firstLine="441"/>
        <w:spacing w:after="0" w:line="271" w:lineRule="auto"/>
        <w:rPr>
          <w:sz w:val="20"/>
          <w:szCs w:val="20"/>
          <w:color w:val="auto"/>
        </w:rPr>
      </w:pPr>
      <w:r>
        <w:rPr>
          <w:rFonts w:ascii="Times New Roman" w:cs="Times New Roman" w:eastAsia="Times New Roman" w:hAnsi="Times New Roman"/>
          <w:sz w:val="20"/>
          <w:szCs w:val="20"/>
          <w:color w:val="auto"/>
        </w:rPr>
        <w:t>The following tables summarize quantitative information and assumptions pertaining to the fair value measurement of liabilities using Level 3 inputs as of December 31, 2024 and 2023.</w:t>
      </w:r>
    </w:p>
    <w:p>
      <w:pPr>
        <w:sectPr>
          <w:pgSz w:w="11880" w:h="15480" w:orient="portrait"/>
          <w:cols w:equalWidth="0" w:num="1">
            <w:col w:w="10580"/>
          </w:cols>
          <w:pgMar w:left="640" w:top="622"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100</w:t>
      </w:r>
    </w:p>
    <w:p>
      <w:pPr>
        <w:sectPr>
          <w:pgSz w:w="11880" w:h="15480" w:orient="portrait"/>
          <w:cols w:equalWidth="0" w:num="1">
            <w:col w:w="10580"/>
          </w:cols>
          <w:pgMar w:left="640" w:top="622" w:right="660" w:bottom="0" w:gutter="0" w:footer="0" w:header="0"/>
          <w:type w:val="continuous"/>
        </w:sectPr>
      </w:pPr>
    </w:p>
    <w:bookmarkStart w:id="106" w:name="page107"/>
    <w:bookmarkEnd w:id="106"/>
    <w:tbl>
      <w:tblPr>
        <w:tblLayout w:type="fixed"/>
        <w:tblInd w:w="120" w:type="dxa"/>
        <w:tblCellMar>
          <w:top w:w="0" w:type="dxa"/>
          <w:left w:w="0" w:type="dxa"/>
          <w:bottom w:w="0" w:type="dxa"/>
          <w:right w:w="0" w:type="dxa"/>
        </w:tblCellMar>
      </w:tblPr>
      <w:tr>
        <w:trPr>
          <w:trHeight w:val="262"/>
        </w:trPr>
        <w:tc>
          <w:tcPr>
            <w:tcW w:w="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4"/>
          </w:tcPr>
          <w:p>
            <w:pPr>
              <w:jc w:val="right"/>
              <w:ind w:right="502"/>
              <w:spacing w:after="0"/>
              <w:rPr>
                <w:sz w:val="20"/>
                <w:szCs w:val="20"/>
                <w:color w:val="auto"/>
              </w:rPr>
            </w:pPr>
            <w:r>
              <w:rPr>
                <w:rFonts w:ascii="Times New Roman" w:cs="Times New Roman" w:eastAsia="Times New Roman" w:hAnsi="Times New Roman"/>
                <w:sz w:val="20"/>
                <w:szCs w:val="20"/>
                <w:b w:val="1"/>
                <w:bCs w:val="1"/>
                <w:color w:val="auto"/>
              </w:rPr>
              <w:t>Fair Value as of</w:t>
            </w:r>
          </w:p>
        </w:tc>
        <w:tc>
          <w:tcPr>
            <w:tcW w:w="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40" w:type="dxa"/>
            <w:vAlign w:val="bottom"/>
            <w:tcBorders>
              <w:bottom w:val="single" w:sz="8" w:color="auto"/>
            </w:tcBorders>
            <w:gridSpan w:val="3"/>
          </w:tcPr>
          <w:p>
            <w:pPr>
              <w:jc w:val="right"/>
              <w:ind w:right="582"/>
              <w:spacing w:after="0"/>
              <w:rPr>
                <w:sz w:val="20"/>
                <w:szCs w:val="20"/>
                <w:color w:val="auto"/>
              </w:rPr>
            </w:pPr>
            <w:r>
              <w:rPr>
                <w:rFonts w:ascii="Times New Roman" w:cs="Times New Roman" w:eastAsia="Times New Roman" w:hAnsi="Times New Roman"/>
                <w:sz w:val="20"/>
                <w:szCs w:val="20"/>
                <w:b w:val="1"/>
                <w:bCs w:val="1"/>
                <w:color w:val="auto"/>
              </w:rPr>
              <w:t>Assumptions</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180" w:type="dxa"/>
            <w:vAlign w:val="bottom"/>
          </w:tcPr>
          <w:p>
            <w:pPr>
              <w:spacing w:after="0"/>
              <w:rPr>
                <w:sz w:val="18"/>
                <w:szCs w:val="18"/>
                <w:color w:val="auto"/>
              </w:rPr>
            </w:pPr>
          </w:p>
        </w:tc>
        <w:tc>
          <w:tcPr>
            <w:tcW w:w="1040" w:type="dxa"/>
            <w:vAlign w:val="bottom"/>
          </w:tcPr>
          <w:p>
            <w:pPr>
              <w:jc w:val="center"/>
              <w:ind w:right="62"/>
              <w:spacing w:after="0" w:line="207" w:lineRule="exact"/>
              <w:rPr>
                <w:sz w:val="20"/>
                <w:szCs w:val="20"/>
                <w:color w:val="auto"/>
              </w:rPr>
            </w:pPr>
            <w:r>
              <w:rPr>
                <w:rFonts w:ascii="Times New Roman" w:cs="Times New Roman" w:eastAsia="Times New Roman" w:hAnsi="Times New Roman"/>
                <w:sz w:val="20"/>
                <w:szCs w:val="20"/>
                <w:b w:val="1"/>
                <w:bCs w:val="1"/>
                <w:color w:val="auto"/>
                <w:w w:val="96"/>
              </w:rPr>
              <w:t>December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82"/>
              <w:spacing w:after="0" w:line="207" w:lineRule="exact"/>
              <w:rPr>
                <w:sz w:val="20"/>
                <w:szCs w:val="20"/>
                <w:color w:val="auto"/>
              </w:rPr>
            </w:pPr>
            <w:r>
              <w:rPr>
                <w:rFonts w:ascii="Times New Roman" w:cs="Times New Roman" w:eastAsia="Times New Roman" w:hAnsi="Times New Roman"/>
                <w:sz w:val="20"/>
                <w:szCs w:val="20"/>
                <w:b w:val="1"/>
                <w:bCs w:val="1"/>
                <w:color w:val="auto"/>
                <w:w w:val="99"/>
              </w:rPr>
              <w:t>December</w:t>
            </w:r>
          </w:p>
        </w:tc>
        <w:tc>
          <w:tcPr>
            <w:tcW w:w="80" w:type="dxa"/>
            <w:vAlign w:val="bottom"/>
          </w:tcPr>
          <w:p>
            <w:pPr>
              <w:spacing w:after="0"/>
              <w:rPr>
                <w:sz w:val="18"/>
                <w:szCs w:val="18"/>
                <w:color w:val="auto"/>
              </w:rPr>
            </w:pPr>
          </w:p>
        </w:tc>
        <w:tc>
          <w:tcPr>
            <w:tcW w:w="1620" w:type="dxa"/>
            <w:vAlign w:val="bottom"/>
          </w:tcPr>
          <w:p>
            <w:pPr>
              <w:ind w:left="400"/>
              <w:spacing w:after="0" w:line="207" w:lineRule="exact"/>
              <w:rPr>
                <w:sz w:val="20"/>
                <w:szCs w:val="20"/>
                <w:color w:val="auto"/>
              </w:rPr>
            </w:pPr>
            <w:r>
              <w:rPr>
                <w:rFonts w:ascii="Times New Roman" w:cs="Times New Roman" w:eastAsia="Times New Roman" w:hAnsi="Times New Roman"/>
                <w:sz w:val="20"/>
                <w:szCs w:val="20"/>
                <w:b w:val="1"/>
                <w:bCs w:val="1"/>
                <w:color w:val="auto"/>
              </w:rPr>
              <w:t>Valuation</w:t>
            </w:r>
          </w:p>
        </w:tc>
        <w:tc>
          <w:tcPr>
            <w:tcW w:w="80" w:type="dxa"/>
            <w:vAlign w:val="bottom"/>
          </w:tcPr>
          <w:p>
            <w:pPr>
              <w:spacing w:after="0"/>
              <w:rPr>
                <w:sz w:val="18"/>
                <w:szCs w:val="18"/>
                <w:color w:val="auto"/>
              </w:rPr>
            </w:pPr>
          </w:p>
        </w:tc>
        <w:tc>
          <w:tcPr>
            <w:tcW w:w="1620" w:type="dxa"/>
            <w:vAlign w:val="bottom"/>
            <w:gridSpan w:val="2"/>
          </w:tcPr>
          <w:p>
            <w:pPr>
              <w:ind w:left="200"/>
              <w:spacing w:after="0" w:line="207" w:lineRule="exact"/>
              <w:rPr>
                <w:sz w:val="20"/>
                <w:szCs w:val="20"/>
                <w:color w:val="auto"/>
              </w:rPr>
            </w:pPr>
            <w:r>
              <w:rPr>
                <w:rFonts w:ascii="Times New Roman" w:cs="Times New Roman" w:eastAsia="Times New Roman" w:hAnsi="Times New Roman"/>
                <w:sz w:val="20"/>
                <w:szCs w:val="20"/>
                <w:b w:val="1"/>
                <w:bCs w:val="1"/>
                <w:color w:val="auto"/>
              </w:rPr>
              <w:t>Unobservable</w:t>
            </w:r>
          </w:p>
        </w:tc>
        <w:tc>
          <w:tcPr>
            <w:tcW w:w="1180" w:type="dxa"/>
            <w:vAlign w:val="bottom"/>
          </w:tcPr>
          <w:p>
            <w:pPr>
              <w:jc w:val="center"/>
              <w:spacing w:after="0" w:line="207" w:lineRule="exact"/>
              <w:rPr>
                <w:sz w:val="20"/>
                <w:szCs w:val="20"/>
                <w:color w:val="auto"/>
              </w:rPr>
            </w:pPr>
            <w:r>
              <w:rPr>
                <w:rFonts w:ascii="Times New Roman" w:cs="Times New Roman" w:eastAsia="Times New Roman" w:hAnsi="Times New Roman"/>
                <w:sz w:val="20"/>
                <w:szCs w:val="20"/>
                <w:b w:val="1"/>
                <w:bCs w:val="1"/>
                <w:color w:val="auto"/>
                <w:w w:val="96"/>
              </w:rPr>
              <w:t>December</w:t>
            </w:r>
          </w:p>
        </w:tc>
        <w:tc>
          <w:tcPr>
            <w:tcW w:w="60" w:type="dxa"/>
            <w:vAlign w:val="bottom"/>
          </w:tcPr>
          <w:p>
            <w:pPr>
              <w:spacing w:after="0"/>
              <w:rPr>
                <w:sz w:val="18"/>
                <w:szCs w:val="18"/>
                <w:color w:val="auto"/>
              </w:rPr>
            </w:pPr>
          </w:p>
        </w:tc>
        <w:tc>
          <w:tcPr>
            <w:tcW w:w="1200" w:type="dxa"/>
            <w:vAlign w:val="bottom"/>
          </w:tcPr>
          <w:p>
            <w:pPr>
              <w:jc w:val="right"/>
              <w:ind w:right="82"/>
              <w:spacing w:after="0" w:line="207" w:lineRule="exact"/>
              <w:rPr>
                <w:sz w:val="20"/>
                <w:szCs w:val="20"/>
                <w:color w:val="auto"/>
              </w:rPr>
            </w:pPr>
            <w:r>
              <w:rPr>
                <w:rFonts w:ascii="Times New Roman" w:cs="Times New Roman" w:eastAsia="Times New Roman" w:hAnsi="Times New Roman"/>
                <w:sz w:val="20"/>
                <w:szCs w:val="20"/>
                <w:b w:val="1"/>
                <w:bCs w:val="1"/>
                <w:color w:val="auto"/>
              </w:rPr>
              <w:t>December</w:t>
            </w: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1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62"/>
              <w:spacing w:after="0" w:line="212" w:lineRule="exact"/>
              <w:rPr>
                <w:sz w:val="20"/>
                <w:szCs w:val="20"/>
                <w:color w:val="auto"/>
              </w:rPr>
            </w:pPr>
            <w:r>
              <w:rPr>
                <w:rFonts w:ascii="Times New Roman" w:cs="Times New Roman" w:eastAsia="Times New Roman" w:hAnsi="Times New Roman"/>
                <w:sz w:val="20"/>
                <w:szCs w:val="20"/>
                <w:b w:val="1"/>
                <w:bCs w:val="1"/>
                <w:color w:val="auto"/>
              </w:rPr>
              <w:t>31, 2024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62"/>
              <w:spacing w:after="0" w:line="212" w:lineRule="exact"/>
              <w:rPr>
                <w:sz w:val="20"/>
                <w:szCs w:val="20"/>
                <w:color w:val="auto"/>
              </w:rPr>
            </w:pPr>
            <w:r>
              <w:rPr>
                <w:rFonts w:ascii="Times New Roman" w:cs="Times New Roman" w:eastAsia="Times New Roman" w:hAnsi="Times New Roman"/>
                <w:sz w:val="20"/>
                <w:szCs w:val="20"/>
                <w:b w:val="1"/>
                <w:bCs w:val="1"/>
                <w:color w:val="auto"/>
              </w:rPr>
              <w:t>31, 2023</w:t>
            </w:r>
          </w:p>
        </w:tc>
        <w:tc>
          <w:tcPr>
            <w:tcW w:w="80" w:type="dxa"/>
            <w:vAlign w:val="bottom"/>
          </w:tcPr>
          <w:p>
            <w:pPr>
              <w:spacing w:after="0"/>
              <w:rPr>
                <w:sz w:val="18"/>
                <w:szCs w:val="18"/>
                <w:color w:val="auto"/>
              </w:rPr>
            </w:pPr>
          </w:p>
        </w:tc>
        <w:tc>
          <w:tcPr>
            <w:tcW w:w="1620" w:type="dxa"/>
            <w:vAlign w:val="bottom"/>
          </w:tcPr>
          <w:p>
            <w:pPr>
              <w:ind w:left="360"/>
              <w:spacing w:after="0" w:line="212" w:lineRule="exact"/>
              <w:rPr>
                <w:sz w:val="20"/>
                <w:szCs w:val="20"/>
                <w:color w:val="auto"/>
              </w:rPr>
            </w:pPr>
            <w:r>
              <w:rPr>
                <w:rFonts w:ascii="Times New Roman" w:cs="Times New Roman" w:eastAsia="Times New Roman" w:hAnsi="Times New Roman"/>
                <w:sz w:val="20"/>
                <w:szCs w:val="20"/>
                <w:b w:val="1"/>
                <w:bCs w:val="1"/>
                <w:color w:val="auto"/>
              </w:rPr>
              <w:t>Technique</w:t>
            </w:r>
          </w:p>
        </w:tc>
        <w:tc>
          <w:tcPr>
            <w:tcW w:w="80" w:type="dxa"/>
            <w:vAlign w:val="bottom"/>
          </w:tcPr>
          <w:p>
            <w:pPr>
              <w:spacing w:after="0"/>
              <w:rPr>
                <w:sz w:val="18"/>
                <w:szCs w:val="18"/>
                <w:color w:val="auto"/>
              </w:rPr>
            </w:pPr>
          </w:p>
        </w:tc>
        <w:tc>
          <w:tcPr>
            <w:tcW w:w="1620" w:type="dxa"/>
            <w:vAlign w:val="bottom"/>
            <w:gridSpan w:val="2"/>
          </w:tcPr>
          <w:p>
            <w:pPr>
              <w:ind w:left="540"/>
              <w:spacing w:after="0" w:line="212" w:lineRule="exact"/>
              <w:rPr>
                <w:sz w:val="20"/>
                <w:szCs w:val="20"/>
                <w:color w:val="auto"/>
              </w:rPr>
            </w:pPr>
            <w:r>
              <w:rPr>
                <w:rFonts w:ascii="Times New Roman" w:cs="Times New Roman" w:eastAsia="Times New Roman" w:hAnsi="Times New Roman"/>
                <w:sz w:val="20"/>
                <w:szCs w:val="20"/>
                <w:b w:val="1"/>
                <w:bCs w:val="1"/>
                <w:color w:val="auto"/>
              </w:rPr>
              <w:t>Input</w:t>
            </w:r>
          </w:p>
        </w:tc>
        <w:tc>
          <w:tcPr>
            <w:tcW w:w="1180" w:type="dxa"/>
            <w:vAlign w:val="bottom"/>
          </w:tcPr>
          <w:p>
            <w:pPr>
              <w:jc w:val="center"/>
              <w:spacing w:after="0" w:line="212" w:lineRule="exact"/>
              <w:rPr>
                <w:sz w:val="20"/>
                <w:szCs w:val="20"/>
                <w:color w:val="auto"/>
              </w:rPr>
            </w:pPr>
            <w:r>
              <w:rPr>
                <w:rFonts w:ascii="Times New Roman" w:cs="Times New Roman" w:eastAsia="Times New Roman" w:hAnsi="Times New Roman"/>
                <w:sz w:val="20"/>
                <w:szCs w:val="20"/>
                <w:b w:val="1"/>
                <w:bCs w:val="1"/>
                <w:color w:val="auto"/>
                <w:w w:val="97"/>
              </w:rPr>
              <w:t>31, 2024</w:t>
            </w:r>
          </w:p>
        </w:tc>
        <w:tc>
          <w:tcPr>
            <w:tcW w:w="1260" w:type="dxa"/>
            <w:vAlign w:val="bottom"/>
            <w:gridSpan w:val="2"/>
          </w:tcPr>
          <w:p>
            <w:pPr>
              <w:jc w:val="right"/>
              <w:ind w:right="162"/>
              <w:spacing w:after="0" w:line="212" w:lineRule="exact"/>
              <w:rPr>
                <w:sz w:val="20"/>
                <w:szCs w:val="20"/>
                <w:color w:val="auto"/>
              </w:rPr>
            </w:pPr>
            <w:r>
              <w:rPr>
                <w:rFonts w:ascii="Times New Roman" w:cs="Times New Roman" w:eastAsia="Times New Roman" w:hAnsi="Times New Roman"/>
                <w:sz w:val="20"/>
                <w:szCs w:val="20"/>
                <w:b w:val="1"/>
                <w:bCs w:val="1"/>
                <w:color w:val="auto"/>
              </w:rPr>
              <w:t>31, 2023</w:t>
            </w:r>
          </w:p>
        </w:tc>
        <w:tc>
          <w:tcPr>
            <w:tcW w:w="0" w:type="dxa"/>
            <w:vAlign w:val="bottom"/>
          </w:tcPr>
          <w:p>
            <w:pPr>
              <w:spacing w:after="0"/>
              <w:rPr>
                <w:sz w:val="1"/>
                <w:szCs w:val="1"/>
                <w:color w:val="auto"/>
              </w:rPr>
            </w:pPr>
          </w:p>
        </w:tc>
      </w:tr>
      <w:tr>
        <w:trPr>
          <w:trHeight w:val="25"/>
        </w:trPr>
        <w:tc>
          <w:tcPr>
            <w:tcW w:w="60" w:type="dxa"/>
            <w:vAlign w:val="bottom"/>
          </w:tcPr>
          <w:p>
            <w:pPr>
              <w:spacing w:after="0"/>
              <w:rPr>
                <w:sz w:val="2"/>
                <w:szCs w:val="2"/>
                <w:color w:val="auto"/>
              </w:rPr>
            </w:pPr>
          </w:p>
        </w:tc>
        <w:tc>
          <w:tcPr>
            <w:tcW w:w="118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20"/>
                <w:szCs w:val="20"/>
                <w:b w:val="1"/>
                <w:bCs w:val="1"/>
                <w:color w:val="auto"/>
              </w:rPr>
              <w:t>Contingent</w:t>
            </w:r>
          </w:p>
        </w:tc>
        <w:tc>
          <w:tcPr>
            <w:tcW w:w="76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w w:val="99"/>
              </w:rPr>
              <w:t>consideration liability:</w:t>
            </w: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1240" w:type="dxa"/>
            <w:vAlign w:val="bottom"/>
            <w:gridSpan w:val="2"/>
            <w:shd w:val="clear" w:color="auto" w:fill="E9E9E9"/>
          </w:tcPr>
          <w:p>
            <w:pPr>
              <w:ind w:left="60"/>
              <w:spacing w:after="0" w:line="213" w:lineRule="exact"/>
              <w:rPr>
                <w:sz w:val="20"/>
                <w:szCs w:val="20"/>
                <w:color w:val="auto"/>
              </w:rPr>
            </w:pPr>
            <w:r>
              <w:rPr>
                <w:rFonts w:ascii="Times New Roman" w:cs="Times New Roman" w:eastAsia="Times New Roman" w:hAnsi="Times New Roman"/>
                <w:sz w:val="20"/>
                <w:szCs w:val="20"/>
                <w:color w:val="auto"/>
              </w:rPr>
              <w:t>1095</w:t>
            </w:r>
          </w:p>
        </w:tc>
        <w:tc>
          <w:tcPr>
            <w:tcW w:w="760" w:type="dxa"/>
            <w:vAlign w:val="bottom"/>
            <w:shd w:val="clear" w:color="auto" w:fill="E9E9E9"/>
          </w:tcPr>
          <w:p>
            <w:pPr>
              <w:spacing w:after="0"/>
              <w:rPr>
                <w:sz w:val="18"/>
                <w:szCs w:val="18"/>
                <w:color w:val="auto"/>
              </w:rPr>
            </w:pPr>
          </w:p>
        </w:tc>
        <w:tc>
          <w:tcPr>
            <w:tcW w:w="180" w:type="dxa"/>
            <w:vAlign w:val="bottom"/>
            <w:shd w:val="clear" w:color="auto" w:fill="E9E9E9"/>
          </w:tcPr>
          <w:p>
            <w:pPr>
              <w:spacing w:after="0"/>
              <w:rPr>
                <w:sz w:val="18"/>
                <w:szCs w:val="18"/>
                <w:color w:val="auto"/>
              </w:rPr>
            </w:pPr>
          </w:p>
        </w:tc>
        <w:tc>
          <w:tcPr>
            <w:tcW w:w="104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c>
          <w:tcPr>
            <w:tcW w:w="160" w:type="dxa"/>
            <w:vAlign w:val="bottom"/>
            <w:shd w:val="clear" w:color="auto" w:fill="E9E9E9"/>
          </w:tcPr>
          <w:p>
            <w:pPr>
              <w:spacing w:after="0"/>
              <w:rPr>
                <w:sz w:val="18"/>
                <w:szCs w:val="18"/>
                <w:color w:val="auto"/>
              </w:rPr>
            </w:pPr>
          </w:p>
        </w:tc>
        <w:tc>
          <w:tcPr>
            <w:tcW w:w="106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c>
          <w:tcPr>
            <w:tcW w:w="1620" w:type="dxa"/>
            <w:vAlign w:val="bottom"/>
            <w:shd w:val="clear" w:color="auto" w:fill="E9E9E9"/>
          </w:tcPr>
          <w:p>
            <w:pPr>
              <w:ind w:left="40"/>
              <w:spacing w:after="0" w:line="213" w:lineRule="exact"/>
              <w:rPr>
                <w:sz w:val="20"/>
                <w:szCs w:val="20"/>
                <w:color w:val="auto"/>
              </w:rPr>
            </w:pPr>
            <w:r>
              <w:rPr>
                <w:rFonts w:ascii="Times New Roman" w:cs="Times New Roman" w:eastAsia="Times New Roman" w:hAnsi="Times New Roman"/>
                <w:sz w:val="20"/>
                <w:szCs w:val="20"/>
                <w:color w:val="auto"/>
              </w:rPr>
              <w:t>Probability</w:t>
            </w:r>
          </w:p>
        </w:tc>
        <w:tc>
          <w:tcPr>
            <w:tcW w:w="80" w:type="dxa"/>
            <w:vAlign w:val="bottom"/>
            <w:shd w:val="clear" w:color="auto" w:fill="E9E9E9"/>
          </w:tcPr>
          <w:p>
            <w:pPr>
              <w:spacing w:after="0"/>
              <w:rPr>
                <w:sz w:val="18"/>
                <w:szCs w:val="18"/>
                <w:color w:val="auto"/>
              </w:rPr>
            </w:pPr>
          </w:p>
        </w:tc>
        <w:tc>
          <w:tcPr>
            <w:tcW w:w="154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c>
          <w:tcPr>
            <w:tcW w:w="1180" w:type="dxa"/>
            <w:vAlign w:val="bottom"/>
            <w:shd w:val="clear" w:color="auto" w:fill="E9E9E9"/>
          </w:tcPr>
          <w:p>
            <w:pPr>
              <w:spacing w:after="0"/>
              <w:rPr>
                <w:sz w:val="18"/>
                <w:szCs w:val="18"/>
                <w:color w:val="auto"/>
              </w:rPr>
            </w:pPr>
          </w:p>
        </w:tc>
        <w:tc>
          <w:tcPr>
            <w:tcW w:w="60" w:type="dxa"/>
            <w:vAlign w:val="bottom"/>
            <w:shd w:val="clear" w:color="auto" w:fill="E9E9E9"/>
          </w:tcPr>
          <w:p>
            <w:pPr>
              <w:spacing w:after="0"/>
              <w:rPr>
                <w:sz w:val="18"/>
                <w:szCs w:val="18"/>
                <w:color w:val="auto"/>
              </w:rPr>
            </w:pPr>
          </w:p>
        </w:tc>
        <w:tc>
          <w:tcPr>
            <w:tcW w:w="1200" w:type="dxa"/>
            <w:vAlign w:val="bottom"/>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 w:type="dxa"/>
            <w:vAlign w:val="bottom"/>
            <w:shd w:val="clear" w:color="auto" w:fill="E9E9E9"/>
          </w:tcPr>
          <w:p>
            <w:pPr>
              <w:spacing w:after="0"/>
              <w:rPr>
                <w:sz w:val="17"/>
                <w:szCs w:val="17"/>
                <w:color w:val="auto"/>
              </w:rPr>
            </w:pPr>
          </w:p>
        </w:tc>
        <w:tc>
          <w:tcPr>
            <w:tcW w:w="1940" w:type="dxa"/>
            <w:vAlign w:val="bottom"/>
            <w:gridSpan w:val="2"/>
            <w:shd w:val="clear" w:color="auto" w:fill="E9E9E9"/>
          </w:tcPr>
          <w:p>
            <w:pPr>
              <w:spacing w:after="0" w:line="196" w:lineRule="exact"/>
              <w:rPr>
                <w:sz w:val="20"/>
                <w:szCs w:val="20"/>
                <w:color w:val="auto"/>
              </w:rPr>
            </w:pPr>
            <w:r>
              <w:rPr>
                <w:rFonts w:ascii="Times New Roman" w:cs="Times New Roman" w:eastAsia="Times New Roman" w:hAnsi="Times New Roman"/>
                <w:sz w:val="20"/>
                <w:szCs w:val="20"/>
                <w:color w:val="auto"/>
              </w:rPr>
              <w:t>commercialization</w:t>
            </w:r>
          </w:p>
        </w:tc>
        <w:tc>
          <w:tcPr>
            <w:tcW w:w="180" w:type="dxa"/>
            <w:vAlign w:val="bottom"/>
            <w:shd w:val="clear" w:color="auto" w:fill="E9E9E9"/>
          </w:tcPr>
          <w:p>
            <w:pPr>
              <w:spacing w:after="0"/>
              <w:rPr>
                <w:sz w:val="17"/>
                <w:szCs w:val="17"/>
                <w:color w:val="auto"/>
              </w:rPr>
            </w:pPr>
          </w:p>
        </w:tc>
        <w:tc>
          <w:tcPr>
            <w:tcW w:w="1040" w:type="dxa"/>
            <w:vAlign w:val="bottom"/>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c>
          <w:tcPr>
            <w:tcW w:w="160" w:type="dxa"/>
            <w:vAlign w:val="bottom"/>
            <w:shd w:val="clear" w:color="auto" w:fill="E9E9E9"/>
          </w:tcPr>
          <w:p>
            <w:pPr>
              <w:spacing w:after="0"/>
              <w:rPr>
                <w:sz w:val="17"/>
                <w:szCs w:val="17"/>
                <w:color w:val="auto"/>
              </w:rPr>
            </w:pPr>
          </w:p>
        </w:tc>
        <w:tc>
          <w:tcPr>
            <w:tcW w:w="1060" w:type="dxa"/>
            <w:vAlign w:val="bottom"/>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c>
          <w:tcPr>
            <w:tcW w:w="1620" w:type="dxa"/>
            <w:vAlign w:val="bottom"/>
            <w:shd w:val="clear" w:color="auto" w:fill="E9E9E9"/>
          </w:tcPr>
          <w:p>
            <w:pPr>
              <w:ind w:left="40"/>
              <w:spacing w:after="0" w:line="196" w:lineRule="exact"/>
              <w:rPr>
                <w:sz w:val="20"/>
                <w:szCs w:val="20"/>
                <w:color w:val="auto"/>
              </w:rPr>
            </w:pPr>
            <w:r>
              <w:rPr>
                <w:rFonts w:ascii="Times New Roman" w:cs="Times New Roman" w:eastAsia="Times New Roman" w:hAnsi="Times New Roman"/>
                <w:sz w:val="20"/>
                <w:szCs w:val="20"/>
                <w:color w:val="auto"/>
                <w:w w:val="98"/>
              </w:rPr>
              <w:t>adjusted discounted</w:t>
            </w:r>
          </w:p>
        </w:tc>
        <w:tc>
          <w:tcPr>
            <w:tcW w:w="80" w:type="dxa"/>
            <w:vAlign w:val="bottom"/>
            <w:shd w:val="clear" w:color="auto" w:fill="E9E9E9"/>
          </w:tcPr>
          <w:p>
            <w:pPr>
              <w:spacing w:after="0"/>
              <w:rPr>
                <w:sz w:val="17"/>
                <w:szCs w:val="17"/>
                <w:color w:val="auto"/>
              </w:rPr>
            </w:pPr>
          </w:p>
        </w:tc>
        <w:tc>
          <w:tcPr>
            <w:tcW w:w="1540" w:type="dxa"/>
            <w:vAlign w:val="bottom"/>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c>
          <w:tcPr>
            <w:tcW w:w="1180" w:type="dxa"/>
            <w:vAlign w:val="bottom"/>
            <w:shd w:val="clear" w:color="auto" w:fill="E9E9E9"/>
          </w:tcPr>
          <w:p>
            <w:pPr>
              <w:spacing w:after="0"/>
              <w:rPr>
                <w:sz w:val="17"/>
                <w:szCs w:val="17"/>
                <w:color w:val="auto"/>
              </w:rPr>
            </w:pPr>
          </w:p>
        </w:tc>
        <w:tc>
          <w:tcPr>
            <w:tcW w:w="60" w:type="dxa"/>
            <w:vAlign w:val="bottom"/>
            <w:shd w:val="clear" w:color="auto" w:fill="E9E9E9"/>
          </w:tcPr>
          <w:p>
            <w:pPr>
              <w:spacing w:after="0"/>
              <w:rPr>
                <w:sz w:val="17"/>
                <w:szCs w:val="17"/>
                <w:color w:val="auto"/>
              </w:rPr>
            </w:pPr>
          </w:p>
        </w:tc>
        <w:tc>
          <w:tcPr>
            <w:tcW w:w="1200" w:type="dxa"/>
            <w:vAlign w:val="bottom"/>
            <w:shd w:val="clear" w:color="auto" w:fill="E9E9E9"/>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60" w:type="dxa"/>
            <w:vAlign w:val="bottom"/>
            <w:shd w:val="clear" w:color="auto" w:fill="E9E9E9"/>
          </w:tcPr>
          <w:p>
            <w:pPr>
              <w:spacing w:after="0"/>
              <w:rPr>
                <w:sz w:val="24"/>
                <w:szCs w:val="24"/>
                <w:color w:val="auto"/>
              </w:rPr>
            </w:pPr>
          </w:p>
        </w:tc>
        <w:tc>
          <w:tcPr>
            <w:tcW w:w="1940" w:type="dxa"/>
            <w:vAlign w:val="bottom"/>
            <w:gridSpan w:val="2"/>
            <w:shd w:val="clear" w:color="auto" w:fill="E9E9E9"/>
          </w:tcPr>
          <w:p>
            <w:pPr>
              <w:spacing w:after="0"/>
              <w:rPr>
                <w:sz w:val="20"/>
                <w:szCs w:val="20"/>
                <w:color w:val="auto"/>
              </w:rPr>
            </w:pPr>
            <w:r>
              <w:rPr>
                <w:rFonts w:ascii="Times New Roman" w:cs="Times New Roman" w:eastAsia="Times New Roman" w:hAnsi="Times New Roman"/>
                <w:sz w:val="20"/>
                <w:szCs w:val="20"/>
                <w:color w:val="auto"/>
              </w:rPr>
              <w:t>milestone</w:t>
            </w:r>
          </w:p>
        </w:tc>
        <w:tc>
          <w:tcPr>
            <w:tcW w:w="1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9E9E9"/>
          </w:tcPr>
          <w:p>
            <w:pPr>
              <w:ind w:left="7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shd w:val="clear" w:color="auto" w:fill="E9E9E9"/>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1,800</w:t>
            </w:r>
          </w:p>
        </w:tc>
        <w:tc>
          <w:tcPr>
            <w:tcW w:w="80" w:type="dxa"/>
            <w:vAlign w:val="bottom"/>
            <w:shd w:val="clear" w:color="auto" w:fill="E9E9E9"/>
          </w:tcPr>
          <w:p>
            <w:pPr>
              <w:spacing w:after="0"/>
              <w:rPr>
                <w:sz w:val="24"/>
                <w:szCs w:val="24"/>
                <w:color w:val="auto"/>
              </w:rPr>
            </w:pPr>
          </w:p>
        </w:tc>
        <w:tc>
          <w:tcPr>
            <w:tcW w:w="162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cash flow model</w:t>
            </w:r>
          </w:p>
        </w:tc>
        <w:tc>
          <w:tcPr>
            <w:tcW w:w="80" w:type="dxa"/>
            <w:vAlign w:val="bottom"/>
            <w:shd w:val="clear" w:color="auto" w:fill="E9E9E9"/>
          </w:tcPr>
          <w:p>
            <w:pPr>
              <w:spacing w:after="0"/>
              <w:rPr>
                <w:sz w:val="24"/>
                <w:szCs w:val="24"/>
                <w:color w:val="auto"/>
              </w:rPr>
            </w:pPr>
          </w:p>
        </w:tc>
        <w:tc>
          <w:tcPr>
            <w:tcW w:w="1540" w:type="dxa"/>
            <w:vAlign w:val="bottom"/>
            <w:shd w:val="clear" w:color="auto" w:fill="E9E9E9"/>
          </w:tcPr>
          <w:p>
            <w:pPr>
              <w:spacing w:after="0"/>
              <w:rPr>
                <w:sz w:val="24"/>
                <w:szCs w:val="24"/>
                <w:color w:val="auto"/>
              </w:rPr>
            </w:pPr>
          </w:p>
        </w:tc>
        <w:tc>
          <w:tcPr>
            <w:tcW w:w="80" w:type="dxa"/>
            <w:vAlign w:val="bottom"/>
            <w:shd w:val="clear" w:color="auto" w:fill="E9E9E9"/>
          </w:tcPr>
          <w:p>
            <w:pPr>
              <w:spacing w:after="0"/>
              <w:rPr>
                <w:sz w:val="24"/>
                <w:szCs w:val="24"/>
                <w:color w:val="auto"/>
              </w:rPr>
            </w:pPr>
          </w:p>
        </w:tc>
        <w:tc>
          <w:tcPr>
            <w:tcW w:w="1180" w:type="dxa"/>
            <w:vAlign w:val="bottom"/>
            <w:shd w:val="clear" w:color="auto" w:fill="E9E9E9"/>
          </w:tcPr>
          <w:p>
            <w:pPr>
              <w:spacing w:after="0"/>
              <w:rPr>
                <w:sz w:val="24"/>
                <w:szCs w:val="24"/>
                <w:color w:val="auto"/>
              </w:rPr>
            </w:pPr>
          </w:p>
        </w:tc>
        <w:tc>
          <w:tcPr>
            <w:tcW w:w="60" w:type="dxa"/>
            <w:vAlign w:val="bottom"/>
            <w:shd w:val="clear" w:color="auto" w:fill="E9E9E9"/>
          </w:tcPr>
          <w:p>
            <w:pPr>
              <w:spacing w:after="0"/>
              <w:rPr>
                <w:sz w:val="24"/>
                <w:szCs w:val="24"/>
                <w:color w:val="auto"/>
              </w:rPr>
            </w:pPr>
          </w:p>
        </w:tc>
        <w:tc>
          <w:tcPr>
            <w:tcW w:w="1200" w:type="dxa"/>
            <w:vAlign w:val="bottom"/>
            <w:shd w:val="clear" w:color="auto" w:fill="E9E9E9"/>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ind w:left="40"/>
              <w:spacing w:after="0" w:line="209" w:lineRule="exact"/>
              <w:rPr>
                <w:sz w:val="20"/>
                <w:szCs w:val="20"/>
                <w:color w:val="auto"/>
              </w:rPr>
            </w:pPr>
            <w:r>
              <w:rPr>
                <w:rFonts w:ascii="Times New Roman" w:cs="Times New Roman" w:eastAsia="Times New Roman" w:hAnsi="Times New Roman"/>
                <w:sz w:val="20"/>
                <w:szCs w:val="20"/>
                <w:color w:val="auto"/>
              </w:rPr>
              <w:t>Period of expected</w:t>
            </w: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20"/>
                <w:szCs w:val="20"/>
                <w:color w:val="auto"/>
              </w:rPr>
              <w:t>milestone</w:t>
            </w: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9"/>
        </w:trPr>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achievement</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2026</w:t>
            </w:r>
          </w:p>
        </w:tc>
        <w:tc>
          <w:tcPr>
            <w:tcW w:w="0" w:type="dxa"/>
            <w:vAlign w:val="bottom"/>
          </w:tcPr>
          <w:p>
            <w:pPr>
              <w:spacing w:after="0"/>
              <w:rPr>
                <w:sz w:val="1"/>
                <w:szCs w:val="1"/>
                <w:color w:val="auto"/>
              </w:rPr>
            </w:pPr>
          </w:p>
        </w:tc>
      </w:tr>
      <w:tr>
        <w:trPr>
          <w:trHeight w:val="216"/>
        </w:trPr>
        <w:tc>
          <w:tcPr>
            <w:tcW w:w="60" w:type="dxa"/>
            <w:vAlign w:val="bottom"/>
            <w:shd w:val="clear" w:color="auto" w:fill="E9E9E9"/>
          </w:tcPr>
          <w:p>
            <w:pPr>
              <w:spacing w:after="0"/>
              <w:rPr>
                <w:sz w:val="18"/>
                <w:szCs w:val="18"/>
                <w:color w:val="auto"/>
              </w:rPr>
            </w:pPr>
          </w:p>
        </w:tc>
        <w:tc>
          <w:tcPr>
            <w:tcW w:w="1180" w:type="dxa"/>
            <w:vAlign w:val="bottom"/>
            <w:shd w:val="clear" w:color="auto" w:fill="E9E9E9"/>
          </w:tcPr>
          <w:p>
            <w:pPr>
              <w:spacing w:after="0"/>
              <w:rPr>
                <w:sz w:val="18"/>
                <w:szCs w:val="18"/>
                <w:color w:val="auto"/>
              </w:rPr>
            </w:pPr>
          </w:p>
        </w:tc>
        <w:tc>
          <w:tcPr>
            <w:tcW w:w="760" w:type="dxa"/>
            <w:vAlign w:val="bottom"/>
            <w:shd w:val="clear" w:color="auto" w:fill="E9E9E9"/>
          </w:tcPr>
          <w:p>
            <w:pPr>
              <w:spacing w:after="0"/>
              <w:rPr>
                <w:sz w:val="18"/>
                <w:szCs w:val="18"/>
                <w:color w:val="auto"/>
              </w:rPr>
            </w:pPr>
          </w:p>
        </w:tc>
        <w:tc>
          <w:tcPr>
            <w:tcW w:w="180" w:type="dxa"/>
            <w:vAlign w:val="bottom"/>
            <w:shd w:val="clear" w:color="auto" w:fill="E9E9E9"/>
          </w:tcPr>
          <w:p>
            <w:pPr>
              <w:spacing w:after="0"/>
              <w:rPr>
                <w:sz w:val="18"/>
                <w:szCs w:val="18"/>
                <w:color w:val="auto"/>
              </w:rPr>
            </w:pPr>
          </w:p>
        </w:tc>
        <w:tc>
          <w:tcPr>
            <w:tcW w:w="104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c>
          <w:tcPr>
            <w:tcW w:w="160" w:type="dxa"/>
            <w:vAlign w:val="bottom"/>
            <w:shd w:val="clear" w:color="auto" w:fill="E9E9E9"/>
          </w:tcPr>
          <w:p>
            <w:pPr>
              <w:spacing w:after="0"/>
              <w:rPr>
                <w:sz w:val="18"/>
                <w:szCs w:val="18"/>
                <w:color w:val="auto"/>
              </w:rPr>
            </w:pPr>
          </w:p>
        </w:tc>
        <w:tc>
          <w:tcPr>
            <w:tcW w:w="106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c>
          <w:tcPr>
            <w:tcW w:w="162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c>
          <w:tcPr>
            <w:tcW w:w="1620" w:type="dxa"/>
            <w:vAlign w:val="bottom"/>
            <w:gridSpan w:val="2"/>
            <w:shd w:val="clear" w:color="auto" w:fill="E9E9E9"/>
          </w:tcPr>
          <w:p>
            <w:pPr>
              <w:ind w:left="40"/>
              <w:spacing w:after="0" w:line="216" w:lineRule="exact"/>
              <w:rPr>
                <w:sz w:val="20"/>
                <w:szCs w:val="20"/>
                <w:color w:val="auto"/>
              </w:rPr>
            </w:pPr>
            <w:r>
              <w:rPr>
                <w:rFonts w:ascii="Times New Roman" w:cs="Times New Roman" w:eastAsia="Times New Roman" w:hAnsi="Times New Roman"/>
                <w:sz w:val="20"/>
                <w:szCs w:val="20"/>
                <w:color w:val="auto"/>
              </w:rPr>
              <w:t>Probability of</w:t>
            </w:r>
          </w:p>
        </w:tc>
        <w:tc>
          <w:tcPr>
            <w:tcW w:w="1180" w:type="dxa"/>
            <w:vAlign w:val="bottom"/>
            <w:vMerge w:val="restart"/>
            <w:shd w:val="clear" w:color="auto" w:fill="E9E9E9"/>
          </w:tcPr>
          <w:p>
            <w:pPr>
              <w:ind w:left="740"/>
              <w:spacing w:after="0"/>
              <w:rPr>
                <w:sz w:val="20"/>
                <w:szCs w:val="20"/>
                <w:color w:val="auto"/>
              </w:rPr>
            </w:pPr>
            <w:r>
              <w:rPr>
                <w:rFonts w:ascii="Times New Roman" w:cs="Times New Roman" w:eastAsia="Times New Roman" w:hAnsi="Times New Roman"/>
                <w:sz w:val="20"/>
                <w:szCs w:val="20"/>
                <w:color w:val="auto"/>
              </w:rPr>
              <w:t>— %</w:t>
            </w:r>
          </w:p>
        </w:tc>
        <w:tc>
          <w:tcPr>
            <w:tcW w:w="1260" w:type="dxa"/>
            <w:vAlign w:val="bottom"/>
            <w:gridSpan w:val="2"/>
            <w:vMerge w:val="restart"/>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40 %</w:t>
            </w:r>
          </w:p>
        </w:tc>
        <w:tc>
          <w:tcPr>
            <w:tcW w:w="0" w:type="dxa"/>
            <w:vAlign w:val="bottom"/>
          </w:tcPr>
          <w:p>
            <w:pPr>
              <w:spacing w:after="0"/>
              <w:rPr>
                <w:sz w:val="1"/>
                <w:szCs w:val="1"/>
                <w:color w:val="auto"/>
              </w:rPr>
            </w:pPr>
          </w:p>
        </w:tc>
      </w:tr>
      <w:tr>
        <w:trPr>
          <w:trHeight w:val="276"/>
        </w:trPr>
        <w:tc>
          <w:tcPr>
            <w:tcW w:w="60" w:type="dxa"/>
            <w:vAlign w:val="bottom"/>
            <w:shd w:val="clear" w:color="auto" w:fill="E9E9E9"/>
          </w:tcPr>
          <w:p>
            <w:pPr>
              <w:spacing w:after="0"/>
              <w:rPr>
                <w:sz w:val="23"/>
                <w:szCs w:val="23"/>
                <w:color w:val="auto"/>
              </w:rPr>
            </w:pPr>
          </w:p>
        </w:tc>
        <w:tc>
          <w:tcPr>
            <w:tcW w:w="1180" w:type="dxa"/>
            <w:vAlign w:val="bottom"/>
            <w:shd w:val="clear" w:color="auto" w:fill="E9E9E9"/>
          </w:tcPr>
          <w:p>
            <w:pPr>
              <w:spacing w:after="0"/>
              <w:rPr>
                <w:sz w:val="23"/>
                <w:szCs w:val="23"/>
                <w:color w:val="auto"/>
              </w:rPr>
            </w:pPr>
          </w:p>
        </w:tc>
        <w:tc>
          <w:tcPr>
            <w:tcW w:w="760" w:type="dxa"/>
            <w:vAlign w:val="bottom"/>
            <w:shd w:val="clear" w:color="auto" w:fill="E9E9E9"/>
          </w:tcPr>
          <w:p>
            <w:pPr>
              <w:spacing w:after="0"/>
              <w:rPr>
                <w:sz w:val="23"/>
                <w:szCs w:val="23"/>
                <w:color w:val="auto"/>
              </w:rPr>
            </w:pPr>
          </w:p>
        </w:tc>
        <w:tc>
          <w:tcPr>
            <w:tcW w:w="180" w:type="dxa"/>
            <w:vAlign w:val="bottom"/>
            <w:shd w:val="clear" w:color="auto" w:fill="E9E9E9"/>
          </w:tcPr>
          <w:p>
            <w:pPr>
              <w:spacing w:after="0"/>
              <w:rPr>
                <w:sz w:val="23"/>
                <w:szCs w:val="23"/>
                <w:color w:val="auto"/>
              </w:rPr>
            </w:pPr>
          </w:p>
        </w:tc>
        <w:tc>
          <w:tcPr>
            <w:tcW w:w="1040" w:type="dxa"/>
            <w:vAlign w:val="bottom"/>
            <w:shd w:val="clear" w:color="auto" w:fill="E9E9E9"/>
          </w:tcPr>
          <w:p>
            <w:pPr>
              <w:spacing w:after="0"/>
              <w:rPr>
                <w:sz w:val="23"/>
                <w:szCs w:val="23"/>
                <w:color w:val="auto"/>
              </w:rPr>
            </w:pPr>
          </w:p>
        </w:tc>
        <w:tc>
          <w:tcPr>
            <w:tcW w:w="80" w:type="dxa"/>
            <w:vAlign w:val="bottom"/>
            <w:shd w:val="clear" w:color="auto" w:fill="E9E9E9"/>
          </w:tcPr>
          <w:p>
            <w:pPr>
              <w:spacing w:after="0"/>
              <w:rPr>
                <w:sz w:val="23"/>
                <w:szCs w:val="23"/>
                <w:color w:val="auto"/>
              </w:rPr>
            </w:pPr>
          </w:p>
        </w:tc>
        <w:tc>
          <w:tcPr>
            <w:tcW w:w="160" w:type="dxa"/>
            <w:vAlign w:val="bottom"/>
            <w:shd w:val="clear" w:color="auto" w:fill="E9E9E9"/>
          </w:tcPr>
          <w:p>
            <w:pPr>
              <w:spacing w:after="0"/>
              <w:rPr>
                <w:sz w:val="23"/>
                <w:szCs w:val="23"/>
                <w:color w:val="auto"/>
              </w:rPr>
            </w:pPr>
          </w:p>
        </w:tc>
        <w:tc>
          <w:tcPr>
            <w:tcW w:w="1060" w:type="dxa"/>
            <w:vAlign w:val="bottom"/>
            <w:shd w:val="clear" w:color="auto" w:fill="E9E9E9"/>
          </w:tcPr>
          <w:p>
            <w:pPr>
              <w:spacing w:after="0"/>
              <w:rPr>
                <w:sz w:val="23"/>
                <w:szCs w:val="23"/>
                <w:color w:val="auto"/>
              </w:rPr>
            </w:pPr>
          </w:p>
        </w:tc>
        <w:tc>
          <w:tcPr>
            <w:tcW w:w="80" w:type="dxa"/>
            <w:vAlign w:val="bottom"/>
            <w:shd w:val="clear" w:color="auto" w:fill="E9E9E9"/>
          </w:tcPr>
          <w:p>
            <w:pPr>
              <w:spacing w:after="0"/>
              <w:rPr>
                <w:sz w:val="23"/>
                <w:szCs w:val="23"/>
                <w:color w:val="auto"/>
              </w:rPr>
            </w:pPr>
          </w:p>
        </w:tc>
        <w:tc>
          <w:tcPr>
            <w:tcW w:w="1620" w:type="dxa"/>
            <w:vAlign w:val="bottom"/>
            <w:shd w:val="clear" w:color="auto" w:fill="E9E9E9"/>
          </w:tcPr>
          <w:p>
            <w:pPr>
              <w:spacing w:after="0"/>
              <w:rPr>
                <w:sz w:val="23"/>
                <w:szCs w:val="23"/>
                <w:color w:val="auto"/>
              </w:rPr>
            </w:pPr>
          </w:p>
        </w:tc>
        <w:tc>
          <w:tcPr>
            <w:tcW w:w="80" w:type="dxa"/>
            <w:vAlign w:val="bottom"/>
            <w:shd w:val="clear" w:color="auto" w:fill="E9E9E9"/>
          </w:tcPr>
          <w:p>
            <w:pPr>
              <w:spacing w:after="0"/>
              <w:rPr>
                <w:sz w:val="23"/>
                <w:szCs w:val="23"/>
                <w:color w:val="auto"/>
              </w:rPr>
            </w:pPr>
          </w:p>
        </w:tc>
        <w:tc>
          <w:tcPr>
            <w:tcW w:w="1620" w:type="dxa"/>
            <w:vAlign w:val="bottom"/>
            <w:gridSpan w:val="2"/>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success</w:t>
            </w:r>
          </w:p>
        </w:tc>
        <w:tc>
          <w:tcPr>
            <w:tcW w:w="1180" w:type="dxa"/>
            <w:vAlign w:val="bottom"/>
            <w:vMerge w:val="continue"/>
            <w:shd w:val="clear" w:color="auto" w:fill="E9E9E9"/>
          </w:tcPr>
          <w:p>
            <w:pPr>
              <w:spacing w:after="0"/>
              <w:rPr>
                <w:sz w:val="23"/>
                <w:szCs w:val="23"/>
                <w:color w:val="auto"/>
              </w:rPr>
            </w:pPr>
          </w:p>
        </w:tc>
        <w:tc>
          <w:tcPr>
            <w:tcW w:w="1260" w:type="dxa"/>
            <w:vAlign w:val="bottom"/>
            <w:gridSpan w:val="2"/>
            <w:vMerge w:val="continue"/>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Discount rate</w:t>
            </w: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2"/>
              </w:rPr>
              <w:t>N/A</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4.1 %</w:t>
            </w:r>
          </w:p>
        </w:tc>
        <w:tc>
          <w:tcPr>
            <w:tcW w:w="0" w:type="dxa"/>
            <w:vAlign w:val="bottom"/>
          </w:tcPr>
          <w:p>
            <w:pPr>
              <w:spacing w:after="0"/>
              <w:rPr>
                <w:sz w:val="1"/>
                <w:szCs w:val="1"/>
                <w:color w:val="auto"/>
              </w:rPr>
            </w:pPr>
          </w:p>
        </w:tc>
      </w:tr>
      <w:tr>
        <w:trPr>
          <w:trHeight w:val="216"/>
        </w:trPr>
        <w:tc>
          <w:tcPr>
            <w:tcW w:w="60" w:type="dxa"/>
            <w:vAlign w:val="bottom"/>
            <w:shd w:val="clear" w:color="auto" w:fill="E9E9E9"/>
          </w:tcPr>
          <w:p>
            <w:pPr>
              <w:spacing w:after="0"/>
              <w:rPr>
                <w:sz w:val="18"/>
                <w:szCs w:val="18"/>
                <w:color w:val="auto"/>
              </w:rPr>
            </w:pPr>
          </w:p>
        </w:tc>
        <w:tc>
          <w:tcPr>
            <w:tcW w:w="1940" w:type="dxa"/>
            <w:vAlign w:val="bottom"/>
            <w:gridSpan w:val="2"/>
            <w:shd w:val="clear" w:color="auto" w:fill="E9E9E9"/>
          </w:tcPr>
          <w:p>
            <w:pPr>
              <w:spacing w:after="0" w:line="216" w:lineRule="exact"/>
              <w:rPr>
                <w:sz w:val="20"/>
                <w:szCs w:val="20"/>
                <w:color w:val="auto"/>
              </w:rPr>
            </w:pPr>
            <w:r>
              <w:rPr>
                <w:rFonts w:ascii="Times New Roman" w:cs="Times New Roman" w:eastAsia="Times New Roman" w:hAnsi="Times New Roman"/>
                <w:sz w:val="20"/>
                <w:szCs w:val="20"/>
                <w:color w:val="auto"/>
              </w:rPr>
              <w:t>Net sales targets –</w:t>
            </w:r>
          </w:p>
        </w:tc>
        <w:tc>
          <w:tcPr>
            <w:tcW w:w="180" w:type="dxa"/>
            <w:vAlign w:val="bottom"/>
            <w:shd w:val="clear" w:color="auto" w:fill="E9E9E9"/>
          </w:tcPr>
          <w:p>
            <w:pPr>
              <w:spacing w:after="0"/>
              <w:rPr>
                <w:sz w:val="18"/>
                <w:szCs w:val="18"/>
                <w:color w:val="auto"/>
              </w:rPr>
            </w:pPr>
          </w:p>
        </w:tc>
        <w:tc>
          <w:tcPr>
            <w:tcW w:w="1040" w:type="dxa"/>
            <w:vAlign w:val="bottom"/>
            <w:vMerge w:val="restart"/>
            <w:shd w:val="clear" w:color="auto" w:fill="E9E9E9"/>
          </w:tcPr>
          <w:p>
            <w:pPr>
              <w:ind w:left="7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9E9E9"/>
          </w:tcPr>
          <w:p>
            <w:pPr>
              <w:spacing w:after="0"/>
              <w:rPr>
                <w:sz w:val="18"/>
                <w:szCs w:val="18"/>
                <w:color w:val="auto"/>
              </w:rPr>
            </w:pPr>
          </w:p>
        </w:tc>
        <w:tc>
          <w:tcPr>
            <w:tcW w:w="160" w:type="dxa"/>
            <w:vAlign w:val="bottom"/>
            <w:shd w:val="clear" w:color="auto" w:fill="E9E9E9"/>
          </w:tcPr>
          <w:p>
            <w:pPr>
              <w:spacing w:after="0"/>
              <w:rPr>
                <w:sz w:val="18"/>
                <w:szCs w:val="18"/>
                <w:color w:val="auto"/>
              </w:rPr>
            </w:pPr>
          </w:p>
        </w:tc>
        <w:tc>
          <w:tcPr>
            <w:tcW w:w="1060" w:type="dxa"/>
            <w:vAlign w:val="bottom"/>
            <w:vMerge w:val="restart"/>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900</w:t>
            </w:r>
          </w:p>
        </w:tc>
        <w:tc>
          <w:tcPr>
            <w:tcW w:w="80" w:type="dxa"/>
            <w:vAlign w:val="bottom"/>
            <w:shd w:val="clear" w:color="auto" w:fill="E9E9E9"/>
          </w:tcPr>
          <w:p>
            <w:pPr>
              <w:spacing w:after="0"/>
              <w:rPr>
                <w:sz w:val="18"/>
                <w:szCs w:val="18"/>
                <w:color w:val="auto"/>
              </w:rPr>
            </w:pPr>
          </w:p>
        </w:tc>
        <w:tc>
          <w:tcPr>
            <w:tcW w:w="1620" w:type="dxa"/>
            <w:vAlign w:val="bottom"/>
            <w:shd w:val="clear" w:color="auto" w:fill="E9E9E9"/>
          </w:tcPr>
          <w:p>
            <w:pPr>
              <w:ind w:left="40"/>
              <w:spacing w:after="0" w:line="216" w:lineRule="exact"/>
              <w:rPr>
                <w:sz w:val="20"/>
                <w:szCs w:val="20"/>
                <w:color w:val="auto"/>
              </w:rPr>
            </w:pPr>
            <w:r>
              <w:rPr>
                <w:rFonts w:ascii="Times New Roman" w:cs="Times New Roman" w:eastAsia="Times New Roman" w:hAnsi="Times New Roman"/>
                <w:sz w:val="20"/>
                <w:szCs w:val="20"/>
                <w:color w:val="auto"/>
              </w:rPr>
              <w:t>Monte Carlo</w:t>
            </w:r>
          </w:p>
        </w:tc>
        <w:tc>
          <w:tcPr>
            <w:tcW w:w="80" w:type="dxa"/>
            <w:vAlign w:val="bottom"/>
            <w:shd w:val="clear" w:color="auto" w:fill="E9E9E9"/>
          </w:tcPr>
          <w:p>
            <w:pPr>
              <w:spacing w:after="0"/>
              <w:rPr>
                <w:sz w:val="18"/>
                <w:szCs w:val="18"/>
                <w:color w:val="auto"/>
              </w:rPr>
            </w:pPr>
          </w:p>
        </w:tc>
        <w:tc>
          <w:tcPr>
            <w:tcW w:w="154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c>
          <w:tcPr>
            <w:tcW w:w="1180" w:type="dxa"/>
            <w:vAlign w:val="bottom"/>
            <w:shd w:val="clear" w:color="auto" w:fill="E9E9E9"/>
          </w:tcPr>
          <w:p>
            <w:pPr>
              <w:spacing w:after="0"/>
              <w:rPr>
                <w:sz w:val="18"/>
                <w:szCs w:val="18"/>
                <w:color w:val="auto"/>
              </w:rPr>
            </w:pPr>
          </w:p>
        </w:tc>
        <w:tc>
          <w:tcPr>
            <w:tcW w:w="60" w:type="dxa"/>
            <w:vAlign w:val="bottom"/>
            <w:shd w:val="clear" w:color="auto" w:fill="E9E9E9"/>
          </w:tcPr>
          <w:p>
            <w:pPr>
              <w:spacing w:after="0"/>
              <w:rPr>
                <w:sz w:val="18"/>
                <w:szCs w:val="18"/>
                <w:color w:val="auto"/>
              </w:rPr>
            </w:pPr>
          </w:p>
        </w:tc>
        <w:tc>
          <w:tcPr>
            <w:tcW w:w="1200" w:type="dxa"/>
            <w:vAlign w:val="bottom"/>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60" w:type="dxa"/>
            <w:vAlign w:val="bottom"/>
            <w:shd w:val="clear" w:color="auto" w:fill="E9E9E9"/>
          </w:tcPr>
          <w:p>
            <w:pPr>
              <w:spacing w:after="0"/>
              <w:rPr>
                <w:sz w:val="23"/>
                <w:szCs w:val="23"/>
                <w:color w:val="auto"/>
              </w:rPr>
            </w:pPr>
          </w:p>
        </w:tc>
        <w:tc>
          <w:tcPr>
            <w:tcW w:w="1940" w:type="dxa"/>
            <w:vAlign w:val="bottom"/>
            <w:gridSpan w:val="2"/>
            <w:shd w:val="clear" w:color="auto" w:fill="E9E9E9"/>
          </w:tcPr>
          <w:p>
            <w:pPr>
              <w:spacing w:after="0"/>
              <w:rPr>
                <w:sz w:val="20"/>
                <w:szCs w:val="20"/>
                <w:color w:val="auto"/>
              </w:rPr>
            </w:pPr>
            <w:r>
              <w:rPr>
                <w:rFonts w:ascii="Times New Roman" w:cs="Times New Roman" w:eastAsia="Times New Roman" w:hAnsi="Times New Roman"/>
                <w:sz w:val="20"/>
                <w:szCs w:val="20"/>
                <w:color w:val="auto"/>
              </w:rPr>
              <w:t>AZEDRA and 1095</w:t>
            </w:r>
          </w:p>
        </w:tc>
        <w:tc>
          <w:tcPr>
            <w:tcW w:w="180" w:type="dxa"/>
            <w:vAlign w:val="bottom"/>
            <w:shd w:val="clear" w:color="auto" w:fill="E9E9E9"/>
          </w:tcPr>
          <w:p>
            <w:pPr>
              <w:spacing w:after="0"/>
              <w:rPr>
                <w:sz w:val="23"/>
                <w:szCs w:val="23"/>
                <w:color w:val="auto"/>
              </w:rPr>
            </w:pPr>
          </w:p>
        </w:tc>
        <w:tc>
          <w:tcPr>
            <w:tcW w:w="1040" w:type="dxa"/>
            <w:vAlign w:val="bottom"/>
            <w:vMerge w:val="continue"/>
            <w:shd w:val="clear" w:color="auto" w:fill="E9E9E9"/>
          </w:tcPr>
          <w:p>
            <w:pPr>
              <w:spacing w:after="0"/>
              <w:rPr>
                <w:sz w:val="23"/>
                <w:szCs w:val="23"/>
                <w:color w:val="auto"/>
              </w:rPr>
            </w:pPr>
          </w:p>
        </w:tc>
        <w:tc>
          <w:tcPr>
            <w:tcW w:w="80" w:type="dxa"/>
            <w:vAlign w:val="bottom"/>
            <w:shd w:val="clear" w:color="auto" w:fill="E9E9E9"/>
          </w:tcPr>
          <w:p>
            <w:pPr>
              <w:spacing w:after="0"/>
              <w:rPr>
                <w:sz w:val="23"/>
                <w:szCs w:val="23"/>
                <w:color w:val="auto"/>
              </w:rPr>
            </w:pPr>
          </w:p>
        </w:tc>
        <w:tc>
          <w:tcPr>
            <w:tcW w:w="160" w:type="dxa"/>
            <w:vAlign w:val="bottom"/>
            <w:shd w:val="clear" w:color="auto" w:fill="E9E9E9"/>
          </w:tcPr>
          <w:p>
            <w:pPr>
              <w:spacing w:after="0"/>
              <w:rPr>
                <w:sz w:val="23"/>
                <w:szCs w:val="23"/>
                <w:color w:val="auto"/>
              </w:rPr>
            </w:pPr>
          </w:p>
        </w:tc>
        <w:tc>
          <w:tcPr>
            <w:tcW w:w="1060" w:type="dxa"/>
            <w:vAlign w:val="bottom"/>
            <w:vMerge w:val="continue"/>
            <w:shd w:val="clear" w:color="auto" w:fill="E9E9E9"/>
          </w:tcPr>
          <w:p>
            <w:pPr>
              <w:spacing w:after="0"/>
              <w:rPr>
                <w:sz w:val="23"/>
                <w:szCs w:val="23"/>
                <w:color w:val="auto"/>
              </w:rPr>
            </w:pPr>
          </w:p>
        </w:tc>
        <w:tc>
          <w:tcPr>
            <w:tcW w:w="80" w:type="dxa"/>
            <w:vAlign w:val="bottom"/>
            <w:shd w:val="clear" w:color="auto" w:fill="E9E9E9"/>
          </w:tcPr>
          <w:p>
            <w:pPr>
              <w:spacing w:after="0"/>
              <w:rPr>
                <w:sz w:val="23"/>
                <w:szCs w:val="23"/>
                <w:color w:val="auto"/>
              </w:rPr>
            </w:pPr>
          </w:p>
        </w:tc>
        <w:tc>
          <w:tcPr>
            <w:tcW w:w="162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simulation</w:t>
            </w:r>
          </w:p>
        </w:tc>
        <w:tc>
          <w:tcPr>
            <w:tcW w:w="80" w:type="dxa"/>
            <w:vAlign w:val="bottom"/>
            <w:shd w:val="clear" w:color="auto" w:fill="E9E9E9"/>
          </w:tcPr>
          <w:p>
            <w:pPr>
              <w:spacing w:after="0"/>
              <w:rPr>
                <w:sz w:val="23"/>
                <w:szCs w:val="23"/>
                <w:color w:val="auto"/>
              </w:rPr>
            </w:pPr>
          </w:p>
        </w:tc>
        <w:tc>
          <w:tcPr>
            <w:tcW w:w="1540" w:type="dxa"/>
            <w:vAlign w:val="bottom"/>
            <w:shd w:val="clear" w:color="auto" w:fill="E9E9E9"/>
          </w:tcPr>
          <w:p>
            <w:pPr>
              <w:spacing w:after="0"/>
              <w:rPr>
                <w:sz w:val="23"/>
                <w:szCs w:val="23"/>
                <w:color w:val="auto"/>
              </w:rPr>
            </w:pPr>
          </w:p>
        </w:tc>
        <w:tc>
          <w:tcPr>
            <w:tcW w:w="80" w:type="dxa"/>
            <w:vAlign w:val="bottom"/>
            <w:shd w:val="clear" w:color="auto" w:fill="E9E9E9"/>
          </w:tcPr>
          <w:p>
            <w:pPr>
              <w:spacing w:after="0"/>
              <w:rPr>
                <w:sz w:val="23"/>
                <w:szCs w:val="23"/>
                <w:color w:val="auto"/>
              </w:rPr>
            </w:pPr>
          </w:p>
        </w:tc>
        <w:tc>
          <w:tcPr>
            <w:tcW w:w="1180" w:type="dxa"/>
            <w:vAlign w:val="bottom"/>
            <w:shd w:val="clear" w:color="auto" w:fill="E9E9E9"/>
          </w:tcPr>
          <w:p>
            <w:pPr>
              <w:spacing w:after="0"/>
              <w:rPr>
                <w:sz w:val="23"/>
                <w:szCs w:val="23"/>
                <w:color w:val="auto"/>
              </w:rPr>
            </w:pPr>
          </w:p>
        </w:tc>
        <w:tc>
          <w:tcPr>
            <w:tcW w:w="60" w:type="dxa"/>
            <w:vAlign w:val="bottom"/>
            <w:shd w:val="clear" w:color="auto" w:fill="E9E9E9"/>
          </w:tcPr>
          <w:p>
            <w:pPr>
              <w:spacing w:after="0"/>
              <w:rPr>
                <w:sz w:val="23"/>
                <w:szCs w:val="23"/>
                <w:color w:val="auto"/>
              </w:rPr>
            </w:pPr>
          </w:p>
        </w:tc>
        <w:tc>
          <w:tcPr>
            <w:tcW w:w="1200" w:type="dxa"/>
            <w:vAlign w:val="bottom"/>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ind w:left="40"/>
              <w:spacing w:after="0" w:line="209" w:lineRule="exact"/>
              <w:rPr>
                <w:sz w:val="20"/>
                <w:szCs w:val="20"/>
                <w:color w:val="auto"/>
              </w:rPr>
            </w:pPr>
            <w:r>
              <w:rPr>
                <w:rFonts w:ascii="Times New Roman" w:cs="Times New Roman" w:eastAsia="Times New Roman" w:hAnsi="Times New Roman"/>
                <w:sz w:val="20"/>
                <w:szCs w:val="20"/>
                <w:color w:val="auto"/>
              </w:rPr>
              <w:t>Probability of</w:t>
            </w: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20"/>
                <w:szCs w:val="20"/>
                <w:color w:val="auto"/>
              </w:rPr>
              <w:t>success and sales</w:t>
            </w: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9"/>
        </w:trPr>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targets</w:t>
            </w:r>
          </w:p>
        </w:tc>
        <w:tc>
          <w:tcPr>
            <w:tcW w:w="118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 - 40%</w:t>
            </w:r>
          </w:p>
        </w:tc>
        <w:tc>
          <w:tcPr>
            <w:tcW w:w="0" w:type="dxa"/>
            <w:vAlign w:val="bottom"/>
          </w:tcPr>
          <w:p>
            <w:pPr>
              <w:spacing w:after="0"/>
              <w:rPr>
                <w:sz w:val="1"/>
                <w:szCs w:val="1"/>
                <w:color w:val="auto"/>
              </w:rPr>
            </w:pPr>
          </w:p>
        </w:tc>
      </w:tr>
      <w:tr>
        <w:trPr>
          <w:trHeight w:val="309"/>
        </w:trPr>
        <w:tc>
          <w:tcPr>
            <w:tcW w:w="60" w:type="dxa"/>
            <w:vAlign w:val="bottom"/>
            <w:tcBorders>
              <w:bottom w:val="single" w:sz="8" w:color="E9E9E9"/>
            </w:tcBorders>
            <w:shd w:val="clear" w:color="auto" w:fill="E9E9E9"/>
          </w:tcPr>
          <w:p>
            <w:pPr>
              <w:spacing w:after="0"/>
              <w:rPr>
                <w:sz w:val="24"/>
                <w:szCs w:val="24"/>
                <w:color w:val="auto"/>
              </w:rPr>
            </w:pPr>
          </w:p>
        </w:tc>
        <w:tc>
          <w:tcPr>
            <w:tcW w:w="1180" w:type="dxa"/>
            <w:vAlign w:val="bottom"/>
            <w:tcBorders>
              <w:bottom w:val="single" w:sz="8" w:color="E9E9E9"/>
            </w:tcBorders>
            <w:shd w:val="clear" w:color="auto" w:fill="E9E9E9"/>
          </w:tcPr>
          <w:p>
            <w:pPr>
              <w:spacing w:after="0"/>
              <w:rPr>
                <w:sz w:val="24"/>
                <w:szCs w:val="24"/>
                <w:color w:val="auto"/>
              </w:rPr>
            </w:pPr>
          </w:p>
        </w:tc>
        <w:tc>
          <w:tcPr>
            <w:tcW w:w="760" w:type="dxa"/>
            <w:vAlign w:val="bottom"/>
            <w:tcBorders>
              <w:bottom w:val="single" w:sz="8" w:color="E9E9E9"/>
            </w:tcBorders>
            <w:shd w:val="clear" w:color="auto" w:fill="E9E9E9"/>
          </w:tcPr>
          <w:p>
            <w:pPr>
              <w:spacing w:after="0"/>
              <w:rPr>
                <w:sz w:val="24"/>
                <w:szCs w:val="24"/>
                <w:color w:val="auto"/>
              </w:rPr>
            </w:pPr>
          </w:p>
        </w:tc>
        <w:tc>
          <w:tcPr>
            <w:tcW w:w="180" w:type="dxa"/>
            <w:vAlign w:val="bottom"/>
            <w:tcBorders>
              <w:bottom w:val="single" w:sz="8" w:color="auto"/>
            </w:tcBorders>
            <w:shd w:val="clear" w:color="auto" w:fill="E9E9E9"/>
          </w:tcPr>
          <w:p>
            <w:pPr>
              <w:spacing w:after="0"/>
              <w:rPr>
                <w:sz w:val="24"/>
                <w:szCs w:val="24"/>
                <w:color w:val="auto"/>
              </w:rPr>
            </w:pPr>
          </w:p>
        </w:tc>
        <w:tc>
          <w:tcPr>
            <w:tcW w:w="1040" w:type="dxa"/>
            <w:vAlign w:val="bottom"/>
            <w:tcBorders>
              <w:bottom w:val="single" w:sz="8" w:color="auto"/>
            </w:tcBorders>
            <w:shd w:val="clear" w:color="auto" w:fill="E9E9E9"/>
          </w:tcPr>
          <w:p>
            <w:pPr>
              <w:spacing w:after="0"/>
              <w:rPr>
                <w:sz w:val="24"/>
                <w:szCs w:val="24"/>
                <w:color w:val="auto"/>
              </w:rPr>
            </w:pPr>
          </w:p>
        </w:tc>
        <w:tc>
          <w:tcPr>
            <w:tcW w:w="80" w:type="dxa"/>
            <w:vAlign w:val="bottom"/>
            <w:tcBorders>
              <w:bottom w:val="single" w:sz="8" w:color="E9E9E9"/>
            </w:tcBorders>
            <w:shd w:val="clear" w:color="auto" w:fill="E9E9E9"/>
          </w:tcPr>
          <w:p>
            <w:pPr>
              <w:spacing w:after="0"/>
              <w:rPr>
                <w:sz w:val="24"/>
                <w:szCs w:val="24"/>
                <w:color w:val="auto"/>
              </w:rPr>
            </w:pPr>
          </w:p>
        </w:tc>
        <w:tc>
          <w:tcPr>
            <w:tcW w:w="160" w:type="dxa"/>
            <w:vAlign w:val="bottom"/>
            <w:tcBorders>
              <w:bottom w:val="single" w:sz="8" w:color="auto"/>
            </w:tcBorders>
            <w:shd w:val="clear" w:color="auto" w:fill="E9E9E9"/>
          </w:tcPr>
          <w:p>
            <w:pPr>
              <w:spacing w:after="0"/>
              <w:rPr>
                <w:sz w:val="24"/>
                <w:szCs w:val="24"/>
                <w:color w:val="auto"/>
              </w:rPr>
            </w:pPr>
          </w:p>
        </w:tc>
        <w:tc>
          <w:tcPr>
            <w:tcW w:w="1060" w:type="dxa"/>
            <w:vAlign w:val="bottom"/>
            <w:tcBorders>
              <w:bottom w:val="single" w:sz="8" w:color="auto"/>
            </w:tcBorders>
            <w:shd w:val="clear" w:color="auto" w:fill="E9E9E9"/>
          </w:tcPr>
          <w:p>
            <w:pPr>
              <w:spacing w:after="0"/>
              <w:rPr>
                <w:sz w:val="24"/>
                <w:szCs w:val="24"/>
                <w:color w:val="auto"/>
              </w:rPr>
            </w:pPr>
          </w:p>
        </w:tc>
        <w:tc>
          <w:tcPr>
            <w:tcW w:w="80" w:type="dxa"/>
            <w:vAlign w:val="bottom"/>
            <w:tcBorders>
              <w:bottom w:val="single" w:sz="8" w:color="E9E9E9"/>
            </w:tcBorders>
            <w:shd w:val="clear" w:color="auto" w:fill="E9E9E9"/>
          </w:tcPr>
          <w:p>
            <w:pPr>
              <w:spacing w:after="0"/>
              <w:rPr>
                <w:sz w:val="24"/>
                <w:szCs w:val="24"/>
                <w:color w:val="auto"/>
              </w:rPr>
            </w:pPr>
          </w:p>
        </w:tc>
        <w:tc>
          <w:tcPr>
            <w:tcW w:w="1620" w:type="dxa"/>
            <w:vAlign w:val="bottom"/>
            <w:tcBorders>
              <w:bottom w:val="single" w:sz="8" w:color="E9E9E9"/>
            </w:tcBorders>
            <w:shd w:val="clear" w:color="auto" w:fill="E9E9E9"/>
          </w:tcPr>
          <w:p>
            <w:pPr>
              <w:spacing w:after="0"/>
              <w:rPr>
                <w:sz w:val="24"/>
                <w:szCs w:val="24"/>
                <w:color w:val="auto"/>
              </w:rPr>
            </w:pPr>
          </w:p>
        </w:tc>
        <w:tc>
          <w:tcPr>
            <w:tcW w:w="80" w:type="dxa"/>
            <w:vAlign w:val="bottom"/>
            <w:tcBorders>
              <w:bottom w:val="single" w:sz="8" w:color="E9E9E9"/>
            </w:tcBorders>
            <w:shd w:val="clear" w:color="auto" w:fill="E9E9E9"/>
          </w:tcPr>
          <w:p>
            <w:pPr>
              <w:spacing w:after="0"/>
              <w:rPr>
                <w:sz w:val="24"/>
                <w:szCs w:val="24"/>
                <w:color w:val="auto"/>
              </w:rPr>
            </w:pPr>
          </w:p>
        </w:tc>
        <w:tc>
          <w:tcPr>
            <w:tcW w:w="1620" w:type="dxa"/>
            <w:vAlign w:val="bottom"/>
            <w:tcBorders>
              <w:bottom w:val="single" w:sz="8" w:color="E9E9E9"/>
            </w:tcBorders>
            <w:gridSpan w:val="2"/>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Discount rate</w:t>
            </w:r>
          </w:p>
        </w:tc>
        <w:tc>
          <w:tcPr>
            <w:tcW w:w="1180" w:type="dxa"/>
            <w:vAlign w:val="bottom"/>
            <w:tcBorders>
              <w:bottom w:val="single" w:sz="8" w:color="E9E9E9"/>
            </w:tcBorders>
            <w:shd w:val="clear" w:color="auto" w:fill="E9E9E9"/>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1260" w:type="dxa"/>
            <w:vAlign w:val="bottom"/>
            <w:tcBorders>
              <w:bottom w:val="single" w:sz="8" w:color="E9E9E9"/>
            </w:tcBorders>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15 %</w:t>
            </w: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1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2,700</w:t>
            </w: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1336675</wp:posOffset>
            </wp:positionH>
            <wp:positionV relativeFrom="paragraph">
              <wp:posOffset>-43180</wp:posOffset>
            </wp:positionV>
            <wp:extent cx="1621155" cy="495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21155" cy="49530"/>
                    </a:xfrm>
                    <a:prstGeom prst="rect">
                      <a:avLst/>
                    </a:prstGeom>
                    <a:noFill/>
                  </pic:spPr>
                </pic:pic>
              </a:graphicData>
            </a:graphic>
          </wp:anchor>
        </w:drawing>
      </w:r>
    </w:p>
    <w:p>
      <w:pPr>
        <w:spacing w:after="0" w:line="222" w:lineRule="exact"/>
        <w:rPr>
          <w:sz w:val="20"/>
          <w:szCs w:val="20"/>
          <w:color w:val="auto"/>
        </w:rPr>
      </w:pPr>
    </w:p>
    <w:p>
      <w:pPr>
        <w:ind w:right="460" w:firstLine="441"/>
        <w:spacing w:after="0" w:line="271" w:lineRule="auto"/>
        <w:rPr>
          <w:sz w:val="20"/>
          <w:szCs w:val="20"/>
          <w:color w:val="auto"/>
        </w:rPr>
      </w:pPr>
      <w:r>
        <w:rPr>
          <w:rFonts w:ascii="Times New Roman" w:cs="Times New Roman" w:eastAsia="Times New Roman" w:hAnsi="Times New Roman"/>
          <w:sz w:val="20"/>
          <w:szCs w:val="20"/>
          <w:color w:val="auto"/>
        </w:rPr>
        <w:t>For those financial instruments with significant Level 3 inputs, the following table summarizes the activities for the periods indicated:</w:t>
      </w:r>
    </w:p>
    <w:p>
      <w:pPr>
        <w:spacing w:after="0" w:line="222" w:lineRule="exact"/>
        <w:rPr>
          <w:sz w:val="20"/>
          <w:szCs w:val="20"/>
          <w:color w:val="auto"/>
        </w:rPr>
      </w:pPr>
    </w:p>
    <w:tbl>
      <w:tblPr>
        <w:tblLayout w:type="fixed"/>
        <w:tblInd w:w="1660" w:type="dxa"/>
        <w:tblCellMar>
          <w:top w:w="0" w:type="dxa"/>
          <w:left w:w="0" w:type="dxa"/>
          <w:bottom w:w="0" w:type="dxa"/>
          <w:right w:w="0" w:type="dxa"/>
        </w:tblCellMar>
      </w:tblPr>
      <w:tr>
        <w:trPr>
          <w:trHeight w:val="259"/>
        </w:trPr>
        <w:tc>
          <w:tcPr>
            <w:tcW w:w="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80" w:type="dxa"/>
            <w:vAlign w:val="bottom"/>
            <w:gridSpan w:val="4"/>
          </w:tcPr>
          <w:p>
            <w:pPr>
              <w:jc w:val="right"/>
              <w:ind w:right="582"/>
              <w:spacing w:after="0"/>
              <w:rPr>
                <w:sz w:val="20"/>
                <w:szCs w:val="20"/>
                <w:color w:val="auto"/>
              </w:rPr>
            </w:pPr>
            <w:r>
              <w:rPr>
                <w:rFonts w:ascii="Times New Roman" w:cs="Times New Roman" w:eastAsia="Times New Roman" w:hAnsi="Times New Roman"/>
                <w:sz w:val="20"/>
                <w:szCs w:val="20"/>
                <w:b w:val="1"/>
                <w:bCs w:val="1"/>
                <w:color w:val="auto"/>
              </w:rPr>
              <w:t>Financial Liabilities</w:t>
            </w:r>
          </w:p>
        </w:tc>
      </w:tr>
      <w:tr>
        <w:trPr>
          <w:trHeight w:val="238"/>
        </w:trPr>
        <w:tc>
          <w:tcPr>
            <w:tcW w:w="40" w:type="dxa"/>
            <w:vAlign w:val="bottom"/>
          </w:tcPr>
          <w:p>
            <w:pPr>
              <w:spacing w:after="0"/>
              <w:rPr>
                <w:sz w:val="20"/>
                <w:szCs w:val="20"/>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280" w:type="dxa"/>
            <w:vAlign w:val="bottom"/>
          </w:tcPr>
          <w:p>
            <w:pPr>
              <w:spacing w:after="0"/>
              <w:rPr>
                <w:sz w:val="20"/>
                <w:szCs w:val="20"/>
                <w:color w:val="auto"/>
              </w:rPr>
            </w:pPr>
          </w:p>
        </w:tc>
        <w:tc>
          <w:tcPr>
            <w:tcW w:w="2780" w:type="dxa"/>
            <w:vAlign w:val="bottom"/>
            <w:gridSpan w:val="4"/>
          </w:tcPr>
          <w:p>
            <w:pPr>
              <w:jc w:val="right"/>
              <w:ind w:right="282"/>
              <w:spacing w:after="0"/>
              <w:rPr>
                <w:sz w:val="20"/>
                <w:szCs w:val="20"/>
                <w:color w:val="auto"/>
              </w:rPr>
            </w:pPr>
            <w:r>
              <w:rPr>
                <w:rFonts w:ascii="Times New Roman" w:cs="Times New Roman" w:eastAsia="Times New Roman" w:hAnsi="Times New Roman"/>
                <w:sz w:val="20"/>
                <w:szCs w:val="20"/>
                <w:b w:val="1"/>
                <w:bCs w:val="1"/>
                <w:color w:val="auto"/>
              </w:rPr>
              <w:t>Years Ended December 31,</w:t>
            </w:r>
          </w:p>
        </w:tc>
      </w:tr>
      <w:tr>
        <w:trPr>
          <w:trHeight w:val="25"/>
        </w:trPr>
        <w:tc>
          <w:tcPr>
            <w:tcW w:w="4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2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9"/>
        </w:trPr>
        <w:tc>
          <w:tcPr>
            <w:tcW w:w="40" w:type="dxa"/>
            <w:vAlign w:val="bottom"/>
            <w:tcBorders>
              <w:bottom w:val="single" w:sz="8" w:color="E9E9E9"/>
            </w:tcBorders>
          </w:tcPr>
          <w:p>
            <w:pPr>
              <w:spacing w:after="0"/>
              <w:rPr>
                <w:sz w:val="22"/>
                <w:szCs w:val="22"/>
                <w:color w:val="auto"/>
              </w:rPr>
            </w:pPr>
          </w:p>
        </w:tc>
        <w:tc>
          <w:tcPr>
            <w:tcW w:w="1200" w:type="dxa"/>
            <w:vAlign w:val="bottom"/>
            <w:tcBorders>
              <w:bottom w:val="single" w:sz="8" w:color="E9E9E9"/>
            </w:tcBorders>
          </w:tcPr>
          <w:p>
            <w:pPr>
              <w:spacing w:after="0"/>
              <w:rPr>
                <w:sz w:val="22"/>
                <w:szCs w:val="22"/>
                <w:color w:val="auto"/>
              </w:rPr>
            </w:pPr>
          </w:p>
        </w:tc>
        <w:tc>
          <w:tcPr>
            <w:tcW w:w="2980" w:type="dxa"/>
            <w:vAlign w:val="bottom"/>
            <w:tcBorders>
              <w:bottom w:val="single" w:sz="8" w:color="E9E9E9"/>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Borders>
              <w:bottom w:val="single" w:sz="8" w:color="E9E9E9"/>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84"/>
        </w:trPr>
        <w:tc>
          <w:tcPr>
            <w:tcW w:w="40" w:type="dxa"/>
            <w:vAlign w:val="bottom"/>
            <w:shd w:val="clear" w:color="auto" w:fill="E9E9E9"/>
          </w:tcPr>
          <w:p>
            <w:pPr>
              <w:spacing w:after="0"/>
              <w:rPr>
                <w:sz w:val="24"/>
                <w:szCs w:val="24"/>
                <w:color w:val="auto"/>
              </w:rPr>
            </w:pPr>
          </w:p>
        </w:tc>
        <w:tc>
          <w:tcPr>
            <w:tcW w:w="4180" w:type="dxa"/>
            <w:vAlign w:val="bottom"/>
            <w:gridSpan w:val="2"/>
            <w:shd w:val="clear" w:color="auto" w:fill="E9E9E9"/>
          </w:tcPr>
          <w:p>
            <w:pPr>
              <w:spacing w:after="0"/>
              <w:rPr>
                <w:sz w:val="20"/>
                <w:szCs w:val="20"/>
                <w:color w:val="auto"/>
              </w:rPr>
            </w:pPr>
            <w:r>
              <w:rPr>
                <w:rFonts w:ascii="Times New Roman" w:cs="Times New Roman" w:eastAsia="Times New Roman" w:hAnsi="Times New Roman"/>
                <w:sz w:val="20"/>
                <w:szCs w:val="20"/>
                <w:color w:val="auto"/>
              </w:rPr>
              <w:t>Fair value, beginning of period</w:t>
            </w:r>
          </w:p>
        </w:tc>
        <w:tc>
          <w:tcPr>
            <w:tcW w:w="280" w:type="dxa"/>
            <w:vAlign w:val="bottom"/>
            <w:shd w:val="clear" w:color="auto" w:fill="E9E9E9"/>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2,700</w:t>
            </w:r>
          </w:p>
        </w:tc>
        <w:tc>
          <w:tcPr>
            <w:tcW w:w="420" w:type="dxa"/>
            <w:vAlign w:val="bottom"/>
            <w:gridSpan w:val="2"/>
            <w:shd w:val="clear" w:color="auto" w:fill="E9E9E9"/>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111,600</w:t>
            </w:r>
          </w:p>
        </w:tc>
      </w:tr>
      <w:tr>
        <w:trPr>
          <w:trHeight w:val="287"/>
        </w:trPr>
        <w:tc>
          <w:tcPr>
            <w:tcW w:w="40" w:type="dxa"/>
            <w:vAlign w:val="bottom"/>
          </w:tcPr>
          <w:p>
            <w:pPr>
              <w:spacing w:after="0"/>
              <w:rPr>
                <w:sz w:val="24"/>
                <w:szCs w:val="24"/>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Changes in fair value included in net income</w:t>
            </w:r>
          </w:p>
        </w:tc>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(9,275)</w:t>
            </w:r>
          </w:p>
        </w:tc>
      </w:tr>
      <w:tr>
        <w:trPr>
          <w:trHeight w:val="301"/>
        </w:trPr>
        <w:tc>
          <w:tcPr>
            <w:tcW w:w="40" w:type="dxa"/>
            <w:vAlign w:val="bottom"/>
            <w:shd w:val="clear" w:color="auto" w:fill="E9E9E9"/>
          </w:tcPr>
          <w:p>
            <w:pPr>
              <w:spacing w:after="0"/>
              <w:rPr>
                <w:sz w:val="24"/>
                <w:szCs w:val="24"/>
                <w:color w:val="auto"/>
              </w:rPr>
            </w:pPr>
          </w:p>
        </w:tc>
        <w:tc>
          <w:tcPr>
            <w:tcW w:w="4180" w:type="dxa"/>
            <w:vAlign w:val="bottom"/>
            <w:gridSpan w:val="2"/>
            <w:shd w:val="clear" w:color="auto" w:fill="E9E9E9"/>
          </w:tcPr>
          <w:p>
            <w:pPr>
              <w:spacing w:after="0"/>
              <w:rPr>
                <w:sz w:val="20"/>
                <w:szCs w:val="20"/>
                <w:color w:val="auto"/>
              </w:rPr>
            </w:pPr>
            <w:r>
              <w:rPr>
                <w:rFonts w:ascii="Times New Roman" w:cs="Times New Roman" w:eastAsia="Times New Roman" w:hAnsi="Times New Roman"/>
                <w:sz w:val="20"/>
                <w:szCs w:val="20"/>
                <w:color w:val="auto"/>
              </w:rPr>
              <w:t>Gain on partial buyout of 2013 Milestone Rights</w:t>
            </w:r>
          </w:p>
        </w:tc>
        <w:tc>
          <w:tcPr>
            <w:tcW w:w="280" w:type="dxa"/>
            <w:vAlign w:val="bottom"/>
            <w:shd w:val="clear" w:color="auto" w:fill="E9E9E9"/>
          </w:tcPr>
          <w:p>
            <w:pPr>
              <w:spacing w:after="0"/>
              <w:rPr>
                <w:sz w:val="24"/>
                <w:szCs w:val="24"/>
                <w:color w:val="auto"/>
              </w:rPr>
            </w:pPr>
          </w:p>
        </w:tc>
        <w:tc>
          <w:tcPr>
            <w:tcW w:w="12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(1,505)</w:t>
            </w:r>
          </w:p>
        </w:tc>
        <w:tc>
          <w:tcPr>
            <w:tcW w:w="60" w:type="dxa"/>
            <w:vAlign w:val="bottom"/>
            <w:shd w:val="clear" w:color="auto" w:fill="E9E9E9"/>
          </w:tcPr>
          <w:p>
            <w:pPr>
              <w:spacing w:after="0"/>
              <w:rPr>
                <w:sz w:val="24"/>
                <w:szCs w:val="24"/>
                <w:color w:val="auto"/>
              </w:rPr>
            </w:pPr>
          </w:p>
        </w:tc>
        <w:tc>
          <w:tcPr>
            <w:tcW w:w="360" w:type="dxa"/>
            <w:vAlign w:val="bottom"/>
            <w:shd w:val="clear" w:color="auto" w:fill="E9E9E9"/>
          </w:tcPr>
          <w:p>
            <w:pPr>
              <w:spacing w:after="0"/>
              <w:rPr>
                <w:sz w:val="24"/>
                <w:szCs w:val="24"/>
                <w:color w:val="auto"/>
              </w:rPr>
            </w:pPr>
          </w:p>
        </w:tc>
        <w:tc>
          <w:tcPr>
            <w:tcW w:w="11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4"/>
        </w:trPr>
        <w:tc>
          <w:tcPr>
            <w:tcW w:w="40" w:type="dxa"/>
            <w:vAlign w:val="bottom"/>
            <w:tcBorders>
              <w:bottom w:val="single" w:sz="8" w:color="E9E9E9"/>
            </w:tcBorders>
          </w:tcPr>
          <w:p>
            <w:pPr>
              <w:spacing w:after="0"/>
              <w:rPr>
                <w:sz w:val="24"/>
                <w:szCs w:val="24"/>
                <w:color w:val="auto"/>
              </w:rPr>
            </w:pPr>
          </w:p>
        </w:tc>
        <w:tc>
          <w:tcPr>
            <w:tcW w:w="4180" w:type="dxa"/>
            <w:vAlign w:val="bottom"/>
            <w:tcBorders>
              <w:bottom w:val="single" w:sz="8" w:color="E9E9E9"/>
            </w:tcBorders>
            <w:gridSpan w:val="2"/>
          </w:tcPr>
          <w:p>
            <w:pPr>
              <w:spacing w:after="0"/>
              <w:rPr>
                <w:sz w:val="20"/>
                <w:szCs w:val="20"/>
                <w:color w:val="auto"/>
              </w:rPr>
            </w:pPr>
            <w:r>
              <w:rPr>
                <w:rFonts w:ascii="Times New Roman" w:cs="Times New Roman" w:eastAsia="Times New Roman" w:hAnsi="Times New Roman"/>
                <w:sz w:val="20"/>
                <w:szCs w:val="20"/>
                <w:color w:val="auto"/>
              </w:rPr>
              <w:t>Cash Payments</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Borders>
              <w:bottom w:val="single" w:sz="8" w:color="E9E9E9"/>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(99,625)</w:t>
            </w:r>
          </w:p>
        </w:tc>
      </w:tr>
      <w:tr>
        <w:trPr>
          <w:trHeight w:val="294"/>
        </w:trPr>
        <w:tc>
          <w:tcPr>
            <w:tcW w:w="40" w:type="dxa"/>
            <w:vAlign w:val="bottom"/>
            <w:tcBorders>
              <w:bottom w:val="single" w:sz="8" w:color="E9E9E9"/>
            </w:tcBorders>
            <w:shd w:val="clear" w:color="auto" w:fill="E9E9E9"/>
          </w:tcPr>
          <w:p>
            <w:pPr>
              <w:spacing w:after="0"/>
              <w:rPr>
                <w:sz w:val="24"/>
                <w:szCs w:val="24"/>
                <w:color w:val="auto"/>
              </w:rPr>
            </w:pPr>
          </w:p>
        </w:tc>
        <w:tc>
          <w:tcPr>
            <w:tcW w:w="4180" w:type="dxa"/>
            <w:vAlign w:val="bottom"/>
            <w:tcBorders>
              <w:bottom w:val="single" w:sz="8" w:color="E9E9E9"/>
            </w:tcBorders>
            <w:gridSpan w:val="2"/>
            <w:shd w:val="clear" w:color="auto" w:fill="E9E9E9"/>
          </w:tcPr>
          <w:p>
            <w:pPr>
              <w:spacing w:after="0"/>
              <w:rPr>
                <w:sz w:val="20"/>
                <w:szCs w:val="20"/>
                <w:color w:val="auto"/>
              </w:rPr>
            </w:pPr>
            <w:r>
              <w:rPr>
                <w:rFonts w:ascii="Times New Roman" w:cs="Times New Roman" w:eastAsia="Times New Roman" w:hAnsi="Times New Roman"/>
                <w:sz w:val="20"/>
                <w:szCs w:val="20"/>
                <w:color w:val="auto"/>
              </w:rPr>
              <w:t>Fair value, end of period</w:t>
            </w:r>
          </w:p>
        </w:tc>
        <w:tc>
          <w:tcPr>
            <w:tcW w:w="280" w:type="dxa"/>
            <w:vAlign w:val="bottom"/>
            <w:tcBorders>
              <w:bottom w:val="single" w:sz="8" w:color="auto"/>
            </w:tcBorders>
            <w:shd w:val="clear" w:color="auto" w:fill="E9E9E9"/>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9E9E9"/>
            </w:tcBorders>
            <w:shd w:val="clear" w:color="auto" w:fill="E9E9E9"/>
          </w:tcPr>
          <w:p>
            <w:pPr>
              <w:spacing w:after="0"/>
              <w:rPr>
                <w:sz w:val="24"/>
                <w:szCs w:val="24"/>
                <w:color w:val="auto"/>
              </w:rPr>
            </w:pPr>
          </w:p>
        </w:tc>
        <w:tc>
          <w:tcPr>
            <w:tcW w:w="360" w:type="dxa"/>
            <w:vAlign w:val="bottom"/>
            <w:tcBorders>
              <w:bottom w:val="single" w:sz="8" w:color="auto"/>
            </w:tcBorders>
            <w:shd w:val="clear" w:color="auto" w:fill="E9E9E9"/>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2,700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-43180</wp:posOffset>
            </wp:positionV>
            <wp:extent cx="1966595" cy="495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66595" cy="49530"/>
                    </a:xfrm>
                    <a:prstGeom prst="rect">
                      <a:avLst/>
                    </a:prstGeom>
                    <a:noFill/>
                  </pic:spPr>
                </pic:pic>
              </a:graphicData>
            </a:graphic>
          </wp:anchor>
        </w:drawing>
      </w:r>
    </w:p>
    <w:p>
      <w:pPr>
        <w:spacing w:after="0" w:line="105"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20"/>
          <w:szCs w:val="20"/>
          <w:color w:val="auto"/>
        </w:rPr>
        <w:t>The change in fair value of the contingent financial liabilities resulted in a decrease of general and administrative expense of $1.2 million for the year ended December 31, 2024. In August 2024, the Company entered into a bill of sale with the holder of a significant portion of the contingent milestone rights related to the 2013 Acquisition (the “2013 Milestone Rights”) to transfer the holder’s portion of the 2013 Milestone Rights back to the Company for $1,000. This buyout resulted in a $1.5 million decrease in general and administrative expense during 2024 due to the reduction in outstanding 2013 Milestone Rights.</w:t>
      </w:r>
    </w:p>
    <w:p>
      <w:pPr>
        <w:sectPr>
          <w:pgSz w:w="11880" w:h="15480" w:orient="portrait"/>
          <w:cols w:equalWidth="0" w:num="1">
            <w:col w:w="10580"/>
          </w:cols>
          <w:pgMar w:left="640" w:top="690"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101</w:t>
      </w:r>
    </w:p>
    <w:p>
      <w:pPr>
        <w:sectPr>
          <w:pgSz w:w="11880" w:h="15480" w:orient="portrait"/>
          <w:cols w:equalWidth="0" w:num="1">
            <w:col w:w="10580"/>
          </w:cols>
          <w:pgMar w:left="640" w:top="690" w:right="660" w:bottom="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b w:val="1"/>
          <w:bCs w:val="1"/>
          <w:color w:val="auto"/>
        </w:rPr>
        <w:t>5. Income Taxes</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The components of income before income taxes consists of the following:</w:t>
      </w: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262"/>
        </w:trPr>
        <w:tc>
          <w:tcPr>
            <w:tcW w:w="372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28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720" w:type="dxa"/>
            <w:vAlign w:val="bottom"/>
            <w:tcBorders>
              <w:bottom w:val="single" w:sz="8" w:color="E9E9E9"/>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line="215" w:lineRule="exact"/>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Borders>
              <w:bottom w:val="single" w:sz="8" w:color="E9E9E9"/>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line="215" w:lineRule="exact"/>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Borders>
              <w:bottom w:val="single" w:sz="8" w:color="E9E9E9"/>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62"/>
              <w:spacing w:after="0" w:line="215" w:lineRule="exact"/>
              <w:rPr>
                <w:sz w:val="20"/>
                <w:szCs w:val="20"/>
                <w:color w:val="auto"/>
              </w:rPr>
            </w:pPr>
            <w:r>
              <w:rPr>
                <w:rFonts w:ascii="Times New Roman" w:cs="Times New Roman" w:eastAsia="Times New Roman" w:hAnsi="Times New Roman"/>
                <w:sz w:val="20"/>
                <w:szCs w:val="20"/>
                <w:b w:val="1"/>
                <w:bCs w:val="1"/>
                <w:color w:val="auto"/>
                <w:w w:val="99"/>
              </w:rPr>
              <w:t>2022</w:t>
            </w:r>
          </w:p>
        </w:tc>
        <w:tc>
          <w:tcPr>
            <w:tcW w:w="0" w:type="dxa"/>
            <w:vAlign w:val="bottom"/>
          </w:tcPr>
          <w:p>
            <w:pPr>
              <w:spacing w:after="0"/>
              <w:rPr>
                <w:sz w:val="1"/>
                <w:szCs w:val="1"/>
                <w:color w:val="auto"/>
              </w:rPr>
            </w:pPr>
          </w:p>
        </w:tc>
      </w:tr>
      <w:tr>
        <w:trPr>
          <w:trHeight w:val="269"/>
        </w:trPr>
        <w:tc>
          <w:tcPr>
            <w:tcW w:w="372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U.S.</w:t>
            </w:r>
          </w:p>
        </w:tc>
        <w:tc>
          <w:tcPr>
            <w:tcW w:w="300" w:type="dxa"/>
            <w:vAlign w:val="bottom"/>
            <w:shd w:val="clear" w:color="auto" w:fill="E9E9E9"/>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429,899</w:t>
            </w:r>
          </w:p>
        </w:tc>
        <w:tc>
          <w:tcPr>
            <w:tcW w:w="380" w:type="dxa"/>
            <w:vAlign w:val="bottom"/>
            <w:gridSpan w:val="2"/>
            <w:shd w:val="clear" w:color="auto" w:fill="E9E9E9"/>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410,326</w:t>
            </w:r>
          </w:p>
        </w:tc>
        <w:tc>
          <w:tcPr>
            <w:tcW w:w="480" w:type="dxa"/>
            <w:vAlign w:val="bottom"/>
            <w:gridSpan w:val="2"/>
            <w:shd w:val="clear" w:color="auto" w:fill="E9E9E9"/>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29,012</w:t>
            </w:r>
          </w:p>
        </w:tc>
        <w:tc>
          <w:tcPr>
            <w:tcW w:w="0" w:type="dxa"/>
            <w:vAlign w:val="bottom"/>
          </w:tcPr>
          <w:p>
            <w:pPr>
              <w:spacing w:after="0"/>
              <w:rPr>
                <w:sz w:val="1"/>
                <w:szCs w:val="1"/>
                <w:color w:val="auto"/>
              </w:rPr>
            </w:pPr>
          </w:p>
        </w:tc>
      </w:tr>
      <w:tr>
        <w:trPr>
          <w:trHeight w:val="269"/>
        </w:trPr>
        <w:tc>
          <w:tcPr>
            <w:tcW w:w="3720" w:type="dxa"/>
            <w:vAlign w:val="bottom"/>
            <w:tcBorders>
              <w:bottom w:val="single" w:sz="8" w:color="E9E9E9"/>
            </w:tcBorders>
          </w:tcPr>
          <w:p>
            <w:pPr>
              <w:ind w:left="60"/>
              <w:spacing w:after="0"/>
              <w:rPr>
                <w:sz w:val="20"/>
                <w:szCs w:val="20"/>
                <w:color w:val="auto"/>
              </w:rPr>
            </w:pPr>
            <w:r>
              <w:rPr>
                <w:rFonts w:ascii="Times New Roman" w:cs="Times New Roman" w:eastAsia="Times New Roman" w:hAnsi="Times New Roman"/>
                <w:sz w:val="20"/>
                <w:szCs w:val="20"/>
                <w:color w:val="auto"/>
              </w:rPr>
              <w:t>International</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1,078</w:t>
            </w:r>
          </w:p>
        </w:tc>
        <w:tc>
          <w:tcPr>
            <w:tcW w:w="80" w:type="dxa"/>
            <w:vAlign w:val="bottom"/>
            <w:tcBorders>
              <w:bottom w:val="single" w:sz="8" w:color="E9E9E9"/>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617</w:t>
            </w:r>
          </w:p>
        </w:tc>
        <w:tc>
          <w:tcPr>
            <w:tcW w:w="80" w:type="dxa"/>
            <w:vAlign w:val="bottom"/>
            <w:tcBorders>
              <w:bottom w:val="single" w:sz="8" w:color="E9E9E9"/>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(2,293)</w:t>
            </w:r>
          </w:p>
        </w:tc>
        <w:tc>
          <w:tcPr>
            <w:tcW w:w="0" w:type="dxa"/>
            <w:vAlign w:val="bottom"/>
          </w:tcPr>
          <w:p>
            <w:pPr>
              <w:spacing w:after="0"/>
              <w:rPr>
                <w:sz w:val="1"/>
                <w:szCs w:val="1"/>
                <w:color w:val="auto"/>
              </w:rPr>
            </w:pPr>
          </w:p>
        </w:tc>
      </w:tr>
      <w:tr>
        <w:trPr>
          <w:trHeight w:val="279"/>
        </w:trPr>
        <w:tc>
          <w:tcPr>
            <w:tcW w:w="3720" w:type="dxa"/>
            <w:vAlign w:val="bottom"/>
            <w:tcBorders>
              <w:bottom w:val="single" w:sz="8" w:color="E9E9E9"/>
            </w:tcBorders>
            <w:shd w:val="clear" w:color="auto" w:fill="E9E9E9"/>
          </w:tcPr>
          <w:p>
            <w:pPr>
              <w:ind w:left="420"/>
              <w:spacing w:after="0"/>
              <w:rPr>
                <w:sz w:val="20"/>
                <w:szCs w:val="20"/>
                <w:color w:val="auto"/>
              </w:rPr>
            </w:pPr>
            <w:r>
              <w:rPr>
                <w:rFonts w:ascii="Times New Roman" w:cs="Times New Roman" w:eastAsia="Times New Roman" w:hAnsi="Times New Roman"/>
                <w:sz w:val="20"/>
                <w:szCs w:val="20"/>
                <w:color w:val="auto"/>
              </w:rPr>
              <w:t>Income before income taxes</w:t>
            </w:r>
          </w:p>
        </w:tc>
        <w:tc>
          <w:tcPr>
            <w:tcW w:w="300" w:type="dxa"/>
            <w:vAlign w:val="bottom"/>
            <w:tcBorders>
              <w:bottom w:val="single" w:sz="8" w:color="auto"/>
            </w:tcBorders>
            <w:shd w:val="clear" w:color="auto" w:fill="E9E9E9"/>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430,977</w:t>
            </w:r>
          </w:p>
        </w:tc>
        <w:tc>
          <w:tcPr>
            <w:tcW w:w="80" w:type="dxa"/>
            <w:vAlign w:val="bottom"/>
            <w:tcBorders>
              <w:bottom w:val="single" w:sz="8" w:color="E9E9E9"/>
            </w:tcBorders>
            <w:shd w:val="clear" w:color="auto" w:fill="E9E9E9"/>
          </w:tcPr>
          <w:p>
            <w:pPr>
              <w:spacing w:after="0"/>
              <w:rPr>
                <w:sz w:val="24"/>
                <w:szCs w:val="24"/>
                <w:color w:val="auto"/>
              </w:rPr>
            </w:pPr>
          </w:p>
        </w:tc>
        <w:tc>
          <w:tcPr>
            <w:tcW w:w="300" w:type="dxa"/>
            <w:vAlign w:val="bottom"/>
            <w:tcBorders>
              <w:bottom w:val="single" w:sz="8" w:color="auto"/>
            </w:tcBorders>
            <w:shd w:val="clear" w:color="auto" w:fill="E9E9E9"/>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410,943</w:t>
            </w:r>
          </w:p>
        </w:tc>
        <w:tc>
          <w:tcPr>
            <w:tcW w:w="80" w:type="dxa"/>
            <w:vAlign w:val="bottom"/>
            <w:tcBorders>
              <w:bottom w:val="single" w:sz="8" w:color="E9E9E9"/>
            </w:tcBorders>
            <w:shd w:val="clear" w:color="auto" w:fill="E9E9E9"/>
          </w:tcPr>
          <w:p>
            <w:pPr>
              <w:spacing w:after="0"/>
              <w:rPr>
                <w:sz w:val="24"/>
                <w:szCs w:val="24"/>
                <w:color w:val="auto"/>
              </w:rPr>
            </w:pPr>
          </w:p>
        </w:tc>
        <w:tc>
          <w:tcPr>
            <w:tcW w:w="400" w:type="dxa"/>
            <w:vAlign w:val="bottom"/>
            <w:tcBorders>
              <w:bottom w:val="single" w:sz="8" w:color="auto"/>
            </w:tcBorders>
            <w:shd w:val="clear" w:color="auto" w:fill="E9E9E9"/>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26,719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3268980</wp:posOffset>
            </wp:positionH>
            <wp:positionV relativeFrom="paragraph">
              <wp:posOffset>-43180</wp:posOffset>
            </wp:positionV>
            <wp:extent cx="2555240" cy="501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55240" cy="50165"/>
                    </a:xfrm>
                    <a:prstGeom prst="rect">
                      <a:avLst/>
                    </a:prstGeom>
                    <a:noFill/>
                  </pic:spPr>
                </pic:pic>
              </a:graphicData>
            </a:graphic>
          </wp:anchor>
        </w:drawing>
      </w:r>
    </w:p>
    <w:p>
      <w:pPr>
        <w:spacing w:after="0" w:line="2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The Company’s income tax expense (benefit) consists of the following:</w:t>
      </w:r>
    </w:p>
    <w:p>
      <w:pPr>
        <w:spacing w:after="0" w:line="206" w:lineRule="exact"/>
        <w:rPr>
          <w:sz w:val="20"/>
          <w:szCs w:val="20"/>
          <w:color w:val="auto"/>
        </w:rPr>
      </w:pPr>
    </w:p>
    <w:tbl>
      <w:tblPr>
        <w:tblLayout w:type="fixed"/>
        <w:tblInd w:w="1780" w:type="dxa"/>
        <w:tblCellMar>
          <w:top w:w="0" w:type="dxa"/>
          <w:left w:w="0" w:type="dxa"/>
          <w:bottom w:w="0" w:type="dxa"/>
          <w:right w:w="0" w:type="dxa"/>
        </w:tblCellMar>
      </w:tblPr>
      <w:tr>
        <w:trPr>
          <w:trHeight w:val="262"/>
        </w:trPr>
        <w:tc>
          <w:tcPr>
            <w:tcW w:w="3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8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60" w:type="dxa"/>
            <w:vAlign w:val="bottom"/>
            <w:tcBorders>
              <w:bottom w:val="single" w:sz="8" w:color="auto"/>
            </w:tcBorders>
          </w:tcPr>
          <w:p>
            <w:pPr>
              <w:spacing w:after="0"/>
              <w:rPr>
                <w:sz w:val="22"/>
                <w:szCs w:val="22"/>
                <w:color w:val="auto"/>
              </w:rPr>
            </w:pPr>
          </w:p>
        </w:tc>
      </w:tr>
      <w:tr>
        <w:trPr>
          <w:trHeight w:val="259"/>
        </w:trPr>
        <w:tc>
          <w:tcPr>
            <w:tcW w:w="3060" w:type="dxa"/>
            <w:vAlign w:val="bottom"/>
            <w:tcBorders>
              <w:bottom w:val="single" w:sz="8" w:color="E9E9E9"/>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Borders>
              <w:bottom w:val="single" w:sz="8" w:color="E9E9E9"/>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Borders>
              <w:bottom w:val="single" w:sz="8" w:color="E9E9E9"/>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20"/>
                <w:szCs w:val="20"/>
                <w:b w:val="1"/>
                <w:bCs w:val="1"/>
                <w:color w:val="auto"/>
                <w:w w:val="99"/>
              </w:rPr>
              <w:t>2022</w:t>
            </w:r>
          </w:p>
        </w:tc>
      </w:tr>
      <w:tr>
        <w:trPr>
          <w:trHeight w:val="264"/>
        </w:trPr>
        <w:tc>
          <w:tcPr>
            <w:tcW w:w="3060" w:type="dxa"/>
            <w:vAlign w:val="bottom"/>
            <w:tcBorders>
              <w:bottom w:val="single" w:sz="8" w:color="E9E9E9"/>
            </w:tcBorders>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Current</w:t>
            </w:r>
          </w:p>
        </w:tc>
        <w:tc>
          <w:tcPr>
            <w:tcW w:w="300" w:type="dxa"/>
            <w:vAlign w:val="bottom"/>
            <w:tcBorders>
              <w:bottom w:val="single" w:sz="8" w:color="E9E9E9"/>
            </w:tcBorders>
            <w:shd w:val="clear" w:color="auto" w:fill="E9E9E9"/>
          </w:tcPr>
          <w:p>
            <w:pPr>
              <w:spacing w:after="0"/>
              <w:rPr>
                <w:sz w:val="22"/>
                <w:szCs w:val="22"/>
                <w:color w:val="auto"/>
              </w:rPr>
            </w:pPr>
          </w:p>
        </w:tc>
        <w:tc>
          <w:tcPr>
            <w:tcW w:w="980" w:type="dxa"/>
            <w:vAlign w:val="bottom"/>
            <w:tcBorders>
              <w:bottom w:val="single" w:sz="8" w:color="E9E9E9"/>
            </w:tcBorders>
            <w:shd w:val="clear" w:color="auto" w:fill="E9E9E9"/>
          </w:tcPr>
          <w:p>
            <w:pPr>
              <w:spacing w:after="0"/>
              <w:rPr>
                <w:sz w:val="22"/>
                <w:szCs w:val="22"/>
                <w:color w:val="auto"/>
              </w:rPr>
            </w:pPr>
          </w:p>
        </w:tc>
        <w:tc>
          <w:tcPr>
            <w:tcW w:w="60" w:type="dxa"/>
            <w:vAlign w:val="bottom"/>
            <w:tcBorders>
              <w:bottom w:val="single" w:sz="8" w:color="E9E9E9"/>
            </w:tcBorders>
            <w:shd w:val="clear" w:color="auto" w:fill="E9E9E9"/>
          </w:tcPr>
          <w:p>
            <w:pPr>
              <w:spacing w:after="0"/>
              <w:rPr>
                <w:sz w:val="22"/>
                <w:szCs w:val="22"/>
                <w:color w:val="auto"/>
              </w:rPr>
            </w:pPr>
          </w:p>
        </w:tc>
        <w:tc>
          <w:tcPr>
            <w:tcW w:w="300" w:type="dxa"/>
            <w:vAlign w:val="bottom"/>
            <w:tcBorders>
              <w:bottom w:val="single" w:sz="8" w:color="E9E9E9"/>
            </w:tcBorders>
            <w:shd w:val="clear" w:color="auto" w:fill="E9E9E9"/>
          </w:tcPr>
          <w:p>
            <w:pPr>
              <w:spacing w:after="0"/>
              <w:rPr>
                <w:sz w:val="22"/>
                <w:szCs w:val="22"/>
                <w:color w:val="auto"/>
              </w:rPr>
            </w:pPr>
          </w:p>
        </w:tc>
        <w:tc>
          <w:tcPr>
            <w:tcW w:w="980" w:type="dxa"/>
            <w:vAlign w:val="bottom"/>
            <w:tcBorders>
              <w:bottom w:val="single" w:sz="8" w:color="E9E9E9"/>
            </w:tcBorders>
            <w:shd w:val="clear" w:color="auto" w:fill="E9E9E9"/>
          </w:tcPr>
          <w:p>
            <w:pPr>
              <w:spacing w:after="0"/>
              <w:rPr>
                <w:sz w:val="22"/>
                <w:szCs w:val="22"/>
                <w:color w:val="auto"/>
              </w:rPr>
            </w:pPr>
          </w:p>
        </w:tc>
        <w:tc>
          <w:tcPr>
            <w:tcW w:w="80" w:type="dxa"/>
            <w:vAlign w:val="bottom"/>
            <w:tcBorders>
              <w:bottom w:val="single" w:sz="8" w:color="E9E9E9"/>
            </w:tcBorders>
            <w:shd w:val="clear" w:color="auto" w:fill="E9E9E9"/>
          </w:tcPr>
          <w:p>
            <w:pPr>
              <w:spacing w:after="0"/>
              <w:rPr>
                <w:sz w:val="22"/>
                <w:szCs w:val="22"/>
                <w:color w:val="auto"/>
              </w:rPr>
            </w:pPr>
          </w:p>
        </w:tc>
        <w:tc>
          <w:tcPr>
            <w:tcW w:w="420" w:type="dxa"/>
            <w:vAlign w:val="bottom"/>
            <w:tcBorders>
              <w:bottom w:val="single" w:sz="8" w:color="E9E9E9"/>
            </w:tcBorders>
            <w:shd w:val="clear" w:color="auto" w:fill="E9E9E9"/>
          </w:tcPr>
          <w:p>
            <w:pPr>
              <w:spacing w:after="0"/>
              <w:rPr>
                <w:sz w:val="22"/>
                <w:szCs w:val="22"/>
                <w:color w:val="auto"/>
              </w:rPr>
            </w:pPr>
          </w:p>
        </w:tc>
        <w:tc>
          <w:tcPr>
            <w:tcW w:w="860" w:type="dxa"/>
            <w:vAlign w:val="bottom"/>
            <w:tcBorders>
              <w:bottom w:val="single" w:sz="8" w:color="E9E9E9"/>
            </w:tcBorders>
            <w:shd w:val="clear" w:color="auto" w:fill="E9E9E9"/>
          </w:tcPr>
          <w:p>
            <w:pPr>
              <w:spacing w:after="0"/>
              <w:rPr>
                <w:sz w:val="22"/>
                <w:szCs w:val="22"/>
                <w:color w:val="auto"/>
              </w:rPr>
            </w:pPr>
          </w:p>
        </w:tc>
      </w:tr>
      <w:tr>
        <w:trPr>
          <w:trHeight w:val="287"/>
        </w:trPr>
        <w:tc>
          <w:tcPr>
            <w:tcW w:w="30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Federal</w:t>
            </w:r>
          </w:p>
        </w:tc>
        <w:tc>
          <w:tcPr>
            <w:tcW w:w="30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114,645</w:t>
            </w:r>
          </w:p>
        </w:tc>
        <w:tc>
          <w:tcPr>
            <w:tcW w:w="360" w:type="dxa"/>
            <w:vAlign w:val="bottom"/>
            <w:gridSpan w:val="2"/>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110,108</w:t>
            </w:r>
          </w:p>
        </w:tc>
        <w:tc>
          <w:tcPr>
            <w:tcW w:w="500" w:type="dxa"/>
            <w:vAlign w:val="bottom"/>
            <w:gridSpan w:val="2"/>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42,532</w:t>
            </w:r>
          </w:p>
        </w:tc>
      </w:tr>
      <w:tr>
        <w:trPr>
          <w:trHeight w:val="301"/>
        </w:trPr>
        <w:tc>
          <w:tcPr>
            <w:tcW w:w="3060" w:type="dxa"/>
            <w:vAlign w:val="bottom"/>
            <w:shd w:val="clear" w:color="auto" w:fill="E9E9E9"/>
          </w:tcPr>
          <w:p>
            <w:pPr>
              <w:ind w:left="400"/>
              <w:spacing w:after="0"/>
              <w:rPr>
                <w:sz w:val="20"/>
                <w:szCs w:val="20"/>
                <w:color w:val="auto"/>
              </w:rPr>
            </w:pPr>
            <w:r>
              <w:rPr>
                <w:rFonts w:ascii="Times New Roman" w:cs="Times New Roman" w:eastAsia="Times New Roman" w:hAnsi="Times New Roman"/>
                <w:sz w:val="20"/>
                <w:szCs w:val="20"/>
                <w:color w:val="auto"/>
              </w:rPr>
              <w:t>State</w:t>
            </w:r>
          </w:p>
        </w:tc>
        <w:tc>
          <w:tcPr>
            <w:tcW w:w="300" w:type="dxa"/>
            <w:vAlign w:val="bottom"/>
            <w:shd w:val="clear" w:color="auto" w:fill="E9E9E9"/>
          </w:tcPr>
          <w:p>
            <w:pPr>
              <w:spacing w:after="0"/>
              <w:rPr>
                <w:sz w:val="24"/>
                <w:szCs w:val="24"/>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33,919</w:t>
            </w:r>
          </w:p>
        </w:tc>
        <w:tc>
          <w:tcPr>
            <w:tcW w:w="60" w:type="dxa"/>
            <w:vAlign w:val="bottom"/>
            <w:shd w:val="clear" w:color="auto" w:fill="E9E9E9"/>
          </w:tcPr>
          <w:p>
            <w:pPr>
              <w:spacing w:after="0"/>
              <w:rPr>
                <w:sz w:val="24"/>
                <w:szCs w:val="24"/>
                <w:color w:val="auto"/>
              </w:rPr>
            </w:pPr>
          </w:p>
        </w:tc>
        <w:tc>
          <w:tcPr>
            <w:tcW w:w="300" w:type="dxa"/>
            <w:vAlign w:val="bottom"/>
            <w:shd w:val="clear" w:color="auto" w:fill="E9E9E9"/>
          </w:tcPr>
          <w:p>
            <w:pPr>
              <w:spacing w:after="0"/>
              <w:rPr>
                <w:sz w:val="24"/>
                <w:szCs w:val="24"/>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29,806</w:t>
            </w:r>
          </w:p>
        </w:tc>
        <w:tc>
          <w:tcPr>
            <w:tcW w:w="80" w:type="dxa"/>
            <w:vAlign w:val="bottom"/>
            <w:shd w:val="clear" w:color="auto" w:fill="E9E9E9"/>
          </w:tcPr>
          <w:p>
            <w:pPr>
              <w:spacing w:after="0"/>
              <w:rPr>
                <w:sz w:val="24"/>
                <w:szCs w:val="24"/>
                <w:color w:val="auto"/>
              </w:rPr>
            </w:pPr>
          </w:p>
        </w:tc>
        <w:tc>
          <w:tcPr>
            <w:tcW w:w="420" w:type="dxa"/>
            <w:vAlign w:val="bottom"/>
            <w:shd w:val="clear" w:color="auto" w:fill="E9E9E9"/>
          </w:tcPr>
          <w:p>
            <w:pPr>
              <w:spacing w:after="0"/>
              <w:rPr>
                <w:sz w:val="24"/>
                <w:szCs w:val="24"/>
                <w:color w:val="auto"/>
              </w:rPr>
            </w:pPr>
          </w:p>
        </w:tc>
        <w:tc>
          <w:tcPr>
            <w:tcW w:w="8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4,302</w:t>
            </w:r>
          </w:p>
        </w:tc>
      </w:tr>
      <w:tr>
        <w:trPr>
          <w:trHeight w:val="284"/>
        </w:trPr>
        <w:tc>
          <w:tcPr>
            <w:tcW w:w="3060" w:type="dxa"/>
            <w:vAlign w:val="bottom"/>
            <w:tcBorders>
              <w:bottom w:val="single" w:sz="8" w:color="E9E9E9"/>
            </w:tcBorders>
          </w:tcPr>
          <w:p>
            <w:pPr>
              <w:ind w:left="400"/>
              <w:spacing w:after="0"/>
              <w:rPr>
                <w:sz w:val="20"/>
                <w:szCs w:val="20"/>
                <w:color w:val="auto"/>
              </w:rPr>
            </w:pPr>
            <w:r>
              <w:rPr>
                <w:rFonts w:ascii="Times New Roman" w:cs="Times New Roman" w:eastAsia="Times New Roman" w:hAnsi="Times New Roman"/>
                <w:sz w:val="20"/>
                <w:szCs w:val="20"/>
                <w:color w:val="auto"/>
              </w:rPr>
              <w:t>International</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9E9E9"/>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9E9E9"/>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w:t>
            </w:r>
          </w:p>
        </w:tc>
      </w:tr>
      <w:tr>
        <w:trPr>
          <w:trHeight w:val="293"/>
        </w:trPr>
        <w:tc>
          <w:tcPr>
            <w:tcW w:w="3060" w:type="dxa"/>
            <w:vAlign w:val="bottom"/>
            <w:tcBorders>
              <w:bottom w:val="single" w:sz="8" w:color="E9E9E9"/>
            </w:tcBorders>
            <w:shd w:val="clear" w:color="auto" w:fill="E9E9E9"/>
          </w:tcPr>
          <w:p>
            <w:pPr>
              <w:spacing w:after="0"/>
              <w:rPr>
                <w:sz w:val="24"/>
                <w:szCs w:val="24"/>
                <w:color w:val="auto"/>
              </w:rPr>
            </w:pPr>
          </w:p>
        </w:tc>
        <w:tc>
          <w:tcPr>
            <w:tcW w:w="300" w:type="dxa"/>
            <w:vAlign w:val="bottom"/>
            <w:tcBorders>
              <w:bottom w:val="single" w:sz="8" w:color="auto"/>
            </w:tcBorders>
            <w:shd w:val="clear" w:color="auto" w:fill="E9E9E9"/>
          </w:tcPr>
          <w:p>
            <w:pPr>
              <w:spacing w:after="0"/>
              <w:rPr>
                <w:sz w:val="24"/>
                <w:szCs w:val="24"/>
                <w:color w:val="auto"/>
              </w:rPr>
            </w:pPr>
          </w:p>
        </w:tc>
        <w:tc>
          <w:tcPr>
            <w:tcW w:w="9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148,564</w:t>
            </w:r>
          </w:p>
        </w:tc>
        <w:tc>
          <w:tcPr>
            <w:tcW w:w="60" w:type="dxa"/>
            <w:vAlign w:val="bottom"/>
            <w:tcBorders>
              <w:bottom w:val="single" w:sz="8" w:color="E9E9E9"/>
            </w:tcBorders>
            <w:shd w:val="clear" w:color="auto" w:fill="E9E9E9"/>
          </w:tcPr>
          <w:p>
            <w:pPr>
              <w:spacing w:after="0"/>
              <w:rPr>
                <w:sz w:val="24"/>
                <w:szCs w:val="24"/>
                <w:color w:val="auto"/>
              </w:rPr>
            </w:pPr>
          </w:p>
        </w:tc>
        <w:tc>
          <w:tcPr>
            <w:tcW w:w="300" w:type="dxa"/>
            <w:vAlign w:val="bottom"/>
            <w:tcBorders>
              <w:bottom w:val="single" w:sz="8" w:color="auto"/>
            </w:tcBorders>
            <w:shd w:val="clear" w:color="auto" w:fill="E9E9E9"/>
          </w:tcPr>
          <w:p>
            <w:pPr>
              <w:spacing w:after="0"/>
              <w:rPr>
                <w:sz w:val="24"/>
                <w:szCs w:val="24"/>
                <w:color w:val="auto"/>
              </w:rPr>
            </w:pPr>
          </w:p>
        </w:tc>
        <w:tc>
          <w:tcPr>
            <w:tcW w:w="9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139,914</w:t>
            </w:r>
          </w:p>
        </w:tc>
        <w:tc>
          <w:tcPr>
            <w:tcW w:w="80" w:type="dxa"/>
            <w:vAlign w:val="bottom"/>
            <w:tcBorders>
              <w:bottom w:val="single" w:sz="8" w:color="E9E9E9"/>
            </w:tcBorders>
            <w:shd w:val="clear" w:color="auto" w:fill="E9E9E9"/>
          </w:tcPr>
          <w:p>
            <w:pPr>
              <w:spacing w:after="0"/>
              <w:rPr>
                <w:sz w:val="24"/>
                <w:szCs w:val="24"/>
                <w:color w:val="auto"/>
              </w:rPr>
            </w:pPr>
          </w:p>
        </w:tc>
        <w:tc>
          <w:tcPr>
            <w:tcW w:w="420" w:type="dxa"/>
            <w:vAlign w:val="bottom"/>
            <w:tcBorders>
              <w:bottom w:val="single" w:sz="8" w:color="auto"/>
            </w:tcBorders>
            <w:shd w:val="clear" w:color="auto" w:fill="E9E9E9"/>
          </w:tcPr>
          <w:p>
            <w:pPr>
              <w:spacing w:after="0"/>
              <w:rPr>
                <w:sz w:val="24"/>
                <w:szCs w:val="24"/>
                <w:color w:val="auto"/>
              </w:rPr>
            </w:pPr>
          </w:p>
        </w:tc>
        <w:tc>
          <w:tcPr>
            <w:tcW w:w="86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46,668</w:t>
            </w:r>
          </w:p>
        </w:tc>
      </w:tr>
      <w:tr>
        <w:trPr>
          <w:trHeight w:val="239"/>
        </w:trPr>
        <w:tc>
          <w:tcPr>
            <w:tcW w:w="30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Deferred</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3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94"/>
        </w:trPr>
        <w:tc>
          <w:tcPr>
            <w:tcW w:w="3060" w:type="dxa"/>
            <w:vAlign w:val="bottom"/>
            <w:shd w:val="clear" w:color="auto" w:fill="E9E9E9"/>
          </w:tcPr>
          <w:p>
            <w:pPr>
              <w:ind w:left="400"/>
              <w:spacing w:after="0"/>
              <w:rPr>
                <w:sz w:val="20"/>
                <w:szCs w:val="20"/>
                <w:color w:val="auto"/>
              </w:rPr>
            </w:pPr>
            <w:r>
              <w:rPr>
                <w:rFonts w:ascii="Times New Roman" w:cs="Times New Roman" w:eastAsia="Times New Roman" w:hAnsi="Times New Roman"/>
                <w:sz w:val="20"/>
                <w:szCs w:val="20"/>
                <w:color w:val="auto"/>
              </w:rPr>
              <w:t>Federal</w:t>
            </w:r>
          </w:p>
        </w:tc>
        <w:tc>
          <w:tcPr>
            <w:tcW w:w="300" w:type="dxa"/>
            <w:vAlign w:val="bottom"/>
            <w:shd w:val="clear" w:color="auto" w:fill="E9E9E9"/>
          </w:tcPr>
          <w:p>
            <w:pPr>
              <w:spacing w:after="0"/>
              <w:rPr>
                <w:sz w:val="24"/>
                <w:szCs w:val="24"/>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(26,960)</w:t>
            </w:r>
          </w:p>
        </w:tc>
        <w:tc>
          <w:tcPr>
            <w:tcW w:w="60" w:type="dxa"/>
            <w:vAlign w:val="bottom"/>
            <w:shd w:val="clear" w:color="auto" w:fill="E9E9E9"/>
          </w:tcPr>
          <w:p>
            <w:pPr>
              <w:spacing w:after="0"/>
              <w:rPr>
                <w:sz w:val="24"/>
                <w:szCs w:val="24"/>
                <w:color w:val="auto"/>
              </w:rPr>
            </w:pPr>
          </w:p>
        </w:tc>
        <w:tc>
          <w:tcPr>
            <w:tcW w:w="300" w:type="dxa"/>
            <w:vAlign w:val="bottom"/>
            <w:shd w:val="clear" w:color="auto" w:fill="E9E9E9"/>
          </w:tcPr>
          <w:p>
            <w:pPr>
              <w:spacing w:after="0"/>
              <w:rPr>
                <w:sz w:val="24"/>
                <w:szCs w:val="24"/>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(45,252)</w:t>
            </w:r>
          </w:p>
        </w:tc>
        <w:tc>
          <w:tcPr>
            <w:tcW w:w="80" w:type="dxa"/>
            <w:vAlign w:val="bottom"/>
            <w:shd w:val="clear" w:color="auto" w:fill="E9E9E9"/>
          </w:tcPr>
          <w:p>
            <w:pPr>
              <w:spacing w:after="0"/>
              <w:rPr>
                <w:sz w:val="24"/>
                <w:szCs w:val="24"/>
                <w:color w:val="auto"/>
              </w:rPr>
            </w:pPr>
          </w:p>
        </w:tc>
        <w:tc>
          <w:tcPr>
            <w:tcW w:w="420" w:type="dxa"/>
            <w:vAlign w:val="bottom"/>
            <w:shd w:val="clear" w:color="auto" w:fill="E9E9E9"/>
          </w:tcPr>
          <w:p>
            <w:pPr>
              <w:spacing w:after="0"/>
              <w:rPr>
                <w:sz w:val="24"/>
                <w:szCs w:val="24"/>
                <w:color w:val="auto"/>
              </w:rPr>
            </w:pPr>
          </w:p>
        </w:tc>
        <w:tc>
          <w:tcPr>
            <w:tcW w:w="8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(39,920)</w:t>
            </w:r>
          </w:p>
        </w:tc>
      </w:tr>
      <w:tr>
        <w:trPr>
          <w:trHeight w:val="287"/>
        </w:trPr>
        <w:tc>
          <w:tcPr>
            <w:tcW w:w="30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State</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(10,739)</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(8,315)</w:t>
            </w:r>
          </w:p>
        </w:tc>
      </w:tr>
      <w:tr>
        <w:trPr>
          <w:trHeight w:val="291"/>
        </w:trPr>
        <w:tc>
          <w:tcPr>
            <w:tcW w:w="3060" w:type="dxa"/>
            <w:vAlign w:val="bottom"/>
            <w:tcBorders>
              <w:bottom w:val="single" w:sz="8" w:color="E9E9E9"/>
            </w:tcBorders>
            <w:shd w:val="clear" w:color="auto" w:fill="E9E9E9"/>
          </w:tcPr>
          <w:p>
            <w:pPr>
              <w:ind w:left="400"/>
              <w:spacing w:after="0"/>
              <w:rPr>
                <w:sz w:val="20"/>
                <w:szCs w:val="20"/>
                <w:color w:val="auto"/>
              </w:rPr>
            </w:pPr>
            <w:r>
              <w:rPr>
                <w:rFonts w:ascii="Times New Roman" w:cs="Times New Roman" w:eastAsia="Times New Roman" w:hAnsi="Times New Roman"/>
                <w:sz w:val="20"/>
                <w:szCs w:val="20"/>
                <w:color w:val="auto"/>
              </w:rPr>
              <w:t>International</w:t>
            </w:r>
          </w:p>
        </w:tc>
        <w:tc>
          <w:tcPr>
            <w:tcW w:w="300" w:type="dxa"/>
            <w:vAlign w:val="bottom"/>
            <w:tcBorders>
              <w:bottom w:val="single" w:sz="8" w:color="auto"/>
            </w:tcBorders>
            <w:shd w:val="clear" w:color="auto" w:fill="E9E9E9"/>
          </w:tcPr>
          <w:p>
            <w:pPr>
              <w:spacing w:after="0"/>
              <w:rPr>
                <w:sz w:val="24"/>
                <w:szCs w:val="24"/>
                <w:color w:val="auto"/>
              </w:rPr>
            </w:pPr>
          </w:p>
        </w:tc>
        <w:tc>
          <w:tcPr>
            <w:tcW w:w="9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588</w:t>
            </w:r>
          </w:p>
        </w:tc>
        <w:tc>
          <w:tcPr>
            <w:tcW w:w="60" w:type="dxa"/>
            <w:vAlign w:val="bottom"/>
            <w:tcBorders>
              <w:bottom w:val="single" w:sz="8" w:color="E9E9E9"/>
            </w:tcBorders>
            <w:shd w:val="clear" w:color="auto" w:fill="E9E9E9"/>
          </w:tcPr>
          <w:p>
            <w:pPr>
              <w:spacing w:after="0"/>
              <w:rPr>
                <w:sz w:val="24"/>
                <w:szCs w:val="24"/>
                <w:color w:val="auto"/>
              </w:rPr>
            </w:pPr>
          </w:p>
        </w:tc>
        <w:tc>
          <w:tcPr>
            <w:tcW w:w="300" w:type="dxa"/>
            <w:vAlign w:val="bottom"/>
            <w:tcBorders>
              <w:bottom w:val="single" w:sz="8" w:color="auto"/>
            </w:tcBorders>
            <w:shd w:val="clear" w:color="auto" w:fill="E9E9E9"/>
          </w:tcPr>
          <w:p>
            <w:pPr>
              <w:spacing w:after="0"/>
              <w:rPr>
                <w:sz w:val="24"/>
                <w:szCs w:val="24"/>
                <w:color w:val="auto"/>
              </w:rPr>
            </w:pPr>
          </w:p>
        </w:tc>
        <w:tc>
          <w:tcPr>
            <w:tcW w:w="9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359</w:t>
            </w:r>
          </w:p>
        </w:tc>
        <w:tc>
          <w:tcPr>
            <w:tcW w:w="80" w:type="dxa"/>
            <w:vAlign w:val="bottom"/>
            <w:tcBorders>
              <w:bottom w:val="single" w:sz="8" w:color="E9E9E9"/>
            </w:tcBorders>
            <w:shd w:val="clear" w:color="auto" w:fill="E9E9E9"/>
          </w:tcPr>
          <w:p>
            <w:pPr>
              <w:spacing w:after="0"/>
              <w:rPr>
                <w:sz w:val="24"/>
                <w:szCs w:val="24"/>
                <w:color w:val="auto"/>
              </w:rPr>
            </w:pPr>
          </w:p>
        </w:tc>
        <w:tc>
          <w:tcPr>
            <w:tcW w:w="420" w:type="dxa"/>
            <w:vAlign w:val="bottom"/>
            <w:tcBorders>
              <w:bottom w:val="single" w:sz="8" w:color="auto"/>
            </w:tcBorders>
            <w:shd w:val="clear" w:color="auto" w:fill="E9E9E9"/>
          </w:tcPr>
          <w:p>
            <w:pPr>
              <w:spacing w:after="0"/>
              <w:rPr>
                <w:sz w:val="24"/>
                <w:szCs w:val="24"/>
                <w:color w:val="auto"/>
              </w:rPr>
            </w:pPr>
          </w:p>
        </w:tc>
        <w:tc>
          <w:tcPr>
            <w:tcW w:w="86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219</w:t>
            </w:r>
          </w:p>
        </w:tc>
      </w:tr>
      <w:tr>
        <w:trPr>
          <w:trHeight w:val="274"/>
        </w:trPr>
        <w:tc>
          <w:tcPr>
            <w:tcW w:w="3060" w:type="dxa"/>
            <w:vAlign w:val="bottom"/>
            <w:tcBorders>
              <w:bottom w:val="single" w:sz="8" w:color="E9E9E9"/>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(30,029)</w:t>
            </w:r>
          </w:p>
        </w:tc>
        <w:tc>
          <w:tcPr>
            <w:tcW w:w="60" w:type="dxa"/>
            <w:vAlign w:val="bottom"/>
            <w:tcBorders>
              <w:bottom w:val="single" w:sz="8" w:color="E9E9E9"/>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(55,632)</w:t>
            </w:r>
          </w:p>
        </w:tc>
        <w:tc>
          <w:tcPr>
            <w:tcW w:w="80" w:type="dxa"/>
            <w:vAlign w:val="bottom"/>
            <w:tcBorders>
              <w:bottom w:val="single" w:sz="8" w:color="E9E9E9"/>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(48,016)</w:t>
            </w:r>
          </w:p>
        </w:tc>
      </w:tr>
      <w:tr>
        <w:trPr>
          <w:trHeight w:val="294"/>
        </w:trPr>
        <w:tc>
          <w:tcPr>
            <w:tcW w:w="3060" w:type="dxa"/>
            <w:vAlign w:val="bottom"/>
            <w:tcBorders>
              <w:bottom w:val="single" w:sz="8" w:color="E9E9E9"/>
            </w:tcBorders>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Income tax expense (benefit)</w:t>
            </w:r>
          </w:p>
        </w:tc>
        <w:tc>
          <w:tcPr>
            <w:tcW w:w="300" w:type="dxa"/>
            <w:vAlign w:val="bottom"/>
            <w:tcBorders>
              <w:bottom w:val="single" w:sz="8" w:color="auto"/>
            </w:tcBorders>
            <w:shd w:val="clear" w:color="auto" w:fill="E9E9E9"/>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118,535</w:t>
            </w:r>
          </w:p>
        </w:tc>
        <w:tc>
          <w:tcPr>
            <w:tcW w:w="60" w:type="dxa"/>
            <w:vAlign w:val="bottom"/>
            <w:tcBorders>
              <w:bottom w:val="single" w:sz="8" w:color="E9E9E9"/>
            </w:tcBorders>
            <w:shd w:val="clear" w:color="auto" w:fill="E9E9E9"/>
          </w:tcPr>
          <w:p>
            <w:pPr>
              <w:spacing w:after="0"/>
              <w:rPr>
                <w:sz w:val="24"/>
                <w:szCs w:val="24"/>
                <w:color w:val="auto"/>
              </w:rPr>
            </w:pPr>
          </w:p>
        </w:tc>
        <w:tc>
          <w:tcPr>
            <w:tcW w:w="300" w:type="dxa"/>
            <w:vAlign w:val="bottom"/>
            <w:tcBorders>
              <w:bottom w:val="single" w:sz="8" w:color="auto"/>
            </w:tcBorders>
            <w:shd w:val="clear" w:color="auto" w:fill="E9E9E9"/>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84,282</w:t>
            </w:r>
          </w:p>
        </w:tc>
        <w:tc>
          <w:tcPr>
            <w:tcW w:w="80" w:type="dxa"/>
            <w:vAlign w:val="bottom"/>
            <w:tcBorders>
              <w:bottom w:val="single" w:sz="8" w:color="E9E9E9"/>
            </w:tcBorders>
            <w:shd w:val="clear" w:color="auto" w:fill="E9E9E9"/>
          </w:tcPr>
          <w:p>
            <w:pPr>
              <w:spacing w:after="0"/>
              <w:rPr>
                <w:sz w:val="24"/>
                <w:szCs w:val="24"/>
                <w:color w:val="auto"/>
              </w:rPr>
            </w:pPr>
          </w:p>
        </w:tc>
        <w:tc>
          <w:tcPr>
            <w:tcW w:w="420" w:type="dxa"/>
            <w:vAlign w:val="bottom"/>
            <w:tcBorders>
              <w:bottom w:val="single" w:sz="8" w:color="auto"/>
            </w:tcBorders>
            <w:shd w:val="clear" w:color="auto" w:fill="E9E9E9"/>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(1,348)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-43180</wp:posOffset>
            </wp:positionV>
            <wp:extent cx="2555240" cy="501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55240" cy="50165"/>
                    </a:xfrm>
                    <a:prstGeom prst="rect">
                      <a:avLst/>
                    </a:prstGeom>
                    <a:noFill/>
                  </pic:spPr>
                </pic:pic>
              </a:graphicData>
            </a:graphic>
          </wp:anchor>
        </w:drawing>
      </w:r>
    </w:p>
    <w:p>
      <w:pPr>
        <w:spacing w:after="0" w:line="2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The reconciliation of income taxes at the U.S. federal statutory rate to the income tax expense (benefit) is as follows:</w:t>
      </w:r>
    </w:p>
    <w:p>
      <w:pPr>
        <w:spacing w:after="0" w:line="217" w:lineRule="exact"/>
        <w:rPr>
          <w:sz w:val="20"/>
          <w:szCs w:val="20"/>
          <w:color w:val="auto"/>
        </w:rPr>
      </w:pPr>
    </w:p>
    <w:tbl>
      <w:tblPr>
        <w:tblLayout w:type="fixed"/>
        <w:tblInd w:w="1000" w:type="dxa"/>
        <w:tblCellMar>
          <w:top w:w="0" w:type="dxa"/>
          <w:left w:w="0" w:type="dxa"/>
          <w:bottom w:w="0" w:type="dxa"/>
          <w:right w:w="0" w:type="dxa"/>
        </w:tblCellMar>
      </w:tblPr>
      <w:tr>
        <w:trPr>
          <w:trHeight w:val="262"/>
        </w:trPr>
        <w:tc>
          <w:tcPr>
            <w:tcW w:w="46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8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60" w:type="dxa"/>
            <w:vAlign w:val="bottom"/>
            <w:tcBorders>
              <w:bottom w:val="single" w:sz="8" w:color="auto"/>
            </w:tcBorders>
          </w:tcPr>
          <w:p>
            <w:pPr>
              <w:spacing w:after="0"/>
              <w:rPr>
                <w:sz w:val="22"/>
                <w:szCs w:val="22"/>
                <w:color w:val="auto"/>
              </w:rPr>
            </w:pPr>
          </w:p>
        </w:tc>
      </w:tr>
      <w:tr>
        <w:trPr>
          <w:trHeight w:val="259"/>
        </w:trPr>
        <w:tc>
          <w:tcPr>
            <w:tcW w:w="4620" w:type="dxa"/>
            <w:vAlign w:val="bottom"/>
            <w:tcBorders>
              <w:bottom w:val="single" w:sz="8" w:color="E9E9E9"/>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Borders>
              <w:bottom w:val="single" w:sz="8" w:color="E9E9E9"/>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Borders>
              <w:bottom w:val="single" w:sz="8" w:color="E9E9E9"/>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20"/>
                <w:szCs w:val="20"/>
                <w:b w:val="1"/>
                <w:bCs w:val="1"/>
                <w:color w:val="auto"/>
                <w:w w:val="99"/>
              </w:rPr>
              <w:t>2022</w:t>
            </w:r>
          </w:p>
        </w:tc>
      </w:tr>
      <w:tr>
        <w:trPr>
          <w:trHeight w:val="284"/>
        </w:trPr>
        <w:tc>
          <w:tcPr>
            <w:tcW w:w="462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U.S. statutory rate</w:t>
            </w:r>
          </w:p>
        </w:tc>
        <w:tc>
          <w:tcPr>
            <w:tcW w:w="300" w:type="dxa"/>
            <w:vAlign w:val="bottom"/>
            <w:shd w:val="clear" w:color="auto" w:fill="E9E9E9"/>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90,506</w:t>
            </w:r>
          </w:p>
        </w:tc>
        <w:tc>
          <w:tcPr>
            <w:tcW w:w="380" w:type="dxa"/>
            <w:vAlign w:val="bottom"/>
            <w:gridSpan w:val="2"/>
            <w:shd w:val="clear" w:color="auto" w:fill="E9E9E9"/>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86,298</w:t>
            </w:r>
          </w:p>
        </w:tc>
        <w:tc>
          <w:tcPr>
            <w:tcW w:w="480" w:type="dxa"/>
            <w:vAlign w:val="bottom"/>
            <w:gridSpan w:val="2"/>
            <w:shd w:val="clear" w:color="auto" w:fill="E9E9E9"/>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5,611</w:t>
            </w:r>
          </w:p>
        </w:tc>
      </w:tr>
      <w:tr>
        <w:trPr>
          <w:trHeight w:val="287"/>
        </w:trPr>
        <w:tc>
          <w:tcPr>
            <w:tcW w:w="4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Permanent items</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2,309</w:t>
            </w:r>
          </w:p>
        </w:tc>
      </w:tr>
      <w:tr>
        <w:trPr>
          <w:trHeight w:val="216"/>
        </w:trPr>
        <w:tc>
          <w:tcPr>
            <w:tcW w:w="4620" w:type="dxa"/>
            <w:vAlign w:val="bottom"/>
            <w:shd w:val="clear" w:color="auto" w:fill="E9E9E9"/>
          </w:tcPr>
          <w:p>
            <w:pPr>
              <w:ind w:left="40"/>
              <w:spacing w:after="0" w:line="216" w:lineRule="exact"/>
              <w:rPr>
                <w:sz w:val="20"/>
                <w:szCs w:val="20"/>
                <w:color w:val="auto"/>
              </w:rPr>
            </w:pPr>
            <w:r>
              <w:rPr>
                <w:rFonts w:ascii="Times New Roman" w:cs="Times New Roman" w:eastAsia="Times New Roman" w:hAnsi="Times New Roman"/>
                <w:sz w:val="20"/>
                <w:szCs w:val="20"/>
                <w:color w:val="auto"/>
              </w:rPr>
              <w:t>Sale of RELISTOR licensed intangible asset associated</w:t>
            </w:r>
          </w:p>
        </w:tc>
        <w:tc>
          <w:tcPr>
            <w:tcW w:w="300" w:type="dxa"/>
            <w:vAlign w:val="bottom"/>
            <w:shd w:val="clear" w:color="auto" w:fill="E9E9E9"/>
          </w:tcPr>
          <w:p>
            <w:pPr>
              <w:spacing w:after="0"/>
              <w:rPr>
                <w:sz w:val="18"/>
                <w:szCs w:val="18"/>
                <w:color w:val="auto"/>
              </w:rPr>
            </w:pPr>
          </w:p>
        </w:tc>
        <w:tc>
          <w:tcPr>
            <w:tcW w:w="98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c>
          <w:tcPr>
            <w:tcW w:w="300" w:type="dxa"/>
            <w:vAlign w:val="bottom"/>
            <w:shd w:val="clear" w:color="auto" w:fill="E9E9E9"/>
          </w:tcPr>
          <w:p>
            <w:pPr>
              <w:spacing w:after="0"/>
              <w:rPr>
                <w:sz w:val="18"/>
                <w:szCs w:val="18"/>
                <w:color w:val="auto"/>
              </w:rPr>
            </w:pPr>
          </w:p>
        </w:tc>
        <w:tc>
          <w:tcPr>
            <w:tcW w:w="980" w:type="dxa"/>
            <w:vAlign w:val="bottom"/>
            <w:shd w:val="clear" w:color="auto" w:fill="E9E9E9"/>
          </w:tcPr>
          <w:p>
            <w:pPr>
              <w:spacing w:after="0"/>
              <w:rPr>
                <w:sz w:val="18"/>
                <w:szCs w:val="18"/>
                <w:color w:val="auto"/>
              </w:rPr>
            </w:pPr>
          </w:p>
        </w:tc>
        <w:tc>
          <w:tcPr>
            <w:tcW w:w="60" w:type="dxa"/>
            <w:vAlign w:val="bottom"/>
            <w:shd w:val="clear" w:color="auto" w:fill="E9E9E9"/>
          </w:tcPr>
          <w:p>
            <w:pPr>
              <w:spacing w:after="0"/>
              <w:rPr>
                <w:sz w:val="18"/>
                <w:szCs w:val="18"/>
                <w:color w:val="auto"/>
              </w:rPr>
            </w:pPr>
          </w:p>
        </w:tc>
        <w:tc>
          <w:tcPr>
            <w:tcW w:w="420" w:type="dxa"/>
            <w:vAlign w:val="bottom"/>
            <w:shd w:val="clear" w:color="auto" w:fill="E9E9E9"/>
          </w:tcPr>
          <w:p>
            <w:pPr>
              <w:spacing w:after="0"/>
              <w:rPr>
                <w:sz w:val="18"/>
                <w:szCs w:val="18"/>
                <w:color w:val="auto"/>
              </w:rPr>
            </w:pPr>
          </w:p>
        </w:tc>
        <w:tc>
          <w:tcPr>
            <w:tcW w:w="860" w:type="dxa"/>
            <w:vAlign w:val="bottom"/>
            <w:shd w:val="clear" w:color="auto" w:fill="E9E9E9"/>
          </w:tcPr>
          <w:p>
            <w:pPr>
              <w:spacing w:after="0"/>
              <w:rPr>
                <w:sz w:val="18"/>
                <w:szCs w:val="18"/>
                <w:color w:val="auto"/>
              </w:rPr>
            </w:pPr>
          </w:p>
        </w:tc>
      </w:tr>
      <w:tr>
        <w:trPr>
          <w:trHeight w:val="305"/>
        </w:trPr>
        <w:tc>
          <w:tcPr>
            <w:tcW w:w="462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with net sales royalties</w:t>
            </w:r>
          </w:p>
        </w:tc>
        <w:tc>
          <w:tcPr>
            <w:tcW w:w="300" w:type="dxa"/>
            <w:vAlign w:val="bottom"/>
            <w:shd w:val="clear" w:color="auto" w:fill="E9E9E9"/>
          </w:tcPr>
          <w:p>
            <w:pPr>
              <w:spacing w:after="0"/>
              <w:rPr>
                <w:sz w:val="24"/>
                <w:szCs w:val="24"/>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9E9E9"/>
          </w:tcPr>
          <w:p>
            <w:pPr>
              <w:spacing w:after="0"/>
              <w:rPr>
                <w:sz w:val="24"/>
                <w:szCs w:val="24"/>
                <w:color w:val="auto"/>
              </w:rPr>
            </w:pPr>
          </w:p>
        </w:tc>
        <w:tc>
          <w:tcPr>
            <w:tcW w:w="300" w:type="dxa"/>
            <w:vAlign w:val="bottom"/>
            <w:shd w:val="clear" w:color="auto" w:fill="E9E9E9"/>
          </w:tcPr>
          <w:p>
            <w:pPr>
              <w:spacing w:after="0"/>
              <w:rPr>
                <w:sz w:val="24"/>
                <w:szCs w:val="24"/>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(10,817)</w:t>
            </w:r>
          </w:p>
        </w:tc>
        <w:tc>
          <w:tcPr>
            <w:tcW w:w="60" w:type="dxa"/>
            <w:vAlign w:val="bottom"/>
            <w:shd w:val="clear" w:color="auto" w:fill="E9E9E9"/>
          </w:tcPr>
          <w:p>
            <w:pPr>
              <w:spacing w:after="0"/>
              <w:rPr>
                <w:sz w:val="24"/>
                <w:szCs w:val="24"/>
                <w:color w:val="auto"/>
              </w:rPr>
            </w:pPr>
          </w:p>
        </w:tc>
        <w:tc>
          <w:tcPr>
            <w:tcW w:w="420" w:type="dxa"/>
            <w:vAlign w:val="bottom"/>
            <w:shd w:val="clear" w:color="auto" w:fill="E9E9E9"/>
          </w:tcPr>
          <w:p>
            <w:pPr>
              <w:spacing w:after="0"/>
              <w:rPr>
                <w:sz w:val="24"/>
                <w:szCs w:val="24"/>
                <w:color w:val="auto"/>
              </w:rPr>
            </w:pPr>
          </w:p>
        </w:tc>
        <w:tc>
          <w:tcPr>
            <w:tcW w:w="8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7"/>
        </w:trPr>
        <w:tc>
          <w:tcPr>
            <w:tcW w:w="4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Section 162(m)</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w:t>
            </w:r>
          </w:p>
        </w:tc>
      </w:tr>
      <w:tr>
        <w:trPr>
          <w:trHeight w:val="301"/>
        </w:trPr>
        <w:tc>
          <w:tcPr>
            <w:tcW w:w="462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Uncertain tax positions</w:t>
            </w:r>
          </w:p>
        </w:tc>
        <w:tc>
          <w:tcPr>
            <w:tcW w:w="300" w:type="dxa"/>
            <w:vAlign w:val="bottom"/>
            <w:shd w:val="clear" w:color="auto" w:fill="E9E9E9"/>
          </w:tcPr>
          <w:p>
            <w:pPr>
              <w:spacing w:after="0"/>
              <w:rPr>
                <w:sz w:val="24"/>
                <w:szCs w:val="24"/>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2,466</w:t>
            </w:r>
          </w:p>
        </w:tc>
        <w:tc>
          <w:tcPr>
            <w:tcW w:w="80" w:type="dxa"/>
            <w:vAlign w:val="bottom"/>
            <w:shd w:val="clear" w:color="auto" w:fill="E9E9E9"/>
          </w:tcPr>
          <w:p>
            <w:pPr>
              <w:spacing w:after="0"/>
              <w:rPr>
                <w:sz w:val="24"/>
                <w:szCs w:val="24"/>
                <w:color w:val="auto"/>
              </w:rPr>
            </w:pPr>
          </w:p>
        </w:tc>
        <w:tc>
          <w:tcPr>
            <w:tcW w:w="300" w:type="dxa"/>
            <w:vAlign w:val="bottom"/>
            <w:shd w:val="clear" w:color="auto" w:fill="E9E9E9"/>
          </w:tcPr>
          <w:p>
            <w:pPr>
              <w:spacing w:after="0"/>
              <w:rPr>
                <w:sz w:val="24"/>
                <w:szCs w:val="24"/>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(5,045)</w:t>
            </w:r>
          </w:p>
        </w:tc>
        <w:tc>
          <w:tcPr>
            <w:tcW w:w="60" w:type="dxa"/>
            <w:vAlign w:val="bottom"/>
            <w:shd w:val="clear" w:color="auto" w:fill="E9E9E9"/>
          </w:tcPr>
          <w:p>
            <w:pPr>
              <w:spacing w:after="0"/>
              <w:rPr>
                <w:sz w:val="24"/>
                <w:szCs w:val="24"/>
                <w:color w:val="auto"/>
              </w:rPr>
            </w:pPr>
          </w:p>
        </w:tc>
        <w:tc>
          <w:tcPr>
            <w:tcW w:w="420" w:type="dxa"/>
            <w:vAlign w:val="bottom"/>
            <w:shd w:val="clear" w:color="auto" w:fill="E9E9E9"/>
          </w:tcPr>
          <w:p>
            <w:pPr>
              <w:spacing w:after="0"/>
              <w:rPr>
                <w:sz w:val="24"/>
                <w:szCs w:val="24"/>
                <w:color w:val="auto"/>
              </w:rPr>
            </w:pPr>
          </w:p>
        </w:tc>
        <w:tc>
          <w:tcPr>
            <w:tcW w:w="8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(12,629)</w:t>
            </w:r>
          </w:p>
        </w:tc>
      </w:tr>
      <w:tr>
        <w:trPr>
          <w:trHeight w:val="287"/>
        </w:trPr>
        <w:tc>
          <w:tcPr>
            <w:tcW w:w="4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Tax credits</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(5,247)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(4,085)</w:t>
            </w:r>
          </w:p>
        </w:tc>
      </w:tr>
      <w:tr>
        <w:trPr>
          <w:trHeight w:val="301"/>
        </w:trPr>
        <w:tc>
          <w:tcPr>
            <w:tcW w:w="462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State and local taxes</w:t>
            </w:r>
          </w:p>
        </w:tc>
        <w:tc>
          <w:tcPr>
            <w:tcW w:w="300" w:type="dxa"/>
            <w:vAlign w:val="bottom"/>
            <w:shd w:val="clear" w:color="auto" w:fill="E9E9E9"/>
          </w:tcPr>
          <w:p>
            <w:pPr>
              <w:spacing w:after="0"/>
              <w:rPr>
                <w:sz w:val="24"/>
                <w:szCs w:val="24"/>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21,724</w:t>
            </w:r>
          </w:p>
        </w:tc>
        <w:tc>
          <w:tcPr>
            <w:tcW w:w="80" w:type="dxa"/>
            <w:vAlign w:val="bottom"/>
            <w:shd w:val="clear" w:color="auto" w:fill="E9E9E9"/>
          </w:tcPr>
          <w:p>
            <w:pPr>
              <w:spacing w:after="0"/>
              <w:rPr>
                <w:sz w:val="24"/>
                <w:szCs w:val="24"/>
                <w:color w:val="auto"/>
              </w:rPr>
            </w:pPr>
          </w:p>
        </w:tc>
        <w:tc>
          <w:tcPr>
            <w:tcW w:w="300" w:type="dxa"/>
            <w:vAlign w:val="bottom"/>
            <w:shd w:val="clear" w:color="auto" w:fill="E9E9E9"/>
          </w:tcPr>
          <w:p>
            <w:pPr>
              <w:spacing w:after="0"/>
              <w:rPr>
                <w:sz w:val="24"/>
                <w:szCs w:val="24"/>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18,726</w:t>
            </w:r>
          </w:p>
        </w:tc>
        <w:tc>
          <w:tcPr>
            <w:tcW w:w="60" w:type="dxa"/>
            <w:vAlign w:val="bottom"/>
            <w:shd w:val="clear" w:color="auto" w:fill="E9E9E9"/>
          </w:tcPr>
          <w:p>
            <w:pPr>
              <w:spacing w:after="0"/>
              <w:rPr>
                <w:sz w:val="24"/>
                <w:szCs w:val="24"/>
                <w:color w:val="auto"/>
              </w:rPr>
            </w:pPr>
          </w:p>
        </w:tc>
        <w:tc>
          <w:tcPr>
            <w:tcW w:w="420" w:type="dxa"/>
            <w:vAlign w:val="bottom"/>
            <w:shd w:val="clear" w:color="auto" w:fill="E9E9E9"/>
          </w:tcPr>
          <w:p>
            <w:pPr>
              <w:spacing w:after="0"/>
              <w:rPr>
                <w:sz w:val="24"/>
                <w:szCs w:val="24"/>
                <w:color w:val="auto"/>
              </w:rPr>
            </w:pPr>
          </w:p>
        </w:tc>
        <w:tc>
          <w:tcPr>
            <w:tcW w:w="8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87"/>
        </w:trPr>
        <w:tc>
          <w:tcPr>
            <w:tcW w:w="4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Impact on deferred taxes of change in tax rate</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4,169</w:t>
            </w:r>
          </w:p>
        </w:tc>
      </w:tr>
      <w:tr>
        <w:trPr>
          <w:trHeight w:val="301"/>
        </w:trPr>
        <w:tc>
          <w:tcPr>
            <w:tcW w:w="462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Changes in fair value of contingent assets and liabilities</w:t>
            </w:r>
          </w:p>
        </w:tc>
        <w:tc>
          <w:tcPr>
            <w:tcW w:w="300" w:type="dxa"/>
            <w:vAlign w:val="bottom"/>
            <w:shd w:val="clear" w:color="auto" w:fill="E9E9E9"/>
          </w:tcPr>
          <w:p>
            <w:pPr>
              <w:spacing w:after="0"/>
              <w:rPr>
                <w:sz w:val="24"/>
                <w:szCs w:val="24"/>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(567)</w:t>
            </w:r>
          </w:p>
        </w:tc>
        <w:tc>
          <w:tcPr>
            <w:tcW w:w="80" w:type="dxa"/>
            <w:vAlign w:val="bottom"/>
            <w:shd w:val="clear" w:color="auto" w:fill="E9E9E9"/>
          </w:tcPr>
          <w:p>
            <w:pPr>
              <w:spacing w:after="0"/>
              <w:rPr>
                <w:sz w:val="24"/>
                <w:szCs w:val="24"/>
                <w:color w:val="auto"/>
              </w:rPr>
            </w:pPr>
          </w:p>
        </w:tc>
        <w:tc>
          <w:tcPr>
            <w:tcW w:w="300" w:type="dxa"/>
            <w:vAlign w:val="bottom"/>
            <w:shd w:val="clear" w:color="auto" w:fill="E9E9E9"/>
          </w:tcPr>
          <w:p>
            <w:pPr>
              <w:spacing w:after="0"/>
              <w:rPr>
                <w:sz w:val="24"/>
                <w:szCs w:val="24"/>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(1,948)</w:t>
            </w:r>
          </w:p>
        </w:tc>
        <w:tc>
          <w:tcPr>
            <w:tcW w:w="60" w:type="dxa"/>
            <w:vAlign w:val="bottom"/>
            <w:shd w:val="clear" w:color="auto" w:fill="E9E9E9"/>
          </w:tcPr>
          <w:p>
            <w:pPr>
              <w:spacing w:after="0"/>
              <w:rPr>
                <w:sz w:val="24"/>
                <w:szCs w:val="24"/>
                <w:color w:val="auto"/>
              </w:rPr>
            </w:pPr>
          </w:p>
        </w:tc>
        <w:tc>
          <w:tcPr>
            <w:tcW w:w="420" w:type="dxa"/>
            <w:vAlign w:val="bottom"/>
            <w:shd w:val="clear" w:color="auto" w:fill="E9E9E9"/>
          </w:tcPr>
          <w:p>
            <w:pPr>
              <w:spacing w:after="0"/>
              <w:rPr>
                <w:sz w:val="24"/>
                <w:szCs w:val="24"/>
                <w:color w:val="auto"/>
              </w:rPr>
            </w:pPr>
          </w:p>
        </w:tc>
        <w:tc>
          <w:tcPr>
            <w:tcW w:w="8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5,422</w:t>
            </w:r>
          </w:p>
        </w:tc>
      </w:tr>
      <w:tr>
        <w:trPr>
          <w:trHeight w:val="287"/>
        </w:trPr>
        <w:tc>
          <w:tcPr>
            <w:tcW w:w="4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Foreign tax rate differential</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301"/>
        </w:trPr>
        <w:tc>
          <w:tcPr>
            <w:tcW w:w="462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Valuation allowance</w:t>
            </w:r>
          </w:p>
        </w:tc>
        <w:tc>
          <w:tcPr>
            <w:tcW w:w="300" w:type="dxa"/>
            <w:vAlign w:val="bottom"/>
            <w:shd w:val="clear" w:color="auto" w:fill="E9E9E9"/>
          </w:tcPr>
          <w:p>
            <w:pPr>
              <w:spacing w:after="0"/>
              <w:rPr>
                <w:sz w:val="24"/>
                <w:szCs w:val="24"/>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12,123</w:t>
            </w:r>
          </w:p>
        </w:tc>
        <w:tc>
          <w:tcPr>
            <w:tcW w:w="80" w:type="dxa"/>
            <w:vAlign w:val="bottom"/>
            <w:shd w:val="clear" w:color="auto" w:fill="E9E9E9"/>
          </w:tcPr>
          <w:p>
            <w:pPr>
              <w:spacing w:after="0"/>
              <w:rPr>
                <w:sz w:val="24"/>
                <w:szCs w:val="24"/>
                <w:color w:val="auto"/>
              </w:rPr>
            </w:pPr>
          </w:p>
        </w:tc>
        <w:tc>
          <w:tcPr>
            <w:tcW w:w="300" w:type="dxa"/>
            <w:vAlign w:val="bottom"/>
            <w:shd w:val="clear" w:color="auto" w:fill="E9E9E9"/>
          </w:tcPr>
          <w:p>
            <w:pPr>
              <w:spacing w:after="0"/>
              <w:rPr>
                <w:sz w:val="24"/>
                <w:szCs w:val="24"/>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60" w:type="dxa"/>
            <w:vAlign w:val="bottom"/>
            <w:shd w:val="clear" w:color="auto" w:fill="E9E9E9"/>
          </w:tcPr>
          <w:p>
            <w:pPr>
              <w:spacing w:after="0"/>
              <w:rPr>
                <w:sz w:val="24"/>
                <w:szCs w:val="24"/>
                <w:color w:val="auto"/>
              </w:rPr>
            </w:pPr>
          </w:p>
        </w:tc>
        <w:tc>
          <w:tcPr>
            <w:tcW w:w="420" w:type="dxa"/>
            <w:vAlign w:val="bottom"/>
            <w:shd w:val="clear" w:color="auto" w:fill="E9E9E9"/>
          </w:tcPr>
          <w:p>
            <w:pPr>
              <w:spacing w:after="0"/>
              <w:rPr>
                <w:sz w:val="24"/>
                <w:szCs w:val="24"/>
                <w:color w:val="auto"/>
              </w:rPr>
            </w:pPr>
          </w:p>
        </w:tc>
        <w:tc>
          <w:tcPr>
            <w:tcW w:w="8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87"/>
        </w:trPr>
        <w:tc>
          <w:tcPr>
            <w:tcW w:w="4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Stock compensation</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(3,941)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(4,612)</w:t>
            </w:r>
          </w:p>
        </w:tc>
      </w:tr>
      <w:tr>
        <w:trPr>
          <w:trHeight w:val="301"/>
        </w:trPr>
        <w:tc>
          <w:tcPr>
            <w:tcW w:w="462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Change in indemnification deferred tax asset</w:t>
            </w:r>
          </w:p>
        </w:tc>
        <w:tc>
          <w:tcPr>
            <w:tcW w:w="300" w:type="dxa"/>
            <w:vAlign w:val="bottom"/>
            <w:shd w:val="clear" w:color="auto" w:fill="E9E9E9"/>
          </w:tcPr>
          <w:p>
            <w:pPr>
              <w:spacing w:after="0"/>
              <w:rPr>
                <w:sz w:val="24"/>
                <w:szCs w:val="24"/>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80" w:type="dxa"/>
            <w:vAlign w:val="bottom"/>
            <w:shd w:val="clear" w:color="auto" w:fill="E9E9E9"/>
          </w:tcPr>
          <w:p>
            <w:pPr>
              <w:spacing w:after="0"/>
              <w:rPr>
                <w:sz w:val="24"/>
                <w:szCs w:val="24"/>
                <w:color w:val="auto"/>
              </w:rPr>
            </w:pPr>
          </w:p>
        </w:tc>
        <w:tc>
          <w:tcPr>
            <w:tcW w:w="300" w:type="dxa"/>
            <w:vAlign w:val="bottom"/>
            <w:shd w:val="clear" w:color="auto" w:fill="E9E9E9"/>
          </w:tcPr>
          <w:p>
            <w:pPr>
              <w:spacing w:after="0"/>
              <w:rPr>
                <w:sz w:val="24"/>
                <w:szCs w:val="24"/>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1,240</w:t>
            </w:r>
          </w:p>
        </w:tc>
        <w:tc>
          <w:tcPr>
            <w:tcW w:w="60" w:type="dxa"/>
            <w:vAlign w:val="bottom"/>
            <w:shd w:val="clear" w:color="auto" w:fill="E9E9E9"/>
          </w:tcPr>
          <w:p>
            <w:pPr>
              <w:spacing w:after="0"/>
              <w:rPr>
                <w:sz w:val="24"/>
                <w:szCs w:val="24"/>
                <w:color w:val="auto"/>
              </w:rPr>
            </w:pPr>
          </w:p>
        </w:tc>
        <w:tc>
          <w:tcPr>
            <w:tcW w:w="420" w:type="dxa"/>
            <w:vAlign w:val="bottom"/>
            <w:shd w:val="clear" w:color="auto" w:fill="E9E9E9"/>
          </w:tcPr>
          <w:p>
            <w:pPr>
              <w:spacing w:after="0"/>
              <w:rPr>
                <w:sz w:val="24"/>
                <w:szCs w:val="24"/>
                <w:color w:val="auto"/>
              </w:rPr>
            </w:pPr>
          </w:p>
        </w:tc>
        <w:tc>
          <w:tcPr>
            <w:tcW w:w="8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2,343</w:t>
            </w:r>
          </w:p>
        </w:tc>
      </w:tr>
      <w:tr>
        <w:trPr>
          <w:trHeight w:val="284"/>
        </w:trPr>
        <w:tc>
          <w:tcPr>
            <w:tcW w:w="4620" w:type="dxa"/>
            <w:vAlign w:val="bottom"/>
            <w:tcBorders>
              <w:bottom w:val="single" w:sz="8" w:color="E9E9E9"/>
            </w:tcBorders>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(1,326)</w:t>
            </w:r>
          </w:p>
        </w:tc>
        <w:tc>
          <w:tcPr>
            <w:tcW w:w="80" w:type="dxa"/>
            <w:vAlign w:val="bottom"/>
            <w:tcBorders>
              <w:bottom w:val="single" w:sz="8" w:color="E9E9E9"/>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744</w:t>
            </w:r>
          </w:p>
        </w:tc>
        <w:tc>
          <w:tcPr>
            <w:tcW w:w="60" w:type="dxa"/>
            <w:vAlign w:val="bottom"/>
            <w:tcBorders>
              <w:bottom w:val="single" w:sz="8" w:color="E9E9E9"/>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(228)</w:t>
            </w:r>
          </w:p>
        </w:tc>
      </w:tr>
      <w:tr>
        <w:trPr>
          <w:trHeight w:val="294"/>
        </w:trPr>
        <w:tc>
          <w:tcPr>
            <w:tcW w:w="4620" w:type="dxa"/>
            <w:vAlign w:val="bottom"/>
            <w:tcBorders>
              <w:bottom w:val="single" w:sz="8" w:color="E9E9E9"/>
            </w:tcBorders>
            <w:shd w:val="clear" w:color="auto" w:fill="E9E9E9"/>
          </w:tcPr>
          <w:p>
            <w:pPr>
              <w:ind w:left="400"/>
              <w:spacing w:after="0"/>
              <w:rPr>
                <w:sz w:val="20"/>
                <w:szCs w:val="20"/>
                <w:color w:val="auto"/>
              </w:rPr>
            </w:pPr>
            <w:r>
              <w:rPr>
                <w:rFonts w:ascii="Times New Roman" w:cs="Times New Roman" w:eastAsia="Times New Roman" w:hAnsi="Times New Roman"/>
                <w:sz w:val="20"/>
                <w:szCs w:val="20"/>
                <w:color w:val="auto"/>
              </w:rPr>
              <w:t>Income tax expense (benefit)</w:t>
            </w:r>
          </w:p>
        </w:tc>
        <w:tc>
          <w:tcPr>
            <w:tcW w:w="300" w:type="dxa"/>
            <w:vAlign w:val="bottom"/>
            <w:tcBorders>
              <w:bottom w:val="single" w:sz="8" w:color="auto"/>
            </w:tcBorders>
            <w:shd w:val="clear" w:color="auto" w:fill="E9E9E9"/>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118,535</w:t>
            </w:r>
          </w:p>
        </w:tc>
        <w:tc>
          <w:tcPr>
            <w:tcW w:w="80" w:type="dxa"/>
            <w:vAlign w:val="bottom"/>
            <w:tcBorders>
              <w:bottom w:val="single" w:sz="8" w:color="E9E9E9"/>
            </w:tcBorders>
            <w:shd w:val="clear" w:color="auto" w:fill="E9E9E9"/>
          </w:tcPr>
          <w:p>
            <w:pPr>
              <w:spacing w:after="0"/>
              <w:rPr>
                <w:sz w:val="24"/>
                <w:szCs w:val="24"/>
                <w:color w:val="auto"/>
              </w:rPr>
            </w:pPr>
          </w:p>
        </w:tc>
        <w:tc>
          <w:tcPr>
            <w:tcW w:w="300" w:type="dxa"/>
            <w:vAlign w:val="bottom"/>
            <w:tcBorders>
              <w:bottom w:val="single" w:sz="8" w:color="auto"/>
            </w:tcBorders>
            <w:shd w:val="clear" w:color="auto" w:fill="E9E9E9"/>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84,282</w:t>
            </w:r>
          </w:p>
        </w:tc>
        <w:tc>
          <w:tcPr>
            <w:tcW w:w="60" w:type="dxa"/>
            <w:vAlign w:val="bottom"/>
            <w:tcBorders>
              <w:bottom w:val="single" w:sz="8" w:color="E9E9E9"/>
            </w:tcBorders>
            <w:shd w:val="clear" w:color="auto" w:fill="E9E9E9"/>
          </w:tcPr>
          <w:p>
            <w:pPr>
              <w:spacing w:after="0"/>
              <w:rPr>
                <w:sz w:val="24"/>
                <w:szCs w:val="24"/>
                <w:color w:val="auto"/>
              </w:rPr>
            </w:pPr>
          </w:p>
        </w:tc>
        <w:tc>
          <w:tcPr>
            <w:tcW w:w="420" w:type="dxa"/>
            <w:vAlign w:val="bottom"/>
            <w:tcBorders>
              <w:bottom w:val="single" w:sz="8" w:color="auto"/>
            </w:tcBorders>
            <w:shd w:val="clear" w:color="auto" w:fill="E9E9E9"/>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(1,348)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3557905</wp:posOffset>
            </wp:positionH>
            <wp:positionV relativeFrom="paragraph">
              <wp:posOffset>-43180</wp:posOffset>
            </wp:positionV>
            <wp:extent cx="2555240" cy="501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55240" cy="50165"/>
                    </a:xfrm>
                    <a:prstGeom prst="rect">
                      <a:avLst/>
                    </a:prstGeom>
                    <a:noFill/>
                  </pic:spPr>
                </pic:pic>
              </a:graphicData>
            </a:graphic>
          </wp:anchor>
        </w:drawing>
      </w:r>
    </w:p>
    <w:p>
      <w:pPr>
        <w:spacing w:after="0" w:line="2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The components of deferred income tax assets (liabilities) are as follows:</w:t>
      </w:r>
    </w:p>
    <w:p>
      <w:pPr>
        <w:sectPr>
          <w:pgSz w:w="11880" w:h="15480" w:orient="portrait"/>
          <w:cols w:equalWidth="0" w:num="1">
            <w:col w:w="9800"/>
          </w:cols>
          <w:pgMar w:left="640" w:top="61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102</w:t>
      </w:r>
    </w:p>
    <w:p>
      <w:pPr>
        <w:sectPr>
          <w:pgSz w:w="11880" w:h="15480" w:orient="portrait"/>
          <w:cols w:equalWidth="0" w:num="1">
            <w:col w:w="9800"/>
          </w:cols>
          <w:pgMar w:left="640" w:top="615" w:right="1440" w:bottom="0" w:gutter="0" w:footer="0" w:header="0"/>
          <w:type w:val="continuous"/>
        </w:sectPr>
      </w:pPr>
    </w:p>
    <w:bookmarkStart w:id="108" w:name="page109"/>
    <w:bookmarkEnd w:id="108"/>
    <w:tbl>
      <w:tblPr>
        <w:tblLayout w:type="fixed"/>
        <w:tblInd w:w="1360" w:type="dxa"/>
        <w:tblCellMar>
          <w:top w:w="0" w:type="dxa"/>
          <w:left w:w="0" w:type="dxa"/>
          <w:bottom w:w="0" w:type="dxa"/>
          <w:right w:w="0" w:type="dxa"/>
        </w:tblCellMar>
      </w:tblPr>
      <w:tr>
        <w:trPr>
          <w:trHeight w:val="262"/>
        </w:trPr>
        <w:tc>
          <w:tcPr>
            <w:tcW w:w="52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4"/>
          </w:tcPr>
          <w:p>
            <w:pPr>
              <w:jc w:val="right"/>
              <w:ind w:right="662"/>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59"/>
        </w:trPr>
        <w:tc>
          <w:tcPr>
            <w:tcW w:w="5240" w:type="dxa"/>
            <w:vAlign w:val="bottom"/>
            <w:tcBorders>
              <w:bottom w:val="single" w:sz="8" w:color="E9E9E9"/>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Borders>
              <w:bottom w:val="single" w:sz="8" w:color="E9E9E9"/>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9"/>
        </w:trPr>
        <w:tc>
          <w:tcPr>
            <w:tcW w:w="524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b w:val="1"/>
                <w:bCs w:val="1"/>
                <w:color w:val="auto"/>
              </w:rPr>
              <w:t>Deferred Tax Assets</w:t>
            </w:r>
          </w:p>
        </w:tc>
        <w:tc>
          <w:tcPr>
            <w:tcW w:w="300" w:type="dxa"/>
            <w:vAlign w:val="bottom"/>
            <w:shd w:val="clear" w:color="auto" w:fill="E9E9E9"/>
          </w:tcPr>
          <w:p>
            <w:pPr>
              <w:spacing w:after="0"/>
              <w:rPr>
                <w:sz w:val="23"/>
                <w:szCs w:val="23"/>
                <w:color w:val="auto"/>
              </w:rPr>
            </w:pPr>
          </w:p>
        </w:tc>
        <w:tc>
          <w:tcPr>
            <w:tcW w:w="980" w:type="dxa"/>
            <w:vAlign w:val="bottom"/>
            <w:shd w:val="clear" w:color="auto" w:fill="E9E9E9"/>
          </w:tcPr>
          <w:p>
            <w:pPr>
              <w:spacing w:after="0"/>
              <w:rPr>
                <w:sz w:val="23"/>
                <w:szCs w:val="23"/>
                <w:color w:val="auto"/>
              </w:rPr>
            </w:pPr>
          </w:p>
        </w:tc>
        <w:tc>
          <w:tcPr>
            <w:tcW w:w="80" w:type="dxa"/>
            <w:vAlign w:val="bottom"/>
            <w:shd w:val="clear" w:color="auto" w:fill="E9E9E9"/>
          </w:tcPr>
          <w:p>
            <w:pPr>
              <w:spacing w:after="0"/>
              <w:rPr>
                <w:sz w:val="23"/>
                <w:szCs w:val="23"/>
                <w:color w:val="auto"/>
              </w:rPr>
            </w:pPr>
          </w:p>
        </w:tc>
        <w:tc>
          <w:tcPr>
            <w:tcW w:w="280" w:type="dxa"/>
            <w:vAlign w:val="bottom"/>
            <w:shd w:val="clear" w:color="auto" w:fill="E9E9E9"/>
          </w:tcPr>
          <w:p>
            <w:pPr>
              <w:spacing w:after="0"/>
              <w:rPr>
                <w:sz w:val="23"/>
                <w:szCs w:val="23"/>
                <w:color w:val="auto"/>
              </w:rPr>
            </w:pPr>
          </w:p>
        </w:tc>
        <w:tc>
          <w:tcPr>
            <w:tcW w:w="1000" w:type="dxa"/>
            <w:vAlign w:val="bottom"/>
            <w:shd w:val="clear" w:color="auto" w:fill="E9E9E9"/>
          </w:tcPr>
          <w:p>
            <w:pPr>
              <w:spacing w:after="0"/>
              <w:rPr>
                <w:sz w:val="23"/>
                <w:szCs w:val="23"/>
                <w:color w:val="auto"/>
              </w:rPr>
            </w:pPr>
          </w:p>
        </w:tc>
      </w:tr>
      <w:tr>
        <w:trPr>
          <w:trHeight w:val="287"/>
        </w:trPr>
        <w:tc>
          <w:tcPr>
            <w:tcW w:w="5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Federal benefit of state taxes payable</w:t>
            </w:r>
          </w:p>
        </w:tc>
        <w:tc>
          <w:tcPr>
            <w:tcW w:w="3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w:t>
            </w:r>
          </w:p>
        </w:tc>
      </w:tr>
      <w:tr>
        <w:trPr>
          <w:trHeight w:val="301"/>
        </w:trPr>
        <w:tc>
          <w:tcPr>
            <w:tcW w:w="524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Reserves, accruals and other</w:t>
            </w:r>
          </w:p>
        </w:tc>
        <w:tc>
          <w:tcPr>
            <w:tcW w:w="300" w:type="dxa"/>
            <w:vAlign w:val="bottom"/>
            <w:shd w:val="clear" w:color="auto" w:fill="E9E9E9"/>
          </w:tcPr>
          <w:p>
            <w:pPr>
              <w:spacing w:after="0"/>
              <w:rPr>
                <w:sz w:val="24"/>
                <w:szCs w:val="24"/>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30,382</w:t>
            </w:r>
          </w:p>
        </w:tc>
        <w:tc>
          <w:tcPr>
            <w:tcW w:w="80" w:type="dxa"/>
            <w:vAlign w:val="bottom"/>
            <w:shd w:val="clear" w:color="auto" w:fill="E9E9E9"/>
          </w:tcPr>
          <w:p>
            <w:pPr>
              <w:spacing w:after="0"/>
              <w:rPr>
                <w:sz w:val="24"/>
                <w:szCs w:val="24"/>
                <w:color w:val="auto"/>
              </w:rPr>
            </w:pPr>
          </w:p>
        </w:tc>
        <w:tc>
          <w:tcPr>
            <w:tcW w:w="280" w:type="dxa"/>
            <w:vAlign w:val="bottom"/>
            <w:shd w:val="clear" w:color="auto" w:fill="E9E9E9"/>
          </w:tcPr>
          <w:p>
            <w:pPr>
              <w:spacing w:after="0"/>
              <w:rPr>
                <w:sz w:val="24"/>
                <w:szCs w:val="24"/>
                <w:color w:val="auto"/>
              </w:rPr>
            </w:pPr>
          </w:p>
        </w:tc>
        <w:tc>
          <w:tcPr>
            <w:tcW w:w="10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18,923</w:t>
            </w:r>
          </w:p>
        </w:tc>
      </w:tr>
      <w:tr>
        <w:trPr>
          <w:trHeight w:val="287"/>
        </w:trPr>
        <w:tc>
          <w:tcPr>
            <w:tcW w:w="5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Capitalized research and development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29,799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17,142</w:t>
            </w:r>
          </w:p>
        </w:tc>
      </w:tr>
      <w:tr>
        <w:trPr>
          <w:trHeight w:val="301"/>
        </w:trPr>
        <w:tc>
          <w:tcPr>
            <w:tcW w:w="524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Stock compensation</w:t>
            </w:r>
          </w:p>
        </w:tc>
        <w:tc>
          <w:tcPr>
            <w:tcW w:w="300" w:type="dxa"/>
            <w:vAlign w:val="bottom"/>
            <w:shd w:val="clear" w:color="auto" w:fill="E9E9E9"/>
          </w:tcPr>
          <w:p>
            <w:pPr>
              <w:spacing w:after="0"/>
              <w:rPr>
                <w:sz w:val="24"/>
                <w:szCs w:val="24"/>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13,876</w:t>
            </w:r>
          </w:p>
        </w:tc>
        <w:tc>
          <w:tcPr>
            <w:tcW w:w="80" w:type="dxa"/>
            <w:vAlign w:val="bottom"/>
            <w:shd w:val="clear" w:color="auto" w:fill="E9E9E9"/>
          </w:tcPr>
          <w:p>
            <w:pPr>
              <w:spacing w:after="0"/>
              <w:rPr>
                <w:sz w:val="24"/>
                <w:szCs w:val="24"/>
                <w:color w:val="auto"/>
              </w:rPr>
            </w:pPr>
          </w:p>
        </w:tc>
        <w:tc>
          <w:tcPr>
            <w:tcW w:w="280" w:type="dxa"/>
            <w:vAlign w:val="bottom"/>
            <w:shd w:val="clear" w:color="auto" w:fill="E9E9E9"/>
          </w:tcPr>
          <w:p>
            <w:pPr>
              <w:spacing w:after="0"/>
              <w:rPr>
                <w:sz w:val="24"/>
                <w:szCs w:val="24"/>
                <w:color w:val="auto"/>
              </w:rPr>
            </w:pPr>
          </w:p>
        </w:tc>
        <w:tc>
          <w:tcPr>
            <w:tcW w:w="10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9,266</w:t>
            </w:r>
          </w:p>
        </w:tc>
      </w:tr>
      <w:tr>
        <w:trPr>
          <w:trHeight w:val="287"/>
        </w:trPr>
        <w:tc>
          <w:tcPr>
            <w:tcW w:w="5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Unrealized loss on investments</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10,707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1"/>
        </w:trPr>
        <w:tc>
          <w:tcPr>
            <w:tcW w:w="524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Intangible assets</w:t>
            </w:r>
          </w:p>
        </w:tc>
        <w:tc>
          <w:tcPr>
            <w:tcW w:w="300" w:type="dxa"/>
            <w:vAlign w:val="bottom"/>
            <w:shd w:val="clear" w:color="auto" w:fill="E9E9E9"/>
          </w:tcPr>
          <w:p>
            <w:pPr>
              <w:spacing w:after="0"/>
              <w:rPr>
                <w:sz w:val="24"/>
                <w:szCs w:val="24"/>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33,771</w:t>
            </w:r>
          </w:p>
        </w:tc>
        <w:tc>
          <w:tcPr>
            <w:tcW w:w="80" w:type="dxa"/>
            <w:vAlign w:val="bottom"/>
            <w:shd w:val="clear" w:color="auto" w:fill="E9E9E9"/>
          </w:tcPr>
          <w:p>
            <w:pPr>
              <w:spacing w:after="0"/>
              <w:rPr>
                <w:sz w:val="24"/>
                <w:szCs w:val="24"/>
                <w:color w:val="auto"/>
              </w:rPr>
            </w:pPr>
          </w:p>
        </w:tc>
        <w:tc>
          <w:tcPr>
            <w:tcW w:w="280" w:type="dxa"/>
            <w:vAlign w:val="bottom"/>
            <w:shd w:val="clear" w:color="auto" w:fill="E9E9E9"/>
          </w:tcPr>
          <w:p>
            <w:pPr>
              <w:spacing w:after="0"/>
              <w:rPr>
                <w:sz w:val="24"/>
                <w:szCs w:val="24"/>
                <w:color w:val="auto"/>
              </w:rPr>
            </w:pPr>
          </w:p>
        </w:tc>
        <w:tc>
          <w:tcPr>
            <w:tcW w:w="10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25,214</w:t>
            </w:r>
          </w:p>
        </w:tc>
      </w:tr>
      <w:tr>
        <w:trPr>
          <w:trHeight w:val="287"/>
        </w:trPr>
        <w:tc>
          <w:tcPr>
            <w:tcW w:w="5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71,502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80,184</w:t>
            </w:r>
          </w:p>
        </w:tc>
      </w:tr>
      <w:tr>
        <w:trPr>
          <w:trHeight w:val="309"/>
        </w:trPr>
        <w:tc>
          <w:tcPr>
            <w:tcW w:w="5240" w:type="dxa"/>
            <w:vAlign w:val="bottom"/>
            <w:tcBorders>
              <w:bottom w:val="single" w:sz="8" w:color="E9E9E9"/>
            </w:tcBorders>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Lease liability</w:t>
            </w:r>
          </w:p>
        </w:tc>
        <w:tc>
          <w:tcPr>
            <w:tcW w:w="300" w:type="dxa"/>
            <w:vAlign w:val="bottom"/>
            <w:tcBorders>
              <w:bottom w:val="single" w:sz="8" w:color="auto"/>
            </w:tcBorders>
            <w:shd w:val="clear" w:color="auto" w:fill="E9E9E9"/>
          </w:tcPr>
          <w:p>
            <w:pPr>
              <w:spacing w:after="0"/>
              <w:rPr>
                <w:sz w:val="24"/>
                <w:szCs w:val="24"/>
                <w:color w:val="auto"/>
              </w:rPr>
            </w:pPr>
          </w:p>
        </w:tc>
        <w:tc>
          <w:tcPr>
            <w:tcW w:w="9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14,100</w:t>
            </w:r>
          </w:p>
        </w:tc>
        <w:tc>
          <w:tcPr>
            <w:tcW w:w="80" w:type="dxa"/>
            <w:vAlign w:val="bottom"/>
            <w:tcBorders>
              <w:bottom w:val="single" w:sz="8" w:color="E9E9E9"/>
            </w:tcBorders>
            <w:shd w:val="clear" w:color="auto" w:fill="E9E9E9"/>
          </w:tcPr>
          <w:p>
            <w:pPr>
              <w:spacing w:after="0"/>
              <w:rPr>
                <w:sz w:val="24"/>
                <w:szCs w:val="24"/>
                <w:color w:val="auto"/>
              </w:rPr>
            </w:pPr>
          </w:p>
        </w:tc>
        <w:tc>
          <w:tcPr>
            <w:tcW w:w="280" w:type="dxa"/>
            <w:vAlign w:val="bottom"/>
            <w:tcBorders>
              <w:bottom w:val="single" w:sz="8" w:color="auto"/>
            </w:tcBorders>
            <w:shd w:val="clear" w:color="auto" w:fill="E9E9E9"/>
          </w:tcPr>
          <w:p>
            <w:pPr>
              <w:spacing w:after="0"/>
              <w:rPr>
                <w:sz w:val="24"/>
                <w:szCs w:val="24"/>
                <w:color w:val="auto"/>
              </w:rPr>
            </w:pPr>
          </w:p>
        </w:tc>
        <w:tc>
          <w:tcPr>
            <w:tcW w:w="100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14,365</w:t>
            </w:r>
          </w:p>
        </w:tc>
      </w:tr>
      <w:tr>
        <w:trPr>
          <w:trHeight w:val="255"/>
        </w:trPr>
        <w:tc>
          <w:tcPr>
            <w:tcW w:w="5240" w:type="dxa"/>
            <w:vAlign w:val="bottom"/>
            <w:tcBorders>
              <w:bottom w:val="single" w:sz="8" w:color="E9E9E9"/>
            </w:tcBorders>
          </w:tcPr>
          <w:p>
            <w:pPr>
              <w:ind w:left="420"/>
              <w:spacing w:after="0"/>
              <w:rPr>
                <w:sz w:val="20"/>
                <w:szCs w:val="20"/>
                <w:color w:val="auto"/>
              </w:rPr>
            </w:pPr>
            <w:r>
              <w:rPr>
                <w:rFonts w:ascii="Times New Roman" w:cs="Times New Roman" w:eastAsia="Times New Roman" w:hAnsi="Times New Roman"/>
                <w:sz w:val="20"/>
                <w:szCs w:val="20"/>
                <w:color w:val="auto"/>
              </w:rPr>
              <w:t>Deferred tax assets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205,004</w:t>
            </w:r>
          </w:p>
        </w:tc>
        <w:tc>
          <w:tcPr>
            <w:tcW w:w="80" w:type="dxa"/>
            <w:vAlign w:val="bottom"/>
            <w:tcBorders>
              <w:bottom w:val="single" w:sz="8" w:color="E9E9E9"/>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165,357</w:t>
            </w:r>
          </w:p>
        </w:tc>
      </w:tr>
      <w:tr>
        <w:trPr>
          <w:trHeight w:val="269"/>
        </w:trPr>
        <w:tc>
          <w:tcPr>
            <w:tcW w:w="524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b w:val="1"/>
                <w:bCs w:val="1"/>
                <w:color w:val="auto"/>
              </w:rPr>
              <w:t>Deferred Tax Liabilities</w:t>
            </w:r>
          </w:p>
        </w:tc>
        <w:tc>
          <w:tcPr>
            <w:tcW w:w="300" w:type="dxa"/>
            <w:vAlign w:val="bottom"/>
            <w:shd w:val="clear" w:color="auto" w:fill="E9E9E9"/>
          </w:tcPr>
          <w:p>
            <w:pPr>
              <w:spacing w:after="0"/>
              <w:rPr>
                <w:sz w:val="23"/>
                <w:szCs w:val="23"/>
                <w:color w:val="auto"/>
              </w:rPr>
            </w:pPr>
          </w:p>
        </w:tc>
        <w:tc>
          <w:tcPr>
            <w:tcW w:w="980" w:type="dxa"/>
            <w:vAlign w:val="bottom"/>
            <w:shd w:val="clear" w:color="auto" w:fill="E9E9E9"/>
          </w:tcPr>
          <w:p>
            <w:pPr>
              <w:spacing w:after="0"/>
              <w:rPr>
                <w:sz w:val="23"/>
                <w:szCs w:val="23"/>
                <w:color w:val="auto"/>
              </w:rPr>
            </w:pPr>
          </w:p>
        </w:tc>
        <w:tc>
          <w:tcPr>
            <w:tcW w:w="80" w:type="dxa"/>
            <w:vAlign w:val="bottom"/>
            <w:shd w:val="clear" w:color="auto" w:fill="E9E9E9"/>
          </w:tcPr>
          <w:p>
            <w:pPr>
              <w:spacing w:after="0"/>
              <w:rPr>
                <w:sz w:val="23"/>
                <w:szCs w:val="23"/>
                <w:color w:val="auto"/>
              </w:rPr>
            </w:pPr>
          </w:p>
        </w:tc>
        <w:tc>
          <w:tcPr>
            <w:tcW w:w="280" w:type="dxa"/>
            <w:vAlign w:val="bottom"/>
            <w:shd w:val="clear" w:color="auto" w:fill="E9E9E9"/>
          </w:tcPr>
          <w:p>
            <w:pPr>
              <w:spacing w:after="0"/>
              <w:rPr>
                <w:sz w:val="23"/>
                <w:szCs w:val="23"/>
                <w:color w:val="auto"/>
              </w:rPr>
            </w:pPr>
          </w:p>
        </w:tc>
        <w:tc>
          <w:tcPr>
            <w:tcW w:w="1000" w:type="dxa"/>
            <w:vAlign w:val="bottom"/>
            <w:shd w:val="clear" w:color="auto" w:fill="E9E9E9"/>
          </w:tcPr>
          <w:p>
            <w:pPr>
              <w:spacing w:after="0"/>
              <w:rPr>
                <w:sz w:val="23"/>
                <w:szCs w:val="23"/>
                <w:color w:val="auto"/>
              </w:rPr>
            </w:pPr>
          </w:p>
        </w:tc>
      </w:tr>
      <w:tr>
        <w:trPr>
          <w:trHeight w:val="287"/>
        </w:trPr>
        <w:tc>
          <w:tcPr>
            <w:tcW w:w="5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Right-of-use asset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(9,241)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(11,543)</w:t>
            </w:r>
          </w:p>
        </w:tc>
      </w:tr>
      <w:tr>
        <w:trPr>
          <w:trHeight w:val="309"/>
        </w:trPr>
        <w:tc>
          <w:tcPr>
            <w:tcW w:w="5240" w:type="dxa"/>
            <w:vAlign w:val="bottom"/>
            <w:tcBorders>
              <w:bottom w:val="single" w:sz="8" w:color="E9E9E9"/>
            </w:tcBorders>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Depreciation</w:t>
            </w:r>
          </w:p>
        </w:tc>
        <w:tc>
          <w:tcPr>
            <w:tcW w:w="300" w:type="dxa"/>
            <w:vAlign w:val="bottom"/>
            <w:tcBorders>
              <w:bottom w:val="single" w:sz="8" w:color="auto"/>
            </w:tcBorders>
            <w:shd w:val="clear" w:color="auto" w:fill="E9E9E9"/>
          </w:tcPr>
          <w:p>
            <w:pPr>
              <w:spacing w:after="0"/>
              <w:rPr>
                <w:sz w:val="24"/>
                <w:szCs w:val="24"/>
                <w:color w:val="auto"/>
              </w:rPr>
            </w:pPr>
          </w:p>
        </w:tc>
        <w:tc>
          <w:tcPr>
            <w:tcW w:w="9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(9,881)</w:t>
            </w:r>
          </w:p>
        </w:tc>
        <w:tc>
          <w:tcPr>
            <w:tcW w:w="80" w:type="dxa"/>
            <w:vAlign w:val="bottom"/>
            <w:tcBorders>
              <w:bottom w:val="single" w:sz="8" w:color="E9E9E9"/>
            </w:tcBorders>
            <w:shd w:val="clear" w:color="auto" w:fill="E9E9E9"/>
          </w:tcPr>
          <w:p>
            <w:pPr>
              <w:spacing w:after="0"/>
              <w:rPr>
                <w:sz w:val="24"/>
                <w:szCs w:val="24"/>
                <w:color w:val="auto"/>
              </w:rPr>
            </w:pPr>
          </w:p>
        </w:tc>
        <w:tc>
          <w:tcPr>
            <w:tcW w:w="280" w:type="dxa"/>
            <w:vAlign w:val="bottom"/>
            <w:tcBorders>
              <w:bottom w:val="single" w:sz="8" w:color="auto"/>
            </w:tcBorders>
            <w:shd w:val="clear" w:color="auto" w:fill="E9E9E9"/>
          </w:tcPr>
          <w:p>
            <w:pPr>
              <w:spacing w:after="0"/>
              <w:rPr>
                <w:sz w:val="24"/>
                <w:szCs w:val="24"/>
                <w:color w:val="auto"/>
              </w:rPr>
            </w:pPr>
          </w:p>
        </w:tc>
        <w:tc>
          <w:tcPr>
            <w:tcW w:w="100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9"/>
        </w:trPr>
        <w:tc>
          <w:tcPr>
            <w:tcW w:w="52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Deferred tax liability</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(19,122)</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(11,543)</w:t>
            </w:r>
          </w:p>
        </w:tc>
      </w:tr>
      <w:tr>
        <w:trPr>
          <w:trHeight w:val="291"/>
        </w:trPr>
        <w:tc>
          <w:tcPr>
            <w:tcW w:w="5240" w:type="dxa"/>
            <w:vAlign w:val="bottom"/>
            <w:tcBorders>
              <w:bottom w:val="single" w:sz="8" w:color="E9E9E9"/>
            </w:tcBorders>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Less: valuation allowance</w:t>
            </w:r>
          </w:p>
        </w:tc>
        <w:tc>
          <w:tcPr>
            <w:tcW w:w="300" w:type="dxa"/>
            <w:vAlign w:val="bottom"/>
            <w:tcBorders>
              <w:bottom w:val="single" w:sz="8" w:color="auto"/>
            </w:tcBorders>
            <w:shd w:val="clear" w:color="auto" w:fill="E9E9E9"/>
          </w:tcPr>
          <w:p>
            <w:pPr>
              <w:spacing w:after="0"/>
              <w:rPr>
                <w:sz w:val="24"/>
                <w:szCs w:val="24"/>
                <w:color w:val="auto"/>
              </w:rPr>
            </w:pPr>
          </w:p>
        </w:tc>
        <w:tc>
          <w:tcPr>
            <w:tcW w:w="9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(15,649)</w:t>
            </w:r>
          </w:p>
        </w:tc>
        <w:tc>
          <w:tcPr>
            <w:tcW w:w="80" w:type="dxa"/>
            <w:vAlign w:val="bottom"/>
            <w:tcBorders>
              <w:bottom w:val="single" w:sz="8" w:color="E9E9E9"/>
            </w:tcBorders>
            <w:shd w:val="clear" w:color="auto" w:fill="E9E9E9"/>
          </w:tcPr>
          <w:p>
            <w:pPr>
              <w:spacing w:after="0"/>
              <w:rPr>
                <w:sz w:val="24"/>
                <w:szCs w:val="24"/>
                <w:color w:val="auto"/>
              </w:rPr>
            </w:pPr>
          </w:p>
        </w:tc>
        <w:tc>
          <w:tcPr>
            <w:tcW w:w="280" w:type="dxa"/>
            <w:vAlign w:val="bottom"/>
            <w:tcBorders>
              <w:bottom w:val="single" w:sz="8" w:color="auto"/>
            </w:tcBorders>
            <w:shd w:val="clear" w:color="auto" w:fill="E9E9E9"/>
          </w:tcPr>
          <w:p>
            <w:pPr>
              <w:spacing w:after="0"/>
              <w:rPr>
                <w:sz w:val="24"/>
                <w:szCs w:val="24"/>
                <w:color w:val="auto"/>
              </w:rPr>
            </w:pPr>
          </w:p>
        </w:tc>
        <w:tc>
          <w:tcPr>
            <w:tcW w:w="100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(3,616)</w:t>
            </w:r>
          </w:p>
        </w:tc>
      </w:tr>
      <w:tr>
        <w:trPr>
          <w:trHeight w:val="294"/>
        </w:trPr>
        <w:tc>
          <w:tcPr>
            <w:tcW w:w="5240" w:type="dxa"/>
            <w:vAlign w:val="bottom"/>
          </w:tcPr>
          <w:p>
            <w:pPr>
              <w:spacing w:after="0"/>
              <w:rPr>
                <w:sz w:val="24"/>
                <w:szCs w:val="24"/>
                <w:color w:val="auto"/>
              </w:rPr>
            </w:pPr>
          </w:p>
        </w:tc>
        <w:tc>
          <w:tcPr>
            <w:tcW w:w="3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170,233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150,198</w:t>
            </w:r>
          </w:p>
        </w:tc>
      </w:tr>
      <w:tr>
        <w:trPr>
          <w:trHeight w:val="245"/>
        </w:trPr>
        <w:tc>
          <w:tcPr>
            <w:tcW w:w="5240" w:type="dxa"/>
            <w:vAlign w:val="bottom"/>
            <w:tcBorders>
              <w:top w:val="single" w:sz="8" w:color="E9E9E9"/>
              <w:bottom w:val="single" w:sz="8" w:color="E9E9E9"/>
            </w:tcBorders>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Recorded in the accompanying consolidated balance sheets as:</w:t>
            </w:r>
          </w:p>
        </w:tc>
        <w:tc>
          <w:tcPr>
            <w:tcW w:w="300" w:type="dxa"/>
            <w:vAlign w:val="bottom"/>
            <w:tcBorders>
              <w:top w:val="single" w:sz="8" w:color="auto"/>
              <w:bottom w:val="single" w:sz="8" w:color="E9E9E9"/>
            </w:tcBorders>
            <w:shd w:val="clear" w:color="auto" w:fill="E9E9E9"/>
          </w:tcPr>
          <w:p>
            <w:pPr>
              <w:spacing w:after="0"/>
              <w:rPr>
                <w:sz w:val="21"/>
                <w:szCs w:val="21"/>
                <w:color w:val="auto"/>
              </w:rPr>
            </w:pPr>
          </w:p>
        </w:tc>
        <w:tc>
          <w:tcPr>
            <w:tcW w:w="980" w:type="dxa"/>
            <w:vAlign w:val="bottom"/>
            <w:tcBorders>
              <w:top w:val="single" w:sz="8" w:color="auto"/>
              <w:bottom w:val="single" w:sz="8" w:color="E9E9E9"/>
            </w:tcBorders>
            <w:shd w:val="clear" w:color="auto" w:fill="E9E9E9"/>
          </w:tcPr>
          <w:p>
            <w:pPr>
              <w:spacing w:after="0"/>
              <w:rPr>
                <w:sz w:val="21"/>
                <w:szCs w:val="21"/>
                <w:color w:val="auto"/>
              </w:rPr>
            </w:pPr>
          </w:p>
        </w:tc>
        <w:tc>
          <w:tcPr>
            <w:tcW w:w="80" w:type="dxa"/>
            <w:vAlign w:val="bottom"/>
            <w:tcBorders>
              <w:top w:val="single" w:sz="8" w:color="E9E9E9"/>
              <w:bottom w:val="single" w:sz="8" w:color="E9E9E9"/>
            </w:tcBorders>
            <w:shd w:val="clear" w:color="auto" w:fill="E9E9E9"/>
          </w:tcPr>
          <w:p>
            <w:pPr>
              <w:spacing w:after="0"/>
              <w:rPr>
                <w:sz w:val="21"/>
                <w:szCs w:val="21"/>
                <w:color w:val="auto"/>
              </w:rPr>
            </w:pPr>
          </w:p>
        </w:tc>
        <w:tc>
          <w:tcPr>
            <w:tcW w:w="280" w:type="dxa"/>
            <w:vAlign w:val="bottom"/>
            <w:tcBorders>
              <w:top w:val="single" w:sz="8" w:color="auto"/>
              <w:bottom w:val="single" w:sz="8" w:color="E9E9E9"/>
            </w:tcBorders>
            <w:shd w:val="clear" w:color="auto" w:fill="E9E9E9"/>
          </w:tcPr>
          <w:p>
            <w:pPr>
              <w:spacing w:after="0"/>
              <w:rPr>
                <w:sz w:val="21"/>
                <w:szCs w:val="21"/>
                <w:color w:val="auto"/>
              </w:rPr>
            </w:pPr>
          </w:p>
        </w:tc>
        <w:tc>
          <w:tcPr>
            <w:tcW w:w="1000" w:type="dxa"/>
            <w:vAlign w:val="bottom"/>
            <w:tcBorders>
              <w:top w:val="single" w:sz="8" w:color="auto"/>
              <w:bottom w:val="single" w:sz="8" w:color="E9E9E9"/>
            </w:tcBorders>
            <w:shd w:val="clear" w:color="auto" w:fill="E9E9E9"/>
          </w:tcPr>
          <w:p>
            <w:pPr>
              <w:spacing w:after="0"/>
              <w:rPr>
                <w:sz w:val="21"/>
                <w:szCs w:val="21"/>
                <w:color w:val="auto"/>
              </w:rPr>
            </w:pPr>
          </w:p>
        </w:tc>
      </w:tr>
      <w:tr>
        <w:trPr>
          <w:trHeight w:val="265"/>
        </w:trPr>
        <w:tc>
          <w:tcPr>
            <w:tcW w:w="52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Noncurrent deferred tax assets, net</w:t>
            </w:r>
          </w:p>
        </w:tc>
        <w:tc>
          <w:tcPr>
            <w:tcW w:w="3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170,233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150,198</w:t>
            </w:r>
          </w:p>
        </w:tc>
      </w:tr>
      <w:tr>
        <w:trPr>
          <w:trHeight w:val="20"/>
        </w:trPr>
        <w:tc>
          <w:tcPr>
            <w:tcW w:w="5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-416560</wp:posOffset>
            </wp:positionV>
            <wp:extent cx="1696085" cy="501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96085" cy="50165"/>
                    </a:xfrm>
                    <a:prstGeom prst="rect">
                      <a:avLst/>
                    </a:prstGeom>
                    <a:noFill/>
                  </pic:spPr>
                </pic:pic>
              </a:graphicData>
            </a:graphic>
          </wp:anchor>
        </w:drawing>
        <w:drawing>
          <wp:anchor simplePos="0" relativeHeight="251657728" behindDoc="1" locked="0" layoutInCell="0" allowOverlap="1">
            <wp:simplePos x="0" y="0"/>
            <wp:positionH relativeFrom="column">
              <wp:posOffset>4178935</wp:posOffset>
            </wp:positionH>
            <wp:positionV relativeFrom="paragraph">
              <wp:posOffset>-43180</wp:posOffset>
            </wp:positionV>
            <wp:extent cx="1696085" cy="501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96085" cy="50165"/>
                    </a:xfrm>
                    <a:prstGeom prst="rect">
                      <a:avLst/>
                    </a:prstGeom>
                    <a:noFill/>
                  </pic:spPr>
                </pic:pic>
              </a:graphicData>
            </a:graphic>
          </wp:anchor>
        </w:drawing>
      </w:r>
    </w:p>
    <w:p>
      <w:pPr>
        <w:spacing w:after="0" w:line="222" w:lineRule="exact"/>
        <w:rPr>
          <w:sz w:val="20"/>
          <w:szCs w:val="20"/>
          <w:color w:val="auto"/>
        </w:rPr>
      </w:pPr>
    </w:p>
    <w:p>
      <w:pPr>
        <w:ind w:right="440" w:firstLine="441"/>
        <w:spacing w:after="0" w:line="266" w:lineRule="auto"/>
        <w:rPr>
          <w:sz w:val="20"/>
          <w:szCs w:val="20"/>
          <w:color w:val="auto"/>
        </w:rPr>
      </w:pPr>
      <w:r>
        <w:rPr>
          <w:rFonts w:ascii="Times New Roman" w:cs="Times New Roman" w:eastAsia="Times New Roman" w:hAnsi="Times New Roman"/>
          <w:sz w:val="19"/>
          <w:szCs w:val="19"/>
          <w:color w:val="auto"/>
        </w:rPr>
        <w:t>The Company regularly assesses its ability to realize its deferred tax assets. Assessing the realizability of deferred tax assets requires significant management judgment. In determining whether its deferred tax assets are more-likely-than-not realizable, the Company evaluated all available positive and negative evidence. As of December 31, 2024 and 2023, the Company maintains a valuation allowance of $15.6 million and $3.6 million, respectively. The amount in 2024 primarily related to unrealized losses incurred during the year on its investment in equity securities and to net deferred tax assets of certain of the Company’s foreign subsidiaries. The 2023 amount only relates to the net deferred tax assets of certain of the Company’s foreign subsidiaries.</w:t>
      </w:r>
    </w:p>
    <w:p>
      <w:pPr>
        <w:spacing w:after="0" w:line="194" w:lineRule="exact"/>
        <w:rPr>
          <w:sz w:val="20"/>
          <w:szCs w:val="20"/>
          <w:color w:val="auto"/>
        </w:rPr>
      </w:pPr>
    </w:p>
    <w:p>
      <w:pPr>
        <w:ind w:firstLine="441"/>
        <w:spacing w:after="0" w:line="249" w:lineRule="auto"/>
        <w:rPr>
          <w:sz w:val="20"/>
          <w:szCs w:val="20"/>
          <w:color w:val="auto"/>
        </w:rPr>
      </w:pPr>
      <w:r>
        <w:rPr>
          <w:rFonts w:ascii="Times New Roman" w:cs="Times New Roman" w:eastAsia="Times New Roman" w:hAnsi="Times New Roman"/>
          <w:sz w:val="20"/>
          <w:szCs w:val="20"/>
          <w:color w:val="auto"/>
        </w:rPr>
        <w:t>Utilization of net operating loss carryforwards and research and development credit carryforwards may be subject to a substantial annual limitation due to ownership change limitations that could occur in the future in accordance with Section 382 of the Internal Revenue Code of 1986 (“IRC Section 382”) and with Section 383 of the Internal Revenue Code of 1986, as well as similar state provisions. These ownership changes may limit the amount of net operating loss carryforwards and research and development credit carryforwards that can be utilized annually to offset future taxable income and taxes, respectively. In general, an ownership change, as defined by IRC Section 382, results from transactions which impact the ownership of certain stockholders or public groups in the stock of a corporation by more than 50 percentage points over a three-year period.</w:t>
      </w:r>
    </w:p>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At December 31, 2024, the Company had U.S. federal net operating loss carryforwards of approximately $269.9 million,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$128.1 million of which will expire between 2027 and 2037, and $141.8 million of which can be carried forward indefinitely.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has foreign net operating losses of $29.0 million and $4.3 million which expire in 2035 and $24.7 million of which can be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carried forward indefinitely. The Company’s state net operating losses are $9.1 million on a tax-effected basis, which will expire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between 2025 and 2044. The Company has state research credit carryforwards of $2.1 million, which will expire between 2026 and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2039.</w:t>
      </w:r>
    </w:p>
    <w:p>
      <w:pPr>
        <w:spacing w:after="0" w:line="240" w:lineRule="exact"/>
        <w:rPr>
          <w:sz w:val="20"/>
          <w:szCs w:val="20"/>
          <w:color w:val="auto"/>
        </w:rPr>
      </w:pPr>
    </w:p>
    <w:p>
      <w:pPr>
        <w:jc w:val="both"/>
        <w:ind w:right="140" w:firstLine="441"/>
        <w:spacing w:after="0" w:line="278" w:lineRule="auto"/>
        <w:rPr>
          <w:sz w:val="20"/>
          <w:szCs w:val="20"/>
          <w:color w:val="auto"/>
        </w:rPr>
      </w:pPr>
      <w:r>
        <w:rPr>
          <w:rFonts w:ascii="Times New Roman" w:cs="Times New Roman" w:eastAsia="Times New Roman" w:hAnsi="Times New Roman"/>
          <w:sz w:val="19"/>
          <w:szCs w:val="19"/>
          <w:color w:val="auto"/>
        </w:rPr>
        <w:t>The Company’s U.S. federal income tax returns are subject to examination for three years after the filing date of the return. The state and foreign income tax returns are subject to examination for periods varying from three to four years after filing, depending on the specific jurisdiction’s statutes of limitation, and in the case of Sweden, up to six years after the end of the financial year.</w:t>
      </w:r>
    </w:p>
    <w:p>
      <w:pPr>
        <w:sectPr>
          <w:pgSz w:w="11880" w:h="15480" w:orient="portrait"/>
          <w:cols w:equalWidth="0" w:num="1">
            <w:col w:w="10600"/>
          </w:cols>
          <w:pgMar w:left="640" w:top="705"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ectPr>
          <w:pgSz w:w="11880" w:h="15480" w:orient="portrait"/>
          <w:cols w:equalWidth="0" w:num="1">
            <w:col w:w="10600"/>
          </w:cols>
          <w:pgMar w:left="640" w:top="705" w:right="640" w:bottom="0" w:gutter="0" w:footer="0" w:header="0"/>
          <w:type w:val="continuous"/>
        </w:sectPr>
      </w:pPr>
    </w:p>
    <w:bookmarkStart w:id="109" w:name="page110"/>
    <w:bookmarkEnd w:id="109"/>
    <w:p>
      <w:pPr>
        <w:ind w:left="440"/>
        <w:spacing w:after="0"/>
        <w:rPr>
          <w:sz w:val="20"/>
          <w:szCs w:val="20"/>
          <w:color w:val="auto"/>
        </w:rPr>
      </w:pPr>
      <w:r>
        <w:rPr>
          <w:rFonts w:ascii="Times New Roman" w:cs="Times New Roman" w:eastAsia="Times New Roman" w:hAnsi="Times New Roman"/>
          <w:sz w:val="20"/>
          <w:szCs w:val="20"/>
          <w:color w:val="auto"/>
        </w:rPr>
        <w:t>A reconciliation of the Company’s changes in uncertain tax positions for 2024 and 2023 is as follows:</w:t>
      </w:r>
    </w:p>
    <w:p>
      <w:pPr>
        <w:spacing w:after="0" w:line="73" w:lineRule="exact"/>
        <w:rPr>
          <w:sz w:val="20"/>
          <w:szCs w:val="20"/>
          <w:color w:val="auto"/>
        </w:rPr>
      </w:pPr>
    </w:p>
    <w:tbl>
      <w:tblPr>
        <w:tblLayout w:type="fixed"/>
        <w:tblInd w:w="1720" w:type="dxa"/>
        <w:tblCellMar>
          <w:top w:w="0" w:type="dxa"/>
          <w:left w:w="0" w:type="dxa"/>
          <w:bottom w:w="0" w:type="dxa"/>
          <w:right w:w="0" w:type="dxa"/>
        </w:tblCellMar>
      </w:tblPr>
      <w:tr>
        <w:trPr>
          <w:trHeight w:val="262"/>
        </w:trPr>
        <w:tc>
          <w:tcPr>
            <w:tcW w:w="5880" w:type="dxa"/>
            <w:vAlign w:val="bottom"/>
            <w:tcBorders>
              <w:bottom w:val="single" w:sz="8" w:color="E9E9E9"/>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20"/>
                <w:szCs w:val="20"/>
                <w:b w:val="1"/>
                <w:bCs w:val="1"/>
                <w:color w:val="auto"/>
              </w:rPr>
              <w:t>Amount</w:t>
            </w:r>
          </w:p>
        </w:tc>
      </w:tr>
      <w:tr>
        <w:trPr>
          <w:trHeight w:val="284"/>
        </w:trPr>
        <w:tc>
          <w:tcPr>
            <w:tcW w:w="588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Balance of uncertain tax positions as of January 1, 2022</w:t>
            </w:r>
          </w:p>
        </w:tc>
        <w:tc>
          <w:tcPr>
            <w:tcW w:w="2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3,658</w:t>
            </w:r>
          </w:p>
        </w:tc>
      </w:tr>
      <w:tr>
        <w:trPr>
          <w:trHeight w:val="287"/>
        </w:trPr>
        <w:tc>
          <w:tcPr>
            <w:tcW w:w="5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Additions related to current year tax positions</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1"/>
        </w:trPr>
        <w:tc>
          <w:tcPr>
            <w:tcW w:w="5880" w:type="dxa"/>
            <w:vAlign w:val="bottom"/>
            <w:shd w:val="clear" w:color="auto" w:fill="E9E9E9"/>
          </w:tcPr>
          <w:p>
            <w:pPr>
              <w:ind w:left="160"/>
              <w:spacing w:after="0"/>
              <w:rPr>
                <w:sz w:val="20"/>
                <w:szCs w:val="20"/>
                <w:color w:val="auto"/>
              </w:rPr>
            </w:pPr>
            <w:r>
              <w:rPr>
                <w:rFonts w:ascii="Times New Roman" w:cs="Times New Roman" w:eastAsia="Times New Roman" w:hAnsi="Times New Roman"/>
                <w:sz w:val="20"/>
                <w:szCs w:val="20"/>
                <w:color w:val="auto"/>
              </w:rPr>
              <w:t>Reductions related to prior year tax positions</w:t>
            </w:r>
          </w:p>
        </w:tc>
        <w:tc>
          <w:tcPr>
            <w:tcW w:w="220" w:type="dxa"/>
            <w:vAlign w:val="bottom"/>
            <w:shd w:val="clear" w:color="auto" w:fill="E9E9E9"/>
          </w:tcPr>
          <w:p>
            <w:pPr>
              <w:spacing w:after="0"/>
              <w:rPr>
                <w:sz w:val="24"/>
                <w:szCs w:val="24"/>
                <w:color w:val="auto"/>
              </w:rPr>
            </w:pPr>
          </w:p>
        </w:tc>
        <w:tc>
          <w:tcPr>
            <w:tcW w:w="10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(1,180)</w:t>
            </w:r>
          </w:p>
        </w:tc>
      </w:tr>
      <w:tr>
        <w:trPr>
          <w:trHeight w:val="287"/>
        </w:trPr>
        <w:tc>
          <w:tcPr>
            <w:tcW w:w="5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Settlements</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w:t>
            </w:r>
          </w:p>
        </w:tc>
      </w:tr>
      <w:tr>
        <w:trPr>
          <w:trHeight w:val="309"/>
        </w:trPr>
        <w:tc>
          <w:tcPr>
            <w:tcW w:w="5880" w:type="dxa"/>
            <w:vAlign w:val="bottom"/>
            <w:tcBorders>
              <w:bottom w:val="single" w:sz="8" w:color="E9E9E9"/>
            </w:tcBorders>
            <w:shd w:val="clear" w:color="auto" w:fill="E9E9E9"/>
          </w:tcPr>
          <w:p>
            <w:pPr>
              <w:ind w:left="160"/>
              <w:spacing w:after="0"/>
              <w:rPr>
                <w:sz w:val="20"/>
                <w:szCs w:val="20"/>
                <w:color w:val="auto"/>
              </w:rPr>
            </w:pPr>
            <w:r>
              <w:rPr>
                <w:rFonts w:ascii="Times New Roman" w:cs="Times New Roman" w:eastAsia="Times New Roman" w:hAnsi="Times New Roman"/>
                <w:sz w:val="20"/>
                <w:szCs w:val="20"/>
                <w:color w:val="auto"/>
              </w:rPr>
              <w:t>Lapse of statute of limitations</w:t>
            </w:r>
          </w:p>
        </w:tc>
        <w:tc>
          <w:tcPr>
            <w:tcW w:w="220" w:type="dxa"/>
            <w:vAlign w:val="bottom"/>
            <w:tcBorders>
              <w:bottom w:val="single" w:sz="8" w:color="auto"/>
            </w:tcBorders>
            <w:shd w:val="clear" w:color="auto" w:fill="E9E9E9"/>
          </w:tcPr>
          <w:p>
            <w:pPr>
              <w:spacing w:after="0"/>
              <w:rPr>
                <w:sz w:val="24"/>
                <w:szCs w:val="24"/>
                <w:color w:val="auto"/>
              </w:rPr>
            </w:pPr>
          </w:p>
        </w:tc>
        <w:tc>
          <w:tcPr>
            <w:tcW w:w="106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(692)</w:t>
            </w:r>
          </w:p>
        </w:tc>
      </w:tr>
      <w:tr>
        <w:trPr>
          <w:trHeight w:val="259"/>
        </w:trPr>
        <w:tc>
          <w:tcPr>
            <w:tcW w:w="58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Balance of uncertain tax positions as of December 31, 2022</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1,480</w:t>
            </w:r>
          </w:p>
        </w:tc>
      </w:tr>
      <w:tr>
        <w:trPr>
          <w:trHeight w:val="301"/>
        </w:trPr>
        <w:tc>
          <w:tcPr>
            <w:tcW w:w="5880" w:type="dxa"/>
            <w:vAlign w:val="bottom"/>
            <w:shd w:val="clear" w:color="auto" w:fill="E9E9E9"/>
          </w:tcPr>
          <w:p>
            <w:pPr>
              <w:ind w:left="200"/>
              <w:spacing w:after="0"/>
              <w:rPr>
                <w:sz w:val="20"/>
                <w:szCs w:val="20"/>
                <w:color w:val="auto"/>
              </w:rPr>
            </w:pPr>
            <w:r>
              <w:rPr>
                <w:rFonts w:ascii="Times New Roman" w:cs="Times New Roman" w:eastAsia="Times New Roman" w:hAnsi="Times New Roman"/>
                <w:sz w:val="20"/>
                <w:szCs w:val="20"/>
                <w:color w:val="auto"/>
              </w:rPr>
              <w:t>Additions related to current year tax positions</w:t>
            </w:r>
          </w:p>
        </w:tc>
        <w:tc>
          <w:tcPr>
            <w:tcW w:w="220" w:type="dxa"/>
            <w:vAlign w:val="bottom"/>
            <w:shd w:val="clear" w:color="auto" w:fill="E9E9E9"/>
          </w:tcPr>
          <w:p>
            <w:pPr>
              <w:spacing w:after="0"/>
              <w:rPr>
                <w:sz w:val="24"/>
                <w:szCs w:val="24"/>
                <w:color w:val="auto"/>
              </w:rPr>
            </w:pPr>
          </w:p>
        </w:tc>
        <w:tc>
          <w:tcPr>
            <w:tcW w:w="10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3,749</w:t>
            </w:r>
          </w:p>
        </w:tc>
      </w:tr>
      <w:tr>
        <w:trPr>
          <w:trHeight w:val="287"/>
        </w:trPr>
        <w:tc>
          <w:tcPr>
            <w:tcW w:w="58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Reductions related to prior year tax positions</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(688)</w:t>
            </w:r>
          </w:p>
        </w:tc>
      </w:tr>
      <w:tr>
        <w:trPr>
          <w:trHeight w:val="301"/>
        </w:trPr>
        <w:tc>
          <w:tcPr>
            <w:tcW w:w="5880" w:type="dxa"/>
            <w:vAlign w:val="bottom"/>
            <w:shd w:val="clear" w:color="auto" w:fill="E9E9E9"/>
          </w:tcPr>
          <w:p>
            <w:pPr>
              <w:ind w:left="200"/>
              <w:spacing w:after="0"/>
              <w:rPr>
                <w:sz w:val="20"/>
                <w:szCs w:val="20"/>
                <w:color w:val="auto"/>
              </w:rPr>
            </w:pPr>
            <w:r>
              <w:rPr>
                <w:rFonts w:ascii="Times New Roman" w:cs="Times New Roman" w:eastAsia="Times New Roman" w:hAnsi="Times New Roman"/>
                <w:sz w:val="20"/>
                <w:szCs w:val="20"/>
                <w:color w:val="auto"/>
              </w:rPr>
              <w:t>Settlements</w:t>
            </w:r>
          </w:p>
        </w:tc>
        <w:tc>
          <w:tcPr>
            <w:tcW w:w="220" w:type="dxa"/>
            <w:vAlign w:val="bottom"/>
            <w:shd w:val="clear" w:color="auto" w:fill="E9E9E9"/>
          </w:tcPr>
          <w:p>
            <w:pPr>
              <w:spacing w:after="0"/>
              <w:rPr>
                <w:sz w:val="24"/>
                <w:szCs w:val="24"/>
                <w:color w:val="auto"/>
              </w:rPr>
            </w:pPr>
          </w:p>
        </w:tc>
        <w:tc>
          <w:tcPr>
            <w:tcW w:w="10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(442)</w:t>
            </w:r>
          </w:p>
        </w:tc>
      </w:tr>
      <w:tr>
        <w:trPr>
          <w:trHeight w:val="284"/>
        </w:trPr>
        <w:tc>
          <w:tcPr>
            <w:tcW w:w="5880" w:type="dxa"/>
            <w:vAlign w:val="bottom"/>
            <w:tcBorders>
              <w:bottom w:val="single" w:sz="8" w:color="E9E9E9"/>
            </w:tcBorders>
          </w:tcPr>
          <w:p>
            <w:pPr>
              <w:ind w:left="200"/>
              <w:spacing w:after="0"/>
              <w:rPr>
                <w:sz w:val="20"/>
                <w:szCs w:val="20"/>
                <w:color w:val="auto"/>
              </w:rPr>
            </w:pPr>
            <w:r>
              <w:rPr>
                <w:rFonts w:ascii="Times New Roman" w:cs="Times New Roman" w:eastAsia="Times New Roman" w:hAnsi="Times New Roman"/>
                <w:sz w:val="20"/>
                <w:szCs w:val="20"/>
                <w:color w:val="auto"/>
              </w:rPr>
              <w:t>Lapse of statute of limitations</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4"/>
        </w:trPr>
        <w:tc>
          <w:tcPr>
            <w:tcW w:w="588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Balance of uncertain tax positions as of December 31, 2023</w:t>
            </w:r>
          </w:p>
        </w:tc>
        <w:tc>
          <w:tcPr>
            <w:tcW w:w="220" w:type="dxa"/>
            <w:vAlign w:val="bottom"/>
            <w:shd w:val="clear" w:color="auto" w:fill="E9E9E9"/>
          </w:tcPr>
          <w:p>
            <w:pPr>
              <w:spacing w:after="0"/>
              <w:rPr>
                <w:sz w:val="24"/>
                <w:szCs w:val="24"/>
                <w:color w:val="auto"/>
              </w:rPr>
            </w:pPr>
          </w:p>
        </w:tc>
        <w:tc>
          <w:tcPr>
            <w:tcW w:w="10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4,099</w:t>
            </w:r>
          </w:p>
        </w:tc>
      </w:tr>
      <w:tr>
        <w:trPr>
          <w:trHeight w:val="287"/>
        </w:trPr>
        <w:tc>
          <w:tcPr>
            <w:tcW w:w="58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Additions related to current year tax positions</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948</w:t>
            </w:r>
          </w:p>
        </w:tc>
      </w:tr>
      <w:tr>
        <w:trPr>
          <w:trHeight w:val="301"/>
        </w:trPr>
        <w:tc>
          <w:tcPr>
            <w:tcW w:w="5880" w:type="dxa"/>
            <w:vAlign w:val="bottom"/>
            <w:shd w:val="clear" w:color="auto" w:fill="E9E9E9"/>
          </w:tcPr>
          <w:p>
            <w:pPr>
              <w:ind w:left="180"/>
              <w:spacing w:after="0"/>
              <w:rPr>
                <w:sz w:val="20"/>
                <w:szCs w:val="20"/>
                <w:color w:val="auto"/>
              </w:rPr>
            </w:pPr>
            <w:r>
              <w:rPr>
                <w:rFonts w:ascii="Times New Roman" w:cs="Times New Roman" w:eastAsia="Times New Roman" w:hAnsi="Times New Roman"/>
                <w:sz w:val="20"/>
                <w:szCs w:val="20"/>
                <w:color w:val="auto"/>
              </w:rPr>
              <w:t>Additions related to prior year tax positions</w:t>
            </w:r>
          </w:p>
        </w:tc>
        <w:tc>
          <w:tcPr>
            <w:tcW w:w="220" w:type="dxa"/>
            <w:vAlign w:val="bottom"/>
            <w:shd w:val="clear" w:color="auto" w:fill="E9E9E9"/>
          </w:tcPr>
          <w:p>
            <w:pPr>
              <w:spacing w:after="0"/>
              <w:rPr>
                <w:sz w:val="24"/>
                <w:szCs w:val="24"/>
                <w:color w:val="auto"/>
              </w:rPr>
            </w:pPr>
          </w:p>
        </w:tc>
        <w:tc>
          <w:tcPr>
            <w:tcW w:w="10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2,694</w:t>
            </w:r>
          </w:p>
        </w:tc>
      </w:tr>
      <w:tr>
        <w:trPr>
          <w:trHeight w:val="287"/>
        </w:trPr>
        <w:tc>
          <w:tcPr>
            <w:tcW w:w="58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Reductions related to prior year tax positions</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301"/>
        </w:trPr>
        <w:tc>
          <w:tcPr>
            <w:tcW w:w="5880" w:type="dxa"/>
            <w:vAlign w:val="bottom"/>
            <w:shd w:val="clear" w:color="auto" w:fill="E9E9E9"/>
          </w:tcPr>
          <w:p>
            <w:pPr>
              <w:ind w:left="200"/>
              <w:spacing w:after="0"/>
              <w:rPr>
                <w:sz w:val="20"/>
                <w:szCs w:val="20"/>
                <w:color w:val="auto"/>
              </w:rPr>
            </w:pPr>
            <w:r>
              <w:rPr>
                <w:rFonts w:ascii="Times New Roman" w:cs="Times New Roman" w:eastAsia="Times New Roman" w:hAnsi="Times New Roman"/>
                <w:sz w:val="20"/>
                <w:szCs w:val="20"/>
                <w:color w:val="auto"/>
              </w:rPr>
              <w:t>Settlements</w:t>
            </w:r>
          </w:p>
        </w:tc>
        <w:tc>
          <w:tcPr>
            <w:tcW w:w="220" w:type="dxa"/>
            <w:vAlign w:val="bottom"/>
            <w:shd w:val="clear" w:color="auto" w:fill="E9E9E9"/>
          </w:tcPr>
          <w:p>
            <w:pPr>
              <w:spacing w:after="0"/>
              <w:rPr>
                <w:sz w:val="24"/>
                <w:szCs w:val="24"/>
                <w:color w:val="auto"/>
              </w:rPr>
            </w:pPr>
          </w:p>
        </w:tc>
        <w:tc>
          <w:tcPr>
            <w:tcW w:w="10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284"/>
        </w:trPr>
        <w:tc>
          <w:tcPr>
            <w:tcW w:w="5880" w:type="dxa"/>
            <w:vAlign w:val="bottom"/>
            <w:tcBorders>
              <w:bottom w:val="single" w:sz="8" w:color="E9E9E9"/>
            </w:tcBorders>
          </w:tcPr>
          <w:p>
            <w:pPr>
              <w:ind w:left="200"/>
              <w:spacing w:after="0"/>
              <w:rPr>
                <w:sz w:val="20"/>
                <w:szCs w:val="20"/>
                <w:color w:val="auto"/>
              </w:rPr>
            </w:pPr>
            <w:r>
              <w:rPr>
                <w:rFonts w:ascii="Times New Roman" w:cs="Times New Roman" w:eastAsia="Times New Roman" w:hAnsi="Times New Roman"/>
                <w:sz w:val="20"/>
                <w:szCs w:val="20"/>
                <w:color w:val="auto"/>
              </w:rPr>
              <w:t>Lapse of statute of limitations</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4"/>
        </w:trPr>
        <w:tc>
          <w:tcPr>
            <w:tcW w:w="5880" w:type="dxa"/>
            <w:vAlign w:val="bottom"/>
            <w:tcBorders>
              <w:bottom w:val="single" w:sz="8" w:color="E9E9E9"/>
            </w:tcBorders>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Balance of uncertain tax positions as of December 31, 2024</w:t>
            </w:r>
          </w:p>
        </w:tc>
        <w:tc>
          <w:tcPr>
            <w:tcW w:w="22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7,620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4808855</wp:posOffset>
            </wp:positionH>
            <wp:positionV relativeFrom="paragraph">
              <wp:posOffset>-43180</wp:posOffset>
            </wp:positionV>
            <wp:extent cx="837565" cy="501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37565" cy="50165"/>
                    </a:xfrm>
                    <a:prstGeom prst="rect">
                      <a:avLst/>
                    </a:prstGeom>
                    <a:noFill/>
                  </pic:spPr>
                </pic:pic>
              </a:graphicData>
            </a:graphic>
          </wp:anchor>
        </w:drawing>
      </w:r>
    </w:p>
    <w:p>
      <w:pPr>
        <w:spacing w:after="0" w:line="222"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20"/>
          <w:szCs w:val="20"/>
          <w:color w:val="auto"/>
        </w:rPr>
        <w:t>In connection with the Company’s acquisition of the medical imaging business from Bristol Myers Squibb (“BMS”) in 2008, the Company recorded a liability for uncertain tax positions related to the acquired business and simultaneously entered into an indemnification agreement with BMS for any payments made to settle those uncertain tax positions with the taxing authorities.</w:t>
      </w:r>
    </w:p>
    <w:p>
      <w:pPr>
        <w:spacing w:after="0" w:line="199" w:lineRule="exact"/>
        <w:rPr>
          <w:sz w:val="20"/>
          <w:szCs w:val="20"/>
          <w:color w:val="auto"/>
        </w:rPr>
      </w:pPr>
    </w:p>
    <w:p>
      <w:pPr>
        <w:ind w:right="120" w:firstLine="441"/>
        <w:spacing w:after="0" w:line="250" w:lineRule="auto"/>
        <w:rPr>
          <w:sz w:val="20"/>
          <w:szCs w:val="20"/>
          <w:color w:val="auto"/>
        </w:rPr>
      </w:pPr>
      <w:r>
        <w:rPr>
          <w:rFonts w:ascii="Times New Roman" w:cs="Times New Roman" w:eastAsia="Times New Roman" w:hAnsi="Times New Roman"/>
          <w:sz w:val="20"/>
          <w:szCs w:val="20"/>
          <w:color w:val="auto"/>
        </w:rPr>
        <w:t>In accordance with the Company’s accounting policy, the change in the tax liability, penalties and interest associated with these obligations (net of any offsetting federal or state benefit) is recognized within income tax expense. As these reserves change, adjustments are included in income tax expense while the offsetting adjustment is included in other income. Assuming that the receivable from BMS continues to be considered recoverable by the Company, there will be no effect on net income and no net cash outflows related to these liabilities. Included in other (income) loss for the years ended December 31, 2024, 2023 and 2022, is tax indemnification (income) expense, net of ($0.1) million, $4.9 million and $9.6 million, respectively.</w:t>
      </w:r>
    </w:p>
    <w:p>
      <w:pPr>
        <w:spacing w:after="0" w:line="209" w:lineRule="exact"/>
        <w:rPr>
          <w:sz w:val="20"/>
          <w:szCs w:val="20"/>
          <w:color w:val="auto"/>
        </w:rPr>
      </w:pPr>
    </w:p>
    <w:p>
      <w:pPr>
        <w:jc w:val="both"/>
        <w:ind w:right="100" w:firstLine="441"/>
        <w:spacing w:after="0" w:line="258" w:lineRule="auto"/>
        <w:rPr>
          <w:sz w:val="20"/>
          <w:szCs w:val="20"/>
          <w:color w:val="auto"/>
        </w:rPr>
      </w:pPr>
      <w:r>
        <w:rPr>
          <w:rFonts w:ascii="Times New Roman" w:cs="Times New Roman" w:eastAsia="Times New Roman" w:hAnsi="Times New Roman"/>
          <w:sz w:val="19"/>
          <w:szCs w:val="19"/>
          <w:color w:val="auto"/>
        </w:rPr>
        <w:t>As of December 31, 2024 and 2023, total liabilities for uncertain tax positions including interest and penalties were $9.4 million and $5.4 million, respectively, consisting of uncertain tax positions of $7.6 million and $4.1 million, respectively, interest accruals of $1.8 million and $1.3 million, respectively, and no penalty accruals as of December 31, 2024 and 2023. The increase in uncertain tax positions during the year ended December 31, 2024 was primarily related to state tax uncertainties. As of December 31, 2024,</w:t>
      </w:r>
    </w:p>
    <w:p>
      <w:pPr>
        <w:spacing w:after="0" w:line="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9"/>
          <w:szCs w:val="19"/>
          <w:color w:val="auto"/>
        </w:rPr>
        <w:t>$1.4 million, $7.3 million, and $0.7 million of these liabilities were recorded in current liabilities, other long-term liabilities, and as a reduction of deferred tax assets, respectively. As of December 31, 2023, $1.3 million, $3.2 million and $0.9 million of these liabilities were recorded in current liabilities, other long-term liabilities, and as a reduction of deferred tax assets, respectively. Included in the 2024 tax provision are expenses of $2.5 million, primarily related to state tax position. Included in the 2023 and 2022 tax provision are benefits of $5.0 million and $12.6 million, respectively, relating to reversals of uncertain tax positions recognized upon settlements, effective settlements, or lapses of relevant statutes of limitation, partially offset by interest accruals. As of December 31, 2024, the Company has $5.7 million of unrecognized tax benefits which would impact the effective tax rate if recognized.</w:t>
      </w:r>
    </w:p>
    <w:p>
      <w:pPr>
        <w:sectPr>
          <w:pgSz w:w="11880" w:h="15480" w:orient="portrait"/>
          <w:cols w:equalWidth="0" w:num="1">
            <w:col w:w="10580"/>
          </w:cols>
          <w:pgMar w:left="640" w:top="622"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104</w:t>
      </w:r>
    </w:p>
    <w:p>
      <w:pPr>
        <w:sectPr>
          <w:pgSz w:w="11880" w:h="15480" w:orient="portrait"/>
          <w:cols w:equalWidth="0" w:num="1">
            <w:col w:w="10580"/>
          </w:cols>
          <w:pgMar w:left="640" w:top="622" w:right="660" w:bottom="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20"/>
          <w:szCs w:val="20"/>
          <w:b w:val="1"/>
          <w:bCs w:val="1"/>
          <w:color w:val="auto"/>
        </w:rPr>
        <w:t>6. Inventory</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Inventory consisted of the following:</w:t>
      </w:r>
    </w:p>
    <w:p>
      <w:pPr>
        <w:spacing w:after="0" w:line="200" w:lineRule="exact"/>
        <w:rPr>
          <w:sz w:val="20"/>
          <w:szCs w:val="20"/>
          <w:color w:val="auto"/>
        </w:rPr>
      </w:pPr>
    </w:p>
    <w:p>
      <w:pPr>
        <w:spacing w:after="0" w:line="38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5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0"/>
          <w:szCs w:val="20"/>
          <w:color w:val="auto"/>
        </w:rPr>
        <w:t>Raw materials</w:t>
      </w:r>
    </w:p>
    <w:p>
      <w:pPr>
        <w:spacing w:after="0" w:line="64"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0"/>
          <w:szCs w:val="20"/>
          <w:color w:val="auto"/>
        </w:rPr>
        <w:t>Work in process</w:t>
      </w:r>
    </w:p>
    <w:p>
      <w:pPr>
        <w:spacing w:after="0" w:line="64"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0"/>
          <w:szCs w:val="20"/>
          <w:color w:val="auto"/>
        </w:rPr>
        <w:t>Finished goods</w:t>
      </w:r>
    </w:p>
    <w:p>
      <w:pPr>
        <w:spacing w:after="0" w:line="64" w:lineRule="exact"/>
        <w:rPr>
          <w:sz w:val="20"/>
          <w:szCs w:val="20"/>
          <w:color w:val="auto"/>
        </w:rPr>
      </w:pPr>
    </w:p>
    <w:p>
      <w:pPr>
        <w:jc w:val="right"/>
        <w:ind w:right="1380"/>
        <w:spacing w:after="0"/>
        <w:rPr>
          <w:sz w:val="20"/>
          <w:szCs w:val="20"/>
          <w:color w:val="auto"/>
        </w:rPr>
      </w:pPr>
      <w:r>
        <w:rPr>
          <w:rFonts w:ascii="Times New Roman" w:cs="Times New Roman" w:eastAsia="Times New Roman" w:hAnsi="Times New Roman"/>
          <w:sz w:val="20"/>
          <w:szCs w:val="20"/>
          <w:color w:val="auto"/>
        </w:rPr>
        <w:t>Total inventory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42"/>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42"/>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71"/>
        </w:trPr>
        <w:tc>
          <w:tcPr>
            <w:tcW w:w="3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29,080</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31,259</w:t>
            </w:r>
          </w:p>
        </w:tc>
      </w:tr>
      <w:tr>
        <w:trPr>
          <w:trHeight w:val="294"/>
        </w:trPr>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15,870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13,807</w:t>
            </w:r>
          </w:p>
        </w:tc>
      </w:tr>
      <w:tr>
        <w:trPr>
          <w:trHeight w:val="297"/>
        </w:trPr>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23,075</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18,963</w:t>
            </w:r>
          </w:p>
        </w:tc>
      </w:tr>
      <w:tr>
        <w:trPr>
          <w:trHeight w:val="255"/>
        </w:trPr>
        <w:tc>
          <w:tcPr>
            <w:tcW w:w="3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68,025</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64,029</w:t>
            </w:r>
          </w:p>
        </w:tc>
      </w:tr>
      <w:tr>
        <w:trPr>
          <w:trHeight w:val="20"/>
        </w:trPr>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-2358390</wp:posOffset>
            </wp:positionH>
            <wp:positionV relativeFrom="paragraph">
              <wp:posOffset>-764540</wp:posOffset>
            </wp:positionV>
            <wp:extent cx="4032250" cy="186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032250" cy="186690"/>
                    </a:xfrm>
                    <a:prstGeom prst="rect">
                      <a:avLst/>
                    </a:prstGeom>
                    <a:noFill/>
                  </pic:spPr>
                </pic:pic>
              </a:graphicData>
            </a:graphic>
          </wp:anchor>
        </w:drawing>
        <w:drawing>
          <wp:anchor simplePos="0" relativeHeight="251657728" behindDoc="1" locked="0" layoutInCell="0" allowOverlap="1">
            <wp:simplePos x="0" y="0"/>
            <wp:positionH relativeFrom="column">
              <wp:posOffset>-2358390</wp:posOffset>
            </wp:positionH>
            <wp:positionV relativeFrom="paragraph">
              <wp:posOffset>-391160</wp:posOffset>
            </wp:positionV>
            <wp:extent cx="4032250" cy="186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032250" cy="1866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-43180</wp:posOffset>
            </wp:positionV>
            <wp:extent cx="1696085" cy="501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696085" cy="50165"/>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5120" w:space="720"/>
            <w:col w:w="4720"/>
          </w:cols>
          <w:pgMar w:left="640" w:top="615" w:right="680" w:bottom="0" w:gutter="0" w:footer="0" w:header="0"/>
        </w:sectPr>
      </w:pPr>
    </w:p>
    <w:p>
      <w:pPr>
        <w:spacing w:after="0" w:line="136" w:lineRule="exact"/>
        <w:rPr>
          <w:sz w:val="20"/>
          <w:szCs w:val="20"/>
          <w:color w:val="auto"/>
        </w:rPr>
      </w:pPr>
    </w:p>
    <w:p>
      <w:pPr>
        <w:jc w:val="both"/>
        <w:ind w:right="240" w:firstLine="490"/>
        <w:spacing w:after="0" w:line="283" w:lineRule="auto"/>
        <w:rPr>
          <w:sz w:val="20"/>
          <w:szCs w:val="20"/>
          <w:color w:val="auto"/>
        </w:rPr>
      </w:pPr>
      <w:r>
        <w:rPr>
          <w:rFonts w:ascii="Times New Roman" w:cs="Times New Roman" w:eastAsia="Times New Roman" w:hAnsi="Times New Roman"/>
          <w:sz w:val="20"/>
          <w:szCs w:val="20"/>
          <w:color w:val="auto"/>
        </w:rPr>
        <w:t>The Company has no inventory pending regulatory approval as of December 31, 2024 and 2023. The majority of the value of the inventory relates to non-radioactive products. With respect to the Company’s products that are radiopharmaceuticals, due to the limited shelf life of such products, they are generally not held as finished goods.</w:t>
      </w:r>
    </w:p>
    <w:p>
      <w:pPr>
        <w:sectPr>
          <w:pgSz w:w="11880" w:h="15480" w:orient="portrait"/>
          <w:cols w:equalWidth="0" w:num="1">
            <w:col w:w="10560"/>
          </w:cols>
          <w:pgMar w:left="640" w:top="615" w:right="680" w:bottom="0" w:gutter="0" w:footer="0" w:header="0"/>
          <w:type w:val="continuous"/>
        </w:sectPr>
      </w:pP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Property, Plant and Equipment, Net</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Property, plant and equipment, net, consisted of the following:</w:t>
      </w:r>
    </w:p>
    <w:p>
      <w:pPr>
        <w:spacing w:after="0" w:line="3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924560</wp:posOffset>
            </wp:positionH>
            <wp:positionV relativeFrom="paragraph">
              <wp:posOffset>20955</wp:posOffset>
            </wp:positionV>
            <wp:extent cx="4881880" cy="1930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881880" cy="193040"/>
                    </a:xfrm>
                    <a:prstGeom prst="rect">
                      <a:avLst/>
                    </a:prstGeom>
                    <a:noFill/>
                  </pic:spPr>
                </pic:pic>
              </a:graphicData>
            </a:graphic>
          </wp:anchor>
        </w:drawing>
      </w:r>
    </w:p>
    <w:p>
      <w:pPr>
        <w:spacing w:after="0" w:line="3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Land</w:t>
      </w:r>
    </w:p>
    <w:p>
      <w:pPr>
        <w:spacing w:after="0" w:line="6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Buildings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924560</wp:posOffset>
            </wp:positionH>
            <wp:positionV relativeFrom="paragraph">
              <wp:posOffset>33020</wp:posOffset>
            </wp:positionV>
            <wp:extent cx="4881880" cy="186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881880" cy="186690"/>
                    </a:xfrm>
                    <a:prstGeom prst="rect">
                      <a:avLst/>
                    </a:prstGeom>
                    <a:noFill/>
                  </pic:spPr>
                </pic:pic>
              </a:graphicData>
            </a:graphic>
          </wp:anchor>
        </w:drawing>
      </w:r>
    </w:p>
    <w:p>
      <w:pPr>
        <w:spacing w:after="0" w:line="4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Machinery, equipment and fixtures</w:t>
      </w:r>
    </w:p>
    <w:p>
      <w:pPr>
        <w:spacing w:after="0" w:line="6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Computer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924560</wp:posOffset>
            </wp:positionH>
            <wp:positionV relativeFrom="paragraph">
              <wp:posOffset>33020</wp:posOffset>
            </wp:positionV>
            <wp:extent cx="4881880" cy="1930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881880" cy="193040"/>
                    </a:xfrm>
                    <a:prstGeom prst="rect">
                      <a:avLst/>
                    </a:prstGeom>
                    <a:noFill/>
                  </pic:spPr>
                </pic:pic>
              </a:graphicData>
            </a:graphic>
          </wp:anchor>
        </w:drawing>
      </w:r>
    </w:p>
    <w:p>
      <w:pPr>
        <w:spacing w:after="0" w:line="4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Construction in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924560</wp:posOffset>
            </wp:positionH>
            <wp:positionV relativeFrom="paragraph">
              <wp:posOffset>219710</wp:posOffset>
            </wp:positionV>
            <wp:extent cx="4881880" cy="1930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881880" cy="193040"/>
                    </a:xfrm>
                    <a:prstGeom prst="rect">
                      <a:avLst/>
                    </a:prstGeom>
                    <a:noFill/>
                  </pic:spPr>
                </pic:pic>
              </a:graphicData>
            </a:graphic>
          </wp:anchor>
        </w:drawing>
      </w:r>
    </w:p>
    <w:p>
      <w:pPr>
        <w:spacing w:after="0" w:line="33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Less: accumulated depreciation and amortization</w:t>
      </w:r>
    </w:p>
    <w:p>
      <w:pPr>
        <w:spacing w:after="0" w:line="7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color w:val="auto"/>
        </w:rPr>
        <w:t>Total property, plant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20955</wp:posOffset>
            </wp:positionV>
            <wp:extent cx="1670685" cy="12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70685" cy="12700"/>
                    </a:xfrm>
                    <a:prstGeom prst="rect">
                      <a:avLst/>
                    </a:prstGeom>
                    <a:noFill/>
                  </pic:spPr>
                </pic:pic>
              </a:graphicData>
            </a:graphic>
          </wp:anchor>
        </w:drawing>
      </w:r>
    </w:p>
    <w:p>
      <w:pPr>
        <w:spacing w:after="0" w:line="29" w:lineRule="exact"/>
        <w:rPr>
          <w:sz w:val="20"/>
          <w:szCs w:val="20"/>
          <w:color w:val="auto"/>
        </w:rPr>
      </w:pPr>
    </w:p>
    <w:p>
      <w:pPr>
        <w:ind w:left="400"/>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2024</w:t>
      </w:r>
      <w:r>
        <w:rPr>
          <w:sz w:val="20"/>
          <w:szCs w:val="20"/>
          <w:color w:val="auto"/>
        </w:rPr>
        <w:tab/>
      </w:r>
      <w:r>
        <w:rPr>
          <w:rFonts w:ascii="Times New Roman" w:cs="Times New Roman" w:eastAsia="Times New Roman" w:hAnsi="Times New Roman"/>
          <w:sz w:val="20"/>
          <w:szCs w:val="20"/>
          <w:b w:val="1"/>
          <w:bCs w:val="1"/>
          <w:color w:val="auto"/>
        </w:rPr>
        <w:t>2023</w:t>
      </w:r>
    </w:p>
    <w:p>
      <w:pPr>
        <w:spacing w:after="0" w:line="68" w:lineRule="exact"/>
        <w:rPr>
          <w:sz w:val="20"/>
          <w:szCs w:val="20"/>
          <w:color w:val="auto"/>
        </w:rPr>
      </w:pPr>
    </w:p>
    <w:p>
      <w:pPr>
        <w:spacing w:after="0"/>
        <w:tabs>
          <w:tab w:leader="none" w:pos="700" w:val="left"/>
          <w:tab w:leader="none" w:pos="1340" w:val="left"/>
          <w:tab w:leader="none" w:pos="204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9,480</w:t>
        <w:tab/>
        <w:t>$</w:t>
      </w:r>
      <w:r>
        <w:rPr>
          <w:sz w:val="20"/>
          <w:szCs w:val="20"/>
          <w:color w:val="auto"/>
        </w:rPr>
        <w:tab/>
      </w:r>
      <w:r>
        <w:rPr>
          <w:rFonts w:ascii="Times New Roman" w:cs="Times New Roman" w:eastAsia="Times New Roman" w:hAnsi="Times New Roman"/>
          <w:sz w:val="19"/>
          <w:szCs w:val="19"/>
          <w:color w:val="auto"/>
        </w:rPr>
        <w:t>9,480</w:t>
      </w:r>
    </w:p>
    <w:p>
      <w:pPr>
        <w:spacing w:after="0" w:line="64" w:lineRule="exact"/>
        <w:rPr>
          <w:sz w:val="20"/>
          <w:szCs w:val="20"/>
          <w:color w:val="auto"/>
        </w:rPr>
      </w:pPr>
    </w:p>
    <w:p>
      <w:pPr>
        <w:ind w:left="620"/>
        <w:spacing w:after="0"/>
        <w:tabs>
          <w:tab w:leader="none" w:pos="1940" w:val="left"/>
        </w:tabs>
        <w:rPr>
          <w:sz w:val="20"/>
          <w:szCs w:val="20"/>
          <w:color w:val="auto"/>
        </w:rPr>
      </w:pPr>
      <w:r>
        <w:rPr>
          <w:rFonts w:ascii="Times New Roman" w:cs="Times New Roman" w:eastAsia="Times New Roman" w:hAnsi="Times New Roman"/>
          <w:sz w:val="20"/>
          <w:szCs w:val="20"/>
          <w:color w:val="auto"/>
        </w:rPr>
        <w:t>85,523</w:t>
      </w:r>
      <w:r>
        <w:rPr>
          <w:sz w:val="20"/>
          <w:szCs w:val="20"/>
          <w:color w:val="auto"/>
        </w:rPr>
        <w:tab/>
      </w:r>
      <w:r>
        <w:rPr>
          <w:rFonts w:ascii="Times New Roman" w:cs="Times New Roman" w:eastAsia="Times New Roman" w:hAnsi="Times New Roman"/>
          <w:sz w:val="20"/>
          <w:szCs w:val="20"/>
          <w:color w:val="auto"/>
        </w:rPr>
        <w:t>73,441</w:t>
      </w:r>
    </w:p>
    <w:p>
      <w:pPr>
        <w:spacing w:after="0" w:line="64" w:lineRule="exact"/>
        <w:rPr>
          <w:sz w:val="20"/>
          <w:szCs w:val="20"/>
          <w:color w:val="auto"/>
        </w:rPr>
      </w:pPr>
    </w:p>
    <w:p>
      <w:pPr>
        <w:ind w:left="520"/>
        <w:spacing w:after="0"/>
        <w:tabs>
          <w:tab w:leader="none" w:pos="1840" w:val="left"/>
        </w:tabs>
        <w:rPr>
          <w:sz w:val="20"/>
          <w:szCs w:val="20"/>
          <w:color w:val="auto"/>
        </w:rPr>
      </w:pPr>
      <w:r>
        <w:rPr>
          <w:rFonts w:ascii="Times New Roman" w:cs="Times New Roman" w:eastAsia="Times New Roman" w:hAnsi="Times New Roman"/>
          <w:sz w:val="20"/>
          <w:szCs w:val="20"/>
          <w:color w:val="auto"/>
        </w:rPr>
        <w:t>114,357</w:t>
      </w:r>
      <w:r>
        <w:rPr>
          <w:sz w:val="20"/>
          <w:szCs w:val="20"/>
          <w:color w:val="auto"/>
        </w:rPr>
        <w:tab/>
      </w:r>
      <w:r>
        <w:rPr>
          <w:rFonts w:ascii="Times New Roman" w:cs="Times New Roman" w:eastAsia="Times New Roman" w:hAnsi="Times New Roman"/>
          <w:sz w:val="20"/>
          <w:szCs w:val="20"/>
          <w:color w:val="auto"/>
        </w:rPr>
        <w:t>102,576</w:t>
      </w:r>
    </w:p>
    <w:p>
      <w:pPr>
        <w:spacing w:after="0" w:line="64" w:lineRule="exact"/>
        <w:rPr>
          <w:sz w:val="20"/>
          <w:szCs w:val="20"/>
          <w:color w:val="auto"/>
        </w:rPr>
      </w:pPr>
    </w:p>
    <w:p>
      <w:pPr>
        <w:ind w:left="620"/>
        <w:spacing w:after="0"/>
        <w:tabs>
          <w:tab w:leader="none" w:pos="1940" w:val="left"/>
        </w:tabs>
        <w:rPr>
          <w:sz w:val="20"/>
          <w:szCs w:val="20"/>
          <w:color w:val="auto"/>
        </w:rPr>
      </w:pPr>
      <w:r>
        <w:rPr>
          <w:rFonts w:ascii="Times New Roman" w:cs="Times New Roman" w:eastAsia="Times New Roman" w:hAnsi="Times New Roman"/>
          <w:sz w:val="20"/>
          <w:szCs w:val="20"/>
          <w:color w:val="auto"/>
        </w:rPr>
        <w:t>48,702</w:t>
      </w:r>
      <w:r>
        <w:rPr>
          <w:sz w:val="20"/>
          <w:szCs w:val="20"/>
          <w:color w:val="auto"/>
        </w:rPr>
        <w:tab/>
      </w:r>
      <w:r>
        <w:rPr>
          <w:rFonts w:ascii="Times New Roman" w:cs="Times New Roman" w:eastAsia="Times New Roman" w:hAnsi="Times New Roman"/>
          <w:sz w:val="20"/>
          <w:szCs w:val="20"/>
          <w:color w:val="auto"/>
        </w:rPr>
        <w:t>27,259</w:t>
      </w:r>
    </w:p>
    <w:p>
      <w:pPr>
        <w:spacing w:after="0" w:line="64" w:lineRule="exact"/>
        <w:rPr>
          <w:sz w:val="20"/>
          <w:szCs w:val="20"/>
          <w:color w:val="auto"/>
        </w:rPr>
      </w:pPr>
    </w:p>
    <w:p>
      <w:pPr>
        <w:ind w:left="620"/>
        <w:spacing w:after="0"/>
        <w:tabs>
          <w:tab w:leader="none" w:pos="1940" w:val="left"/>
        </w:tabs>
        <w:rPr>
          <w:sz w:val="20"/>
          <w:szCs w:val="20"/>
          <w:color w:val="auto"/>
        </w:rPr>
      </w:pPr>
      <w:r>
        <w:rPr>
          <w:rFonts w:ascii="Times New Roman" w:cs="Times New Roman" w:eastAsia="Times New Roman" w:hAnsi="Times New Roman"/>
          <w:sz w:val="20"/>
          <w:szCs w:val="20"/>
          <w:color w:val="auto"/>
        </w:rPr>
        <w:t>27,498</w:t>
      </w:r>
      <w:r>
        <w:rPr>
          <w:sz w:val="20"/>
          <w:szCs w:val="20"/>
          <w:color w:val="auto"/>
        </w:rPr>
        <w:tab/>
      </w:r>
      <w:r>
        <w:rPr>
          <w:rFonts w:ascii="Times New Roman" w:cs="Times New Roman" w:eastAsia="Times New Roman" w:hAnsi="Times New Roman"/>
          <w:sz w:val="20"/>
          <w:szCs w:val="20"/>
          <w:color w:val="auto"/>
        </w:rPr>
        <w:t>40,964</w:t>
      </w:r>
    </w:p>
    <w:p>
      <w:pPr>
        <w:spacing w:after="0" w:line="64" w:lineRule="exact"/>
        <w:rPr>
          <w:sz w:val="20"/>
          <w:szCs w:val="20"/>
          <w:color w:val="auto"/>
        </w:rPr>
      </w:pPr>
    </w:p>
    <w:p>
      <w:pPr>
        <w:ind w:left="520"/>
        <w:spacing w:after="0"/>
        <w:tabs>
          <w:tab w:leader="none" w:pos="1840" w:val="left"/>
        </w:tabs>
        <w:rPr>
          <w:sz w:val="20"/>
          <w:szCs w:val="20"/>
          <w:color w:val="auto"/>
        </w:rPr>
      </w:pPr>
      <w:r>
        <w:rPr>
          <w:rFonts w:ascii="Times New Roman" w:cs="Times New Roman" w:eastAsia="Times New Roman" w:hAnsi="Times New Roman"/>
          <w:sz w:val="20"/>
          <w:szCs w:val="20"/>
          <w:color w:val="auto"/>
        </w:rPr>
        <w:t>285,560</w:t>
      </w:r>
      <w:r>
        <w:rPr>
          <w:sz w:val="20"/>
          <w:szCs w:val="20"/>
          <w:color w:val="auto"/>
        </w:rPr>
        <w:tab/>
      </w:r>
      <w:r>
        <w:rPr>
          <w:rFonts w:ascii="Times New Roman" w:cs="Times New Roman" w:eastAsia="Times New Roman" w:hAnsi="Times New Roman"/>
          <w:sz w:val="20"/>
          <w:szCs w:val="20"/>
          <w:color w:val="auto"/>
        </w:rPr>
        <w:t>253,720</w:t>
      </w:r>
    </w:p>
    <w:p>
      <w:pPr>
        <w:spacing w:after="0" w:line="64" w:lineRule="exact"/>
        <w:rPr>
          <w:sz w:val="20"/>
          <w:szCs w:val="20"/>
          <w:color w:val="auto"/>
        </w:rPr>
      </w:pPr>
    </w:p>
    <w:p>
      <w:pPr>
        <w:jc w:val="both"/>
        <w:ind w:left="440"/>
        <w:spacing w:after="0"/>
        <w:tabs>
          <w:tab w:leader="none" w:pos="1780" w:val="left"/>
        </w:tabs>
        <w:rPr>
          <w:sz w:val="20"/>
          <w:szCs w:val="20"/>
          <w:color w:val="auto"/>
        </w:rPr>
      </w:pPr>
      <w:r>
        <w:rPr>
          <w:rFonts w:ascii="Times New Roman" w:cs="Times New Roman" w:eastAsia="Times New Roman" w:hAnsi="Times New Roman"/>
          <w:sz w:val="20"/>
          <w:szCs w:val="20"/>
          <w:color w:val="auto"/>
        </w:rPr>
        <w:t>(108,762)</w:t>
      </w:r>
      <w:r>
        <w:rPr>
          <w:sz w:val="20"/>
          <w:szCs w:val="20"/>
          <w:color w:val="auto"/>
        </w:rPr>
        <w:tab/>
      </w:r>
      <w:r>
        <w:rPr>
          <w:rFonts w:ascii="Times New Roman" w:cs="Times New Roman" w:eastAsia="Times New Roman" w:hAnsi="Times New Roman"/>
          <w:sz w:val="20"/>
          <w:szCs w:val="20"/>
          <w:color w:val="auto"/>
        </w:rPr>
        <w:t>(107,023)</w:t>
      </w:r>
    </w:p>
    <w:p>
      <w:pPr>
        <w:spacing w:after="0" w:line="64" w:lineRule="exact"/>
        <w:rPr>
          <w:sz w:val="20"/>
          <w:szCs w:val="20"/>
          <w:color w:val="auto"/>
        </w:rPr>
      </w:pPr>
    </w:p>
    <w:p>
      <w:pPr>
        <w:spacing w:after="0"/>
        <w:tabs>
          <w:tab w:leader="none" w:pos="500" w:val="left"/>
          <w:tab w:leader="none" w:pos="1340" w:val="left"/>
          <w:tab w:leader="none" w:pos="184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176,798</w:t>
        <w:tab/>
        <w:t>$</w:t>
      </w:r>
      <w:r>
        <w:rPr>
          <w:sz w:val="20"/>
          <w:szCs w:val="20"/>
          <w:color w:val="auto"/>
        </w:rPr>
        <w:tab/>
      </w:r>
      <w:r>
        <w:rPr>
          <w:rFonts w:ascii="Times New Roman" w:cs="Times New Roman" w:eastAsia="Times New Roman" w:hAnsi="Times New Roman"/>
          <w:sz w:val="19"/>
          <w:szCs w:val="19"/>
          <w:color w:val="auto"/>
        </w:rPr>
        <w:t>146,697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0</wp:posOffset>
            </wp:positionV>
            <wp:extent cx="1696085" cy="501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696085" cy="50165"/>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5840" w:space="720"/>
            <w:col w:w="4000"/>
          </w:cols>
          <w:pgMar w:left="640" w:top="615" w:right="680" w:bottom="0" w:gutter="0" w:footer="0" w:header="0"/>
          <w:type w:val="continuous"/>
        </w:sectPr>
      </w:pPr>
    </w:p>
    <w:p>
      <w:pPr>
        <w:spacing w:after="0" w:line="111" w:lineRule="exact"/>
        <w:rPr>
          <w:sz w:val="20"/>
          <w:szCs w:val="20"/>
          <w:color w:val="auto"/>
        </w:rPr>
      </w:pPr>
    </w:p>
    <w:p>
      <w:pPr>
        <w:ind w:right="660" w:firstLine="441"/>
        <w:spacing w:after="0" w:line="271" w:lineRule="auto"/>
        <w:rPr>
          <w:sz w:val="20"/>
          <w:szCs w:val="20"/>
          <w:color w:val="auto"/>
        </w:rPr>
      </w:pPr>
      <w:r>
        <w:rPr>
          <w:rFonts w:ascii="Times New Roman" w:cs="Times New Roman" w:eastAsia="Times New Roman" w:hAnsi="Times New Roman"/>
          <w:sz w:val="20"/>
          <w:szCs w:val="20"/>
          <w:color w:val="auto"/>
        </w:rPr>
        <w:t>Depreciation and amortization expense related to property, plant &amp; equipment, net, was $20.4 million, $13.2 million and $13.7 million for the years ended December 31, 2024, 2023 and 2022, respectively.</w:t>
      </w:r>
    </w:p>
    <w:p>
      <w:pPr>
        <w:spacing w:after="0" w:line="186" w:lineRule="exact"/>
        <w:rPr>
          <w:sz w:val="20"/>
          <w:szCs w:val="20"/>
          <w:color w:val="auto"/>
        </w:rPr>
      </w:pPr>
    </w:p>
    <w:p>
      <w:pPr>
        <w:ind w:right="240" w:firstLine="441"/>
        <w:spacing w:after="0" w:line="271" w:lineRule="auto"/>
        <w:rPr>
          <w:sz w:val="20"/>
          <w:szCs w:val="20"/>
          <w:color w:val="auto"/>
        </w:rPr>
      </w:pPr>
      <w:r>
        <w:rPr>
          <w:rFonts w:ascii="Times New Roman" w:cs="Times New Roman" w:eastAsia="Times New Roman" w:hAnsi="Times New Roman"/>
          <w:sz w:val="20"/>
          <w:szCs w:val="20"/>
          <w:color w:val="auto"/>
        </w:rPr>
        <w:t>The Company tests long-lived assets for recoverability whenever events or changes in circumstances suggest that the carrying value of an asset or group of assets may not be recoverable.</w:t>
      </w:r>
    </w:p>
    <w:p>
      <w:pPr>
        <w:spacing w:after="0" w:line="186" w:lineRule="exact"/>
        <w:rPr>
          <w:sz w:val="20"/>
          <w:szCs w:val="20"/>
          <w:color w:val="auto"/>
        </w:rPr>
      </w:pPr>
    </w:p>
    <w:p>
      <w:pPr>
        <w:ind w:firstLine="441"/>
        <w:spacing w:after="0" w:line="249" w:lineRule="auto"/>
        <w:rPr>
          <w:sz w:val="20"/>
          <w:szCs w:val="20"/>
          <w:color w:val="auto"/>
        </w:rPr>
      </w:pPr>
      <w:r>
        <w:rPr>
          <w:rFonts w:ascii="Times New Roman" w:cs="Times New Roman" w:eastAsia="Times New Roman" w:hAnsi="Times New Roman"/>
          <w:sz w:val="20"/>
          <w:szCs w:val="20"/>
          <w:color w:val="auto"/>
        </w:rPr>
        <w:t>During 2023, as a result of a decline in expected future cash flows related to the AZEDRA marketed intangible asset, the Company determined certain impairment triggers had occurred. Subsequently, in 2023, the Company discontinued the production and promotion of AZEDRA and decided to wind down its facility at 110 Clyde Rd, Somerset, New Jersey (the “Somerset Facility”). The Company reviewed revised undiscounted cash flows that were estimated to be generated by the asset group as of June 30, 2023. Based on the undiscounted cash flow analysis, the Company determined that the asset group had net carrying values that exceeded their estimated undiscounted future cash flows. The Company then estimated the fair value of the asset group based on their discounted cash flows. The carrying value exceeded the fair value and as a result, the Company recorded a noncash impairment of $6.0 million during 2023 in cost of goods sold in the consolidated statement of operations.</w:t>
      </w:r>
    </w:p>
    <w:p>
      <w:pPr>
        <w:spacing w:after="0" w:line="208"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9"/>
          <w:szCs w:val="19"/>
          <w:color w:val="auto"/>
        </w:rPr>
        <w:t>On January 8, 2024, the Company entered into an agreement with Perspective to transfer the sublease for the Somerset Facility and sold the associated assets at the Somerset Facility for $8.0 million. The transfer of the sublease and completion of the asset sale occurred on March 1, 2024. The sale of assets resulted in a derecognition to the right-of-use asset of $0.4 million, the lease liability of $0.4 million and remaining property, plant and equipment of $0.8 million. The Company also incurred commission expense of</w:t>
      </w:r>
    </w:p>
    <w:p>
      <w:pPr>
        <w:spacing w:after="0" w:line="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0"/>
          <w:szCs w:val="20"/>
          <w:color w:val="auto"/>
        </w:rPr>
        <w:t>$1.0 million related to the transaction. The Company recorded a gain on sale of assets of $6.3 million for the year ended December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Sale of Portion of North Billerica Facility</w:t>
      </w:r>
    </w:p>
    <w:p>
      <w:pPr>
        <w:spacing w:after="0" w:line="130" w:lineRule="exact"/>
        <w:rPr>
          <w:sz w:val="20"/>
          <w:szCs w:val="20"/>
          <w:color w:val="auto"/>
        </w:rPr>
      </w:pPr>
    </w:p>
    <w:p>
      <w:pPr>
        <w:ind w:right="40" w:firstLine="441"/>
        <w:spacing w:after="0" w:line="278" w:lineRule="auto"/>
        <w:rPr>
          <w:sz w:val="20"/>
          <w:szCs w:val="20"/>
          <w:color w:val="auto"/>
        </w:rPr>
      </w:pPr>
      <w:r>
        <w:rPr>
          <w:rFonts w:ascii="Times New Roman" w:cs="Times New Roman" w:eastAsia="Times New Roman" w:hAnsi="Times New Roman"/>
          <w:sz w:val="19"/>
          <w:szCs w:val="19"/>
          <w:color w:val="auto"/>
        </w:rPr>
        <w:t>During the first quarter of 2023, the Company committed to a plan to sell a then-unused portion of its land and buildings associated with its North Billerica campus. Effective March 16, 2023, the Company entered into a purchase and sale agreement with a prospective buyer and the sale of that portion of the North Billerica campus was completed in December 2024. The assets were</w:t>
      </w:r>
    </w:p>
    <w:p>
      <w:pPr>
        <w:sectPr>
          <w:pgSz w:w="11880" w:h="15480" w:orient="portrait"/>
          <w:cols w:equalWidth="0" w:num="1">
            <w:col w:w="10560"/>
          </w:cols>
          <w:pgMar w:left="640" w:top="615" w:right="680" w:bottom="0" w:gutter="0" w:footer="0" w:header="0"/>
          <w:type w:val="continuous"/>
        </w:sect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105</w:t>
      </w:r>
    </w:p>
    <w:p>
      <w:pPr>
        <w:sectPr>
          <w:pgSz w:w="11880" w:h="15480" w:orient="portrait"/>
          <w:cols w:equalWidth="0" w:num="1">
            <w:col w:w="10560"/>
          </w:cols>
          <w:pgMar w:left="640" w:top="615" w:right="680" w:bottom="0" w:gutter="0" w:footer="0" w:header="0"/>
          <w:type w:val="continuous"/>
        </w:sectPr>
      </w:pPr>
    </w:p>
    <w:bookmarkStart w:id="111" w:name="page112"/>
    <w:bookmarkEnd w:id="111"/>
    <w:p>
      <w:pPr>
        <w:spacing w:after="0" w:line="254" w:lineRule="auto"/>
        <w:rPr>
          <w:sz w:val="20"/>
          <w:szCs w:val="20"/>
          <w:color w:val="auto"/>
        </w:rPr>
      </w:pPr>
      <w:r>
        <w:rPr>
          <w:rFonts w:ascii="Times New Roman" w:cs="Times New Roman" w:eastAsia="Times New Roman" w:hAnsi="Times New Roman"/>
          <w:sz w:val="20"/>
          <w:szCs w:val="20"/>
          <w:color w:val="auto"/>
        </w:rPr>
        <w:t>classified as held for sale and comprised entirely of property, plant and equipment, net. The Company determined that the fair value of the net assets being sold exceeded the carrying value as of September 30, 2023. The purchase price for the sold portion of the North Billerica campus was $9.8 million in cash. As a result of the sale on December 10, 2024, the Company recorded a gain on sale of assets of $2.1 million in their consolidated statements of operations for the year ended December 31, 2024.</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Asset Retirement Obligations</w:t>
      </w:r>
    </w:p>
    <w:p>
      <w:pPr>
        <w:spacing w:after="0" w:line="130" w:lineRule="exact"/>
        <w:rPr>
          <w:sz w:val="20"/>
          <w:szCs w:val="20"/>
          <w:color w:val="auto"/>
        </w:rPr>
      </w:pPr>
    </w:p>
    <w:p>
      <w:pPr>
        <w:ind w:right="120" w:firstLine="441"/>
        <w:spacing w:after="0" w:line="252" w:lineRule="auto"/>
        <w:rPr>
          <w:sz w:val="20"/>
          <w:szCs w:val="20"/>
          <w:color w:val="auto"/>
        </w:rPr>
      </w:pPr>
      <w:r>
        <w:rPr>
          <w:rFonts w:ascii="Times New Roman" w:cs="Times New Roman" w:eastAsia="Times New Roman" w:hAnsi="Times New Roman"/>
          <w:sz w:val="20"/>
          <w:szCs w:val="20"/>
          <w:color w:val="auto"/>
        </w:rPr>
        <w:t>The Company considers its legal obligation to remediate its facilities upon a decommissioning of its radioactive-related operations as an asset retirement obligation. The Company has production facilities which manufacture and process radioactive materials at its sites in North Billerica, Massachusetts and, through March 1, 2024, Somerset, New Jersey. As of December 31, 2024, the asset retirement liability is measured at the present value of the asset retirement liability expected to be incurred, and is approximately $25.1 million.</w:t>
      </w:r>
    </w:p>
    <w:p>
      <w:pPr>
        <w:spacing w:after="0" w:line="2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The following table provides a summary of the changes in the Company’s carrying value of asset retirement obligations:</w:t>
      </w:r>
    </w:p>
    <w:p>
      <w:pPr>
        <w:spacing w:after="0" w:line="397" w:lineRule="exact"/>
        <w:rPr>
          <w:sz w:val="20"/>
          <w:szCs w:val="20"/>
          <w:color w:val="auto"/>
        </w:rPr>
      </w:pPr>
    </w:p>
    <w:tbl>
      <w:tblPr>
        <w:tblLayout w:type="fixed"/>
        <w:tblInd w:w="2360" w:type="dxa"/>
        <w:tblCellMar>
          <w:top w:w="0" w:type="dxa"/>
          <w:left w:w="0" w:type="dxa"/>
          <w:bottom w:w="0" w:type="dxa"/>
          <w:right w:w="0" w:type="dxa"/>
        </w:tblCellMar>
      </w:tblPr>
      <w:tr>
        <w:trPr>
          <w:trHeight w:val="262"/>
        </w:trPr>
        <w:tc>
          <w:tcPr>
            <w:tcW w:w="4600" w:type="dxa"/>
            <w:vAlign w:val="bottom"/>
            <w:tcBorders>
              <w:bottom w:val="single" w:sz="8" w:color="E9E9E9"/>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20"/>
                <w:szCs w:val="20"/>
                <w:b w:val="1"/>
                <w:bCs w:val="1"/>
                <w:color w:val="auto"/>
              </w:rPr>
              <w:t>Amount</w:t>
            </w:r>
          </w:p>
        </w:tc>
      </w:tr>
      <w:tr>
        <w:trPr>
          <w:trHeight w:val="284"/>
        </w:trPr>
        <w:tc>
          <w:tcPr>
            <w:tcW w:w="460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Balance, January 1, 2023</w:t>
            </w:r>
          </w:p>
        </w:tc>
        <w:tc>
          <w:tcPr>
            <w:tcW w:w="2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22,543</w:t>
            </w:r>
          </w:p>
        </w:tc>
      </w:tr>
      <w:tr>
        <w:trPr>
          <w:trHeight w:val="287"/>
        </w:trPr>
        <w:tc>
          <w:tcPr>
            <w:tcW w:w="46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Accretion expense</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w:t>
            </w:r>
          </w:p>
        </w:tc>
      </w:tr>
      <w:tr>
        <w:trPr>
          <w:trHeight w:val="301"/>
        </w:trPr>
        <w:tc>
          <w:tcPr>
            <w:tcW w:w="460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Balance, December 31, 2023</w:t>
            </w:r>
          </w:p>
        </w:tc>
        <w:tc>
          <w:tcPr>
            <w:tcW w:w="220" w:type="dxa"/>
            <w:vAlign w:val="bottom"/>
            <w:shd w:val="clear" w:color="auto" w:fill="E9E9E9"/>
          </w:tcPr>
          <w:p>
            <w:pPr>
              <w:spacing w:after="0"/>
              <w:rPr>
                <w:sz w:val="24"/>
                <w:szCs w:val="24"/>
                <w:color w:val="auto"/>
              </w:rPr>
            </w:pPr>
          </w:p>
        </w:tc>
        <w:tc>
          <w:tcPr>
            <w:tcW w:w="10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22,916</w:t>
            </w:r>
          </w:p>
        </w:tc>
      </w:tr>
      <w:tr>
        <w:trPr>
          <w:trHeight w:val="284"/>
        </w:trPr>
        <w:tc>
          <w:tcPr>
            <w:tcW w:w="4600" w:type="dxa"/>
            <w:vAlign w:val="bottom"/>
            <w:tcBorders>
              <w:bottom w:val="single" w:sz="8" w:color="E9E9E9"/>
            </w:tcBorders>
          </w:tcPr>
          <w:p>
            <w:pPr>
              <w:ind w:left="400"/>
              <w:spacing w:after="0"/>
              <w:rPr>
                <w:sz w:val="20"/>
                <w:szCs w:val="20"/>
                <w:color w:val="auto"/>
              </w:rPr>
            </w:pPr>
            <w:r>
              <w:rPr>
                <w:rFonts w:ascii="Times New Roman" w:cs="Times New Roman" w:eastAsia="Times New Roman" w:hAnsi="Times New Roman"/>
                <w:sz w:val="20"/>
                <w:szCs w:val="20"/>
                <w:color w:val="auto"/>
              </w:rPr>
              <w:t>Accretion expense</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428</w:t>
            </w:r>
          </w:p>
        </w:tc>
      </w:tr>
      <w:tr>
        <w:trPr>
          <w:trHeight w:val="294"/>
        </w:trPr>
        <w:tc>
          <w:tcPr>
            <w:tcW w:w="4600" w:type="dxa"/>
            <w:vAlign w:val="bottom"/>
            <w:tcBorders>
              <w:bottom w:val="single" w:sz="8" w:color="E9E9E9"/>
            </w:tcBorders>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Balance, December 31, 2024</w:t>
            </w:r>
          </w:p>
        </w:tc>
        <w:tc>
          <w:tcPr>
            <w:tcW w:w="22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23,344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4407535</wp:posOffset>
            </wp:positionH>
            <wp:positionV relativeFrom="paragraph">
              <wp:posOffset>-43180</wp:posOffset>
            </wp:positionV>
            <wp:extent cx="837565" cy="501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37565" cy="50165"/>
                    </a:xfrm>
                    <a:prstGeom prst="rect">
                      <a:avLst/>
                    </a:prstGeom>
                    <a:noFill/>
                  </pic:spPr>
                </pic:pic>
              </a:graphicData>
            </a:graphic>
          </wp:anchor>
        </w:drawing>
      </w:r>
    </w:p>
    <w:p>
      <w:pPr>
        <w:spacing w:after="0" w:line="222" w:lineRule="exact"/>
        <w:rPr>
          <w:sz w:val="20"/>
          <w:szCs w:val="20"/>
          <w:color w:val="auto"/>
        </w:rPr>
      </w:pPr>
    </w:p>
    <w:p>
      <w:pPr>
        <w:ind w:right="80" w:firstLine="441"/>
        <w:spacing w:after="0" w:line="258" w:lineRule="auto"/>
        <w:rPr>
          <w:sz w:val="20"/>
          <w:szCs w:val="20"/>
          <w:color w:val="auto"/>
        </w:rPr>
      </w:pPr>
      <w:r>
        <w:rPr>
          <w:rFonts w:ascii="Times New Roman" w:cs="Times New Roman" w:eastAsia="Times New Roman" w:hAnsi="Times New Roman"/>
          <w:sz w:val="20"/>
          <w:szCs w:val="20"/>
          <w:color w:val="auto"/>
        </w:rPr>
        <w:t>The Company is required to provide the Massachusetts Department of Public Health financial assurance demonstrating the Company’s ability to fund the decommissioning and decontaminating of its North Billerica, Massachusetts facility in the event of any closure. The Company has provided this financial assurance in the form of a $30.3 million surety bond.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Intangibles, Net and Goodwill</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Intangibles, net, consisted of the following:</w:t>
      </w:r>
    </w:p>
    <w:p>
      <w:pPr>
        <w:spacing w:after="0" w:line="88" w:lineRule="exact"/>
        <w:rPr>
          <w:sz w:val="20"/>
          <w:szCs w:val="20"/>
          <w:color w:val="auto"/>
        </w:rPr>
      </w:pPr>
    </w:p>
    <w:tbl>
      <w:tblPr>
        <w:tblLayout w:type="fixed"/>
        <w:tblInd w:w="560" w:type="dxa"/>
        <w:tblCellMar>
          <w:top w:w="0" w:type="dxa"/>
          <w:left w:w="0" w:type="dxa"/>
          <w:bottom w:w="0" w:type="dxa"/>
          <w:right w:w="0" w:type="dxa"/>
        </w:tblCellMar>
      </w:tblPr>
      <w:tr>
        <w:trPr>
          <w:trHeight w:val="262"/>
        </w:trPr>
        <w:tc>
          <w:tcPr>
            <w:tcW w:w="312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gridSpan w:val="6"/>
          </w:tcPr>
          <w:p>
            <w:pPr>
              <w:jc w:val="right"/>
              <w:ind w:right="162"/>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10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312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1280" w:type="dxa"/>
            <w:vAlign w:val="bottom"/>
            <w:gridSpan w:val="2"/>
          </w:tcPr>
          <w:p>
            <w:pPr>
              <w:jc w:val="center"/>
              <w:spacing w:after="0" w:line="193" w:lineRule="exact"/>
              <w:rPr>
                <w:sz w:val="20"/>
                <w:szCs w:val="20"/>
                <w:color w:val="auto"/>
              </w:rPr>
            </w:pPr>
            <w:r>
              <w:rPr>
                <w:rFonts w:ascii="Times New Roman" w:cs="Times New Roman" w:eastAsia="Times New Roman" w:hAnsi="Times New Roman"/>
                <w:sz w:val="20"/>
                <w:szCs w:val="20"/>
                <w:b w:val="1"/>
                <w:bCs w:val="1"/>
                <w:color w:val="auto"/>
                <w:w w:val="97"/>
              </w:rPr>
              <w:t>Useful Lives</w:t>
            </w:r>
          </w:p>
        </w:tc>
        <w:tc>
          <w:tcPr>
            <w:tcW w:w="60" w:type="dxa"/>
            <w:vAlign w:val="bottom"/>
          </w:tcPr>
          <w:p>
            <w:pPr>
              <w:spacing w:after="0"/>
              <w:rPr>
                <w:sz w:val="16"/>
                <w:szCs w:val="16"/>
                <w:color w:val="auto"/>
              </w:rPr>
            </w:pPr>
          </w:p>
        </w:tc>
        <w:tc>
          <w:tcPr>
            <w:tcW w:w="1600" w:type="dxa"/>
            <w:vAlign w:val="bottom"/>
            <w:gridSpan w:val="3"/>
          </w:tcPr>
          <w:p>
            <w:pPr>
              <w:jc w:val="center"/>
              <w:ind w:right="320"/>
              <w:spacing w:after="0" w:line="193" w:lineRule="exact"/>
              <w:rPr>
                <w:sz w:val="20"/>
                <w:szCs w:val="20"/>
                <w:color w:val="auto"/>
              </w:rPr>
            </w:pPr>
            <w:r>
              <w:rPr>
                <w:rFonts w:ascii="Times New Roman" w:cs="Times New Roman" w:eastAsia="Times New Roman" w:hAnsi="Times New Roman"/>
                <w:sz w:val="20"/>
                <w:szCs w:val="20"/>
                <w:b w:val="1"/>
                <w:bCs w:val="1"/>
                <w:color w:val="auto"/>
                <w:w w:val="97"/>
              </w:rPr>
              <w:t>Amortization</w:t>
            </w:r>
          </w:p>
        </w:tc>
        <w:tc>
          <w:tcPr>
            <w:tcW w:w="840" w:type="dxa"/>
            <w:vAlign w:val="bottom"/>
            <w:vMerge w:val="restart"/>
          </w:tcPr>
          <w:p>
            <w:pPr>
              <w:jc w:val="right"/>
              <w:ind w:right="262"/>
              <w:spacing w:after="0"/>
              <w:rPr>
                <w:sz w:val="20"/>
                <w:szCs w:val="20"/>
                <w:color w:val="auto"/>
              </w:rPr>
            </w:pPr>
            <w:r>
              <w:rPr>
                <w:rFonts w:ascii="Times New Roman" w:cs="Times New Roman" w:eastAsia="Times New Roman" w:hAnsi="Times New Roman"/>
                <w:sz w:val="20"/>
                <w:szCs w:val="20"/>
                <w:b w:val="1"/>
                <w:bCs w:val="1"/>
                <w:color w:val="auto"/>
              </w:rPr>
              <w:t>Cost</w:t>
            </w:r>
          </w:p>
        </w:tc>
        <w:tc>
          <w:tcPr>
            <w:tcW w:w="60" w:type="dxa"/>
            <w:vAlign w:val="bottom"/>
          </w:tcPr>
          <w:p>
            <w:pPr>
              <w:spacing w:after="0"/>
              <w:rPr>
                <w:sz w:val="16"/>
                <w:szCs w:val="16"/>
                <w:color w:val="auto"/>
              </w:rPr>
            </w:pPr>
          </w:p>
        </w:tc>
        <w:tc>
          <w:tcPr>
            <w:tcW w:w="1380" w:type="dxa"/>
            <w:vAlign w:val="bottom"/>
            <w:gridSpan w:val="2"/>
          </w:tcPr>
          <w:p>
            <w:pPr>
              <w:jc w:val="right"/>
              <w:ind w:right="42"/>
              <w:spacing w:after="0" w:line="193" w:lineRule="exact"/>
              <w:rPr>
                <w:sz w:val="20"/>
                <w:szCs w:val="20"/>
                <w:color w:val="auto"/>
              </w:rPr>
            </w:pPr>
            <w:r>
              <w:rPr>
                <w:rFonts w:ascii="Times New Roman" w:cs="Times New Roman" w:eastAsia="Times New Roman" w:hAnsi="Times New Roman"/>
                <w:sz w:val="20"/>
                <w:szCs w:val="20"/>
                <w:b w:val="1"/>
                <w:bCs w:val="1"/>
                <w:color w:val="auto"/>
              </w:rPr>
              <w:t>Accumulated</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vMerge w:val="restart"/>
          </w:tcPr>
          <w:p>
            <w:pPr>
              <w:jc w:val="right"/>
              <w:ind w:right="282"/>
              <w:spacing w:after="0"/>
              <w:rPr>
                <w:sz w:val="20"/>
                <w:szCs w:val="20"/>
                <w:color w:val="auto"/>
              </w:rPr>
            </w:pPr>
            <w:r>
              <w:rPr>
                <w:rFonts w:ascii="Times New Roman" w:cs="Times New Roman" w:eastAsia="Times New Roman" w:hAnsi="Times New Roman"/>
                <w:sz w:val="20"/>
                <w:szCs w:val="20"/>
                <w:b w:val="1"/>
                <w:bCs w:val="1"/>
                <w:color w:val="auto"/>
              </w:rPr>
              <w:t>Net</w:t>
            </w:r>
          </w:p>
        </w:tc>
        <w:tc>
          <w:tcPr>
            <w:tcW w:w="0" w:type="dxa"/>
            <w:vAlign w:val="bottom"/>
          </w:tcPr>
          <w:p>
            <w:pPr>
              <w:spacing w:after="0"/>
              <w:rPr>
                <w:sz w:val="1"/>
                <w:szCs w:val="1"/>
                <w:color w:val="auto"/>
              </w:rPr>
            </w:pPr>
          </w:p>
        </w:tc>
      </w:tr>
      <w:tr>
        <w:trPr>
          <w:trHeight w:val="258"/>
        </w:trPr>
        <w:tc>
          <w:tcPr>
            <w:tcW w:w="3120" w:type="dxa"/>
            <w:vAlign w:val="bottom"/>
            <w:tcBorders>
              <w:bottom w:val="single" w:sz="8" w:color="E9E9E9"/>
            </w:tcBorders>
            <w:vMerge w:val="continue"/>
          </w:tcPr>
          <w:p>
            <w:pPr>
              <w:spacing w:after="0"/>
              <w:rPr>
                <w:sz w:val="22"/>
                <w:szCs w:val="22"/>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(in years)</w:t>
            </w:r>
          </w:p>
        </w:tc>
        <w:tc>
          <w:tcPr>
            <w:tcW w:w="60" w:type="dxa"/>
            <w:vAlign w:val="bottom"/>
            <w:tcBorders>
              <w:bottom w:val="single" w:sz="8" w:color="E9E9E9"/>
            </w:tcBorders>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Method</w:t>
            </w:r>
          </w:p>
        </w:tc>
        <w:tc>
          <w:tcPr>
            <w:tcW w:w="80" w:type="dxa"/>
            <w:vAlign w:val="bottom"/>
            <w:tcBorders>
              <w:bottom w:val="single" w:sz="8" w:color="E9E9E9"/>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E9E9E9"/>
            </w:tcBorders>
          </w:tcPr>
          <w:p>
            <w:pPr>
              <w:spacing w:after="0"/>
              <w:rPr>
                <w:sz w:val="22"/>
                <w:szCs w:val="22"/>
                <w:color w:val="auto"/>
              </w:rPr>
            </w:pPr>
          </w:p>
        </w:tc>
        <w:tc>
          <w:tcPr>
            <w:tcW w:w="1380" w:type="dxa"/>
            <w:vAlign w:val="bottom"/>
            <w:tcBorders>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20"/>
                <w:szCs w:val="20"/>
                <w:b w:val="1"/>
                <w:bCs w:val="1"/>
                <w:color w:val="auto"/>
              </w:rPr>
              <w:t>Amortization</w:t>
            </w:r>
          </w:p>
        </w:tc>
        <w:tc>
          <w:tcPr>
            <w:tcW w:w="60" w:type="dxa"/>
            <w:vAlign w:val="bottom"/>
            <w:tcBorders>
              <w:bottom w:val="single" w:sz="8" w:color="E9E9E9"/>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312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Trademarks</w:t>
            </w:r>
          </w:p>
        </w:tc>
        <w:tc>
          <w:tcPr>
            <w:tcW w:w="5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720" w:type="dxa"/>
            <w:vAlign w:val="bottom"/>
            <w:shd w:val="clear" w:color="auto" w:fill="E9E9E9"/>
          </w:tcPr>
          <w:p>
            <w:pPr>
              <w:ind w:left="20"/>
              <w:spacing w:after="0"/>
              <w:rPr>
                <w:sz w:val="20"/>
                <w:szCs w:val="20"/>
                <w:color w:val="auto"/>
              </w:rPr>
            </w:pPr>
            <w:r>
              <w:rPr>
                <w:rFonts w:ascii="Times New Roman" w:cs="Times New Roman" w:eastAsia="Times New Roman" w:hAnsi="Times New Roman"/>
                <w:sz w:val="20"/>
                <w:szCs w:val="20"/>
                <w:color w:val="auto"/>
              </w:rPr>
              <w:t>– 25</w:t>
            </w:r>
          </w:p>
        </w:tc>
        <w:tc>
          <w:tcPr>
            <w:tcW w:w="60" w:type="dxa"/>
            <w:vAlign w:val="bottom"/>
            <w:shd w:val="clear" w:color="auto" w:fill="E9E9E9"/>
          </w:tcPr>
          <w:p>
            <w:pPr>
              <w:spacing w:after="0"/>
              <w:rPr>
                <w:sz w:val="24"/>
                <w:szCs w:val="24"/>
                <w:color w:val="auto"/>
              </w:rPr>
            </w:pPr>
          </w:p>
        </w:tc>
        <w:tc>
          <w:tcPr>
            <w:tcW w:w="1600" w:type="dxa"/>
            <w:vAlign w:val="bottom"/>
            <w:gridSpan w:val="3"/>
            <w:shd w:val="clear" w:color="auto" w:fill="E9E9E9"/>
          </w:tcPr>
          <w:p>
            <w:pPr>
              <w:jc w:val="right"/>
              <w:ind w:right="80"/>
              <w:spacing w:after="0"/>
              <w:rPr>
                <w:sz w:val="20"/>
                <w:szCs w:val="20"/>
                <w:color w:val="auto"/>
              </w:rPr>
            </w:pPr>
            <w:r>
              <w:rPr>
                <w:rFonts w:ascii="Times New Roman" w:cs="Times New Roman" w:eastAsia="Times New Roman" w:hAnsi="Times New Roman"/>
                <w:sz w:val="20"/>
                <w:szCs w:val="20"/>
                <w:color w:val="auto"/>
              </w:rPr>
              <w:t>Straight-Line  $</w:t>
            </w:r>
          </w:p>
        </w:tc>
        <w:tc>
          <w:tcPr>
            <w:tcW w:w="8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13,540</w:t>
            </w:r>
          </w:p>
        </w:tc>
        <w:tc>
          <w:tcPr>
            <w:tcW w:w="440" w:type="dxa"/>
            <w:vAlign w:val="bottom"/>
            <w:gridSpan w:val="2"/>
            <w:shd w:val="clear" w:color="auto" w:fill="E9E9E9"/>
          </w:tcPr>
          <w:p>
            <w:pPr>
              <w:jc w:val="right"/>
              <w:ind w:right="122"/>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(12,363)</w:t>
            </w:r>
          </w:p>
        </w:tc>
        <w:tc>
          <w:tcPr>
            <w:tcW w:w="320" w:type="dxa"/>
            <w:vAlign w:val="bottom"/>
            <w:gridSpan w:val="2"/>
            <w:shd w:val="clear" w:color="auto" w:fill="E9E9E9"/>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1,177</w:t>
            </w:r>
          </w:p>
        </w:tc>
        <w:tc>
          <w:tcPr>
            <w:tcW w:w="0" w:type="dxa"/>
            <w:vAlign w:val="bottom"/>
          </w:tcPr>
          <w:p>
            <w:pPr>
              <w:spacing w:after="0"/>
              <w:rPr>
                <w:sz w:val="1"/>
                <w:szCs w:val="1"/>
                <w:color w:val="auto"/>
              </w:rPr>
            </w:pPr>
          </w:p>
        </w:tc>
      </w:tr>
      <w:tr>
        <w:trPr>
          <w:trHeight w:val="287"/>
        </w:trPr>
        <w:tc>
          <w:tcPr>
            <w:tcW w:w="3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Customer relationships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25</w:t>
            </w:r>
          </w:p>
        </w:tc>
        <w:tc>
          <w:tcPr>
            <w:tcW w:w="60" w:type="dxa"/>
            <w:vAlign w:val="bottom"/>
          </w:tcPr>
          <w:p>
            <w:pPr>
              <w:spacing w:after="0"/>
              <w:rPr>
                <w:sz w:val="24"/>
                <w:szCs w:val="24"/>
                <w:color w:val="auto"/>
              </w:rPr>
            </w:pPr>
          </w:p>
        </w:tc>
        <w:tc>
          <w:tcPr>
            <w:tcW w:w="1600" w:type="dxa"/>
            <w:vAlign w:val="bottom"/>
            <w:gridSpan w:val="3"/>
          </w:tcPr>
          <w:p>
            <w:pPr>
              <w:jc w:val="center"/>
              <w:ind w:right="260"/>
              <w:spacing w:after="0"/>
              <w:rPr>
                <w:sz w:val="20"/>
                <w:szCs w:val="20"/>
                <w:color w:val="auto"/>
              </w:rPr>
            </w:pPr>
            <w:r>
              <w:rPr>
                <w:rFonts w:ascii="Times New Roman" w:cs="Times New Roman" w:eastAsia="Times New Roman" w:hAnsi="Times New Roman"/>
                <w:sz w:val="20"/>
                <w:szCs w:val="20"/>
                <w:color w:val="auto"/>
                <w:w w:val="98"/>
              </w:rPr>
              <w:t>Accelerated</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157,742</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(136,647)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21,095</w:t>
            </w:r>
          </w:p>
        </w:tc>
        <w:tc>
          <w:tcPr>
            <w:tcW w:w="0" w:type="dxa"/>
            <w:vAlign w:val="bottom"/>
          </w:tcPr>
          <w:p>
            <w:pPr>
              <w:spacing w:after="0"/>
              <w:rPr>
                <w:sz w:val="1"/>
                <w:szCs w:val="1"/>
                <w:color w:val="auto"/>
              </w:rPr>
            </w:pPr>
          </w:p>
        </w:tc>
      </w:tr>
      <w:tr>
        <w:trPr>
          <w:trHeight w:val="301"/>
        </w:trPr>
        <w:tc>
          <w:tcPr>
            <w:tcW w:w="312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Currently marketed product</w:t>
            </w:r>
          </w:p>
        </w:tc>
        <w:tc>
          <w:tcPr>
            <w:tcW w:w="1280" w:type="dxa"/>
            <w:vAlign w:val="bottom"/>
            <w:gridSpan w:val="2"/>
            <w:shd w:val="clear" w:color="auto" w:fill="E9E9E9"/>
          </w:tcPr>
          <w:p>
            <w:pPr>
              <w:jc w:val="center"/>
              <w:spacing w:after="0"/>
              <w:rPr>
                <w:sz w:val="20"/>
                <w:szCs w:val="20"/>
                <w:color w:val="auto"/>
              </w:rPr>
            </w:pPr>
            <w:r>
              <w:rPr>
                <w:rFonts w:ascii="Times New Roman" w:cs="Times New Roman" w:eastAsia="Times New Roman" w:hAnsi="Times New Roman"/>
                <w:sz w:val="20"/>
                <w:szCs w:val="20"/>
                <w:color w:val="auto"/>
                <w:w w:val="95"/>
              </w:rPr>
              <w:t>9 – 15</w:t>
            </w:r>
          </w:p>
        </w:tc>
        <w:tc>
          <w:tcPr>
            <w:tcW w:w="60" w:type="dxa"/>
            <w:vAlign w:val="bottom"/>
            <w:shd w:val="clear" w:color="auto" w:fill="E9E9E9"/>
          </w:tcPr>
          <w:p>
            <w:pPr>
              <w:spacing w:after="0"/>
              <w:rPr>
                <w:sz w:val="24"/>
                <w:szCs w:val="24"/>
                <w:color w:val="auto"/>
              </w:rPr>
            </w:pPr>
          </w:p>
        </w:tc>
        <w:tc>
          <w:tcPr>
            <w:tcW w:w="1600" w:type="dxa"/>
            <w:vAlign w:val="bottom"/>
            <w:gridSpan w:val="3"/>
            <w:shd w:val="clear" w:color="auto" w:fill="E9E9E9"/>
          </w:tcPr>
          <w:p>
            <w:pPr>
              <w:jc w:val="center"/>
              <w:ind w:right="280"/>
              <w:spacing w:after="0"/>
              <w:rPr>
                <w:sz w:val="20"/>
                <w:szCs w:val="20"/>
                <w:color w:val="auto"/>
              </w:rPr>
            </w:pPr>
            <w:r>
              <w:rPr>
                <w:rFonts w:ascii="Times New Roman" w:cs="Times New Roman" w:eastAsia="Times New Roman" w:hAnsi="Times New Roman"/>
                <w:sz w:val="20"/>
                <w:szCs w:val="20"/>
                <w:color w:val="auto"/>
                <w:w w:val="97"/>
              </w:rPr>
              <w:t>Straight-Line</w:t>
            </w:r>
          </w:p>
        </w:tc>
        <w:tc>
          <w:tcPr>
            <w:tcW w:w="8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132,800</w:t>
            </w:r>
          </w:p>
        </w:tc>
        <w:tc>
          <w:tcPr>
            <w:tcW w:w="60" w:type="dxa"/>
            <w:vAlign w:val="bottom"/>
            <w:shd w:val="clear" w:color="auto" w:fill="E9E9E9"/>
          </w:tcPr>
          <w:p>
            <w:pPr>
              <w:spacing w:after="0"/>
              <w:rPr>
                <w:sz w:val="24"/>
                <w:szCs w:val="24"/>
                <w:color w:val="auto"/>
              </w:rPr>
            </w:pPr>
          </w:p>
        </w:tc>
        <w:tc>
          <w:tcPr>
            <w:tcW w:w="380" w:type="dxa"/>
            <w:vAlign w:val="bottom"/>
            <w:shd w:val="clear" w:color="auto" w:fill="E9E9E9"/>
          </w:tcPr>
          <w:p>
            <w:pPr>
              <w:spacing w:after="0"/>
              <w:rPr>
                <w:sz w:val="24"/>
                <w:szCs w:val="24"/>
                <w:color w:val="auto"/>
              </w:rPr>
            </w:pPr>
          </w:p>
        </w:tc>
        <w:tc>
          <w:tcPr>
            <w:tcW w:w="10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(53,033)</w:t>
            </w:r>
          </w:p>
        </w:tc>
        <w:tc>
          <w:tcPr>
            <w:tcW w:w="60" w:type="dxa"/>
            <w:vAlign w:val="bottom"/>
            <w:shd w:val="clear" w:color="auto" w:fill="E9E9E9"/>
          </w:tcPr>
          <w:p>
            <w:pPr>
              <w:spacing w:after="0"/>
              <w:rPr>
                <w:sz w:val="24"/>
                <w:szCs w:val="24"/>
                <w:color w:val="auto"/>
              </w:rPr>
            </w:pPr>
          </w:p>
        </w:tc>
        <w:tc>
          <w:tcPr>
            <w:tcW w:w="260" w:type="dxa"/>
            <w:vAlign w:val="bottom"/>
            <w:shd w:val="clear" w:color="auto" w:fill="E9E9E9"/>
          </w:tcPr>
          <w:p>
            <w:pPr>
              <w:spacing w:after="0"/>
              <w:rPr>
                <w:sz w:val="24"/>
                <w:szCs w:val="24"/>
                <w:color w:val="auto"/>
              </w:rPr>
            </w:pPr>
          </w:p>
        </w:tc>
        <w:tc>
          <w:tcPr>
            <w:tcW w:w="8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79,767</w:t>
            </w:r>
          </w:p>
        </w:tc>
        <w:tc>
          <w:tcPr>
            <w:tcW w:w="0" w:type="dxa"/>
            <w:vAlign w:val="bottom"/>
          </w:tcPr>
          <w:p>
            <w:pPr>
              <w:spacing w:after="0"/>
              <w:rPr>
                <w:sz w:val="1"/>
                <w:szCs w:val="1"/>
                <w:color w:val="auto"/>
              </w:rPr>
            </w:pPr>
          </w:p>
        </w:tc>
      </w:tr>
      <w:tr>
        <w:trPr>
          <w:trHeight w:val="287"/>
        </w:trPr>
        <w:tc>
          <w:tcPr>
            <w:tcW w:w="3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Licenses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16</w:t>
            </w:r>
          </w:p>
        </w:tc>
        <w:tc>
          <w:tcPr>
            <w:tcW w:w="60" w:type="dxa"/>
            <w:vAlign w:val="bottom"/>
          </w:tcPr>
          <w:p>
            <w:pPr>
              <w:spacing w:after="0"/>
              <w:rPr>
                <w:sz w:val="24"/>
                <w:szCs w:val="24"/>
                <w:color w:val="auto"/>
              </w:rPr>
            </w:pPr>
          </w:p>
        </w:tc>
        <w:tc>
          <w:tcPr>
            <w:tcW w:w="1600" w:type="dxa"/>
            <w:vAlign w:val="bottom"/>
            <w:gridSpan w:val="3"/>
          </w:tcPr>
          <w:p>
            <w:pPr>
              <w:jc w:val="center"/>
              <w:ind w:right="280"/>
              <w:spacing w:after="0"/>
              <w:rPr>
                <w:sz w:val="20"/>
                <w:szCs w:val="20"/>
                <w:color w:val="auto"/>
              </w:rPr>
            </w:pPr>
            <w:r>
              <w:rPr>
                <w:rFonts w:ascii="Times New Roman" w:cs="Times New Roman" w:eastAsia="Times New Roman" w:hAnsi="Times New Roman"/>
                <w:sz w:val="20"/>
                <w:szCs w:val="20"/>
                <w:color w:val="auto"/>
                <w:w w:val="97"/>
              </w:rPr>
              <w:t>Straight-Line</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22,233</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(13,203)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9,030</w:t>
            </w:r>
          </w:p>
        </w:tc>
        <w:tc>
          <w:tcPr>
            <w:tcW w:w="0" w:type="dxa"/>
            <w:vAlign w:val="bottom"/>
          </w:tcPr>
          <w:p>
            <w:pPr>
              <w:spacing w:after="0"/>
              <w:rPr>
                <w:sz w:val="1"/>
                <w:szCs w:val="1"/>
                <w:color w:val="auto"/>
              </w:rPr>
            </w:pPr>
          </w:p>
        </w:tc>
      </w:tr>
      <w:tr>
        <w:trPr>
          <w:trHeight w:val="309"/>
        </w:trPr>
        <w:tc>
          <w:tcPr>
            <w:tcW w:w="3120" w:type="dxa"/>
            <w:vAlign w:val="bottom"/>
            <w:tcBorders>
              <w:bottom w:val="single" w:sz="8" w:color="E9E9E9"/>
            </w:tcBorders>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Developed technology</w:t>
            </w:r>
          </w:p>
        </w:tc>
        <w:tc>
          <w:tcPr>
            <w:tcW w:w="560" w:type="dxa"/>
            <w:vAlign w:val="bottom"/>
            <w:tcBorders>
              <w:bottom w:val="single" w:sz="8" w:color="E9E9E9"/>
            </w:tcBorders>
            <w:shd w:val="clear" w:color="auto" w:fill="E9E9E9"/>
          </w:tcPr>
          <w:p>
            <w:pPr>
              <w:spacing w:after="0"/>
              <w:rPr>
                <w:sz w:val="24"/>
                <w:szCs w:val="24"/>
                <w:color w:val="auto"/>
              </w:rPr>
            </w:pPr>
          </w:p>
        </w:tc>
        <w:tc>
          <w:tcPr>
            <w:tcW w:w="720" w:type="dxa"/>
            <w:vAlign w:val="bottom"/>
            <w:tcBorders>
              <w:bottom w:val="single" w:sz="8" w:color="E9E9E9"/>
            </w:tcBorders>
            <w:shd w:val="clear" w:color="auto" w:fill="E9E9E9"/>
          </w:tcPr>
          <w:p>
            <w:pPr>
              <w:ind w:left="20"/>
              <w:spacing w:after="0"/>
              <w:rPr>
                <w:sz w:val="20"/>
                <w:szCs w:val="20"/>
                <w:color w:val="auto"/>
              </w:rPr>
            </w:pPr>
            <w:r>
              <w:rPr>
                <w:rFonts w:ascii="Times New Roman" w:cs="Times New Roman" w:eastAsia="Times New Roman" w:hAnsi="Times New Roman"/>
                <w:sz w:val="20"/>
                <w:szCs w:val="20"/>
                <w:color w:val="auto"/>
              </w:rPr>
              <w:t>9</w:t>
            </w:r>
          </w:p>
        </w:tc>
        <w:tc>
          <w:tcPr>
            <w:tcW w:w="60" w:type="dxa"/>
            <w:vAlign w:val="bottom"/>
            <w:tcBorders>
              <w:bottom w:val="single" w:sz="8" w:color="E9E9E9"/>
            </w:tcBorders>
            <w:shd w:val="clear" w:color="auto" w:fill="E9E9E9"/>
          </w:tcPr>
          <w:p>
            <w:pPr>
              <w:spacing w:after="0"/>
              <w:rPr>
                <w:sz w:val="24"/>
                <w:szCs w:val="24"/>
                <w:color w:val="auto"/>
              </w:rPr>
            </w:pPr>
          </w:p>
        </w:tc>
        <w:tc>
          <w:tcPr>
            <w:tcW w:w="1360" w:type="dxa"/>
            <w:vAlign w:val="bottom"/>
            <w:tcBorders>
              <w:bottom w:val="single" w:sz="8" w:color="E9E9E9"/>
            </w:tcBorders>
            <w:gridSpan w:val="2"/>
            <w:shd w:val="clear" w:color="auto" w:fill="E9E9E9"/>
          </w:tcPr>
          <w:p>
            <w:pPr>
              <w:jc w:val="center"/>
              <w:ind w:right="40"/>
              <w:spacing w:after="0"/>
              <w:rPr>
                <w:sz w:val="20"/>
                <w:szCs w:val="20"/>
                <w:color w:val="auto"/>
              </w:rPr>
            </w:pPr>
            <w:r>
              <w:rPr>
                <w:rFonts w:ascii="Times New Roman" w:cs="Times New Roman" w:eastAsia="Times New Roman" w:hAnsi="Times New Roman"/>
                <w:sz w:val="20"/>
                <w:szCs w:val="20"/>
                <w:color w:val="auto"/>
                <w:w w:val="97"/>
              </w:rPr>
              <w:t>Straight-Line</w:t>
            </w:r>
          </w:p>
        </w:tc>
        <w:tc>
          <w:tcPr>
            <w:tcW w:w="240" w:type="dxa"/>
            <w:vAlign w:val="bottom"/>
            <w:tcBorders>
              <w:bottom w:val="single" w:sz="8" w:color="auto"/>
            </w:tcBorders>
            <w:shd w:val="clear" w:color="auto" w:fill="E9E9E9"/>
          </w:tcPr>
          <w:p>
            <w:pPr>
              <w:spacing w:after="0"/>
              <w:rPr>
                <w:sz w:val="24"/>
                <w:szCs w:val="24"/>
                <w:color w:val="auto"/>
              </w:rPr>
            </w:pPr>
          </w:p>
        </w:tc>
        <w:tc>
          <w:tcPr>
            <w:tcW w:w="84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55,982</w:t>
            </w:r>
          </w:p>
        </w:tc>
        <w:tc>
          <w:tcPr>
            <w:tcW w:w="60" w:type="dxa"/>
            <w:vAlign w:val="bottom"/>
            <w:tcBorders>
              <w:bottom w:val="single" w:sz="8" w:color="E9E9E9"/>
            </w:tcBorders>
            <w:shd w:val="clear" w:color="auto" w:fill="E9E9E9"/>
          </w:tcPr>
          <w:p>
            <w:pPr>
              <w:spacing w:after="0"/>
              <w:rPr>
                <w:sz w:val="24"/>
                <w:szCs w:val="24"/>
                <w:color w:val="auto"/>
              </w:rPr>
            </w:pPr>
          </w:p>
        </w:tc>
        <w:tc>
          <w:tcPr>
            <w:tcW w:w="380" w:type="dxa"/>
            <w:vAlign w:val="bottom"/>
            <w:tcBorders>
              <w:bottom w:val="single" w:sz="8" w:color="auto"/>
            </w:tcBorders>
            <w:shd w:val="clear" w:color="auto" w:fill="E9E9E9"/>
          </w:tcPr>
          <w:p>
            <w:pPr>
              <w:spacing w:after="0"/>
              <w:rPr>
                <w:sz w:val="24"/>
                <w:szCs w:val="24"/>
                <w:color w:val="auto"/>
              </w:rPr>
            </w:pPr>
          </w:p>
        </w:tc>
        <w:tc>
          <w:tcPr>
            <w:tcW w:w="100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(5,290)</w:t>
            </w:r>
          </w:p>
        </w:tc>
        <w:tc>
          <w:tcPr>
            <w:tcW w:w="60" w:type="dxa"/>
            <w:vAlign w:val="bottom"/>
            <w:tcBorders>
              <w:bottom w:val="single" w:sz="8" w:color="E9E9E9"/>
            </w:tcBorders>
            <w:shd w:val="clear" w:color="auto" w:fill="E9E9E9"/>
          </w:tcPr>
          <w:p>
            <w:pPr>
              <w:spacing w:after="0"/>
              <w:rPr>
                <w:sz w:val="24"/>
                <w:szCs w:val="24"/>
                <w:color w:val="auto"/>
              </w:rPr>
            </w:pPr>
          </w:p>
        </w:tc>
        <w:tc>
          <w:tcPr>
            <w:tcW w:w="260" w:type="dxa"/>
            <w:vAlign w:val="bottom"/>
            <w:tcBorders>
              <w:bottom w:val="single" w:sz="8" w:color="auto"/>
            </w:tcBorders>
            <w:shd w:val="clear" w:color="auto" w:fill="E9E9E9"/>
          </w:tcPr>
          <w:p>
            <w:pPr>
              <w:spacing w:after="0"/>
              <w:rPr>
                <w:sz w:val="24"/>
                <w:szCs w:val="24"/>
                <w:color w:val="auto"/>
              </w:rPr>
            </w:pPr>
          </w:p>
        </w:tc>
        <w:tc>
          <w:tcPr>
            <w:tcW w:w="82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50,692</w:t>
            </w:r>
          </w:p>
        </w:tc>
        <w:tc>
          <w:tcPr>
            <w:tcW w:w="0" w:type="dxa"/>
            <w:vAlign w:val="bottom"/>
          </w:tcPr>
          <w:p>
            <w:pPr>
              <w:spacing w:after="0"/>
              <w:rPr>
                <w:sz w:val="1"/>
                <w:szCs w:val="1"/>
                <w:color w:val="auto"/>
              </w:rPr>
            </w:pPr>
          </w:p>
        </w:tc>
      </w:tr>
      <w:tr>
        <w:trPr>
          <w:trHeight w:val="236"/>
        </w:trPr>
        <w:tc>
          <w:tcPr>
            <w:tcW w:w="31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Total</w:t>
            </w: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6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382,297</w:t>
            </w:r>
          </w:p>
        </w:tc>
        <w:tc>
          <w:tcPr>
            <w:tcW w:w="440" w:type="dxa"/>
            <w:vAlign w:val="bottom"/>
            <w:gridSpan w:val="2"/>
          </w:tcPr>
          <w:p>
            <w:pPr>
              <w:jc w:val="right"/>
              <w:ind w:right="122"/>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(220,536)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161,761</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4038600</wp:posOffset>
            </wp:positionH>
            <wp:positionV relativeFrom="paragraph">
              <wp:posOffset>-43180</wp:posOffset>
            </wp:positionV>
            <wp:extent cx="2349500" cy="501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349500" cy="50165"/>
                    </a:xfrm>
                    <a:prstGeom prst="rect">
                      <a:avLst/>
                    </a:prstGeom>
                    <a:noFill/>
                  </pic:spPr>
                </pic:pic>
              </a:graphicData>
            </a:graphic>
          </wp:anchor>
        </w:drawing>
      </w:r>
    </w:p>
    <w:p>
      <w:pPr>
        <w:spacing w:after="0" w:line="261" w:lineRule="exact"/>
        <w:rPr>
          <w:sz w:val="20"/>
          <w:szCs w:val="20"/>
          <w:color w:val="auto"/>
        </w:rPr>
      </w:pPr>
    </w:p>
    <w:tbl>
      <w:tblPr>
        <w:tblLayout w:type="fixed"/>
        <w:tblInd w:w="540" w:type="dxa"/>
        <w:tblCellMar>
          <w:top w:w="0" w:type="dxa"/>
          <w:left w:w="0" w:type="dxa"/>
          <w:bottom w:w="0" w:type="dxa"/>
          <w:right w:w="0" w:type="dxa"/>
        </w:tblCellMar>
      </w:tblPr>
      <w:tr>
        <w:trPr>
          <w:trHeight w:val="262"/>
        </w:trPr>
        <w:tc>
          <w:tcPr>
            <w:tcW w:w="312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gridSpan w:val="6"/>
          </w:tcPr>
          <w:p>
            <w:pPr>
              <w:jc w:val="right"/>
              <w:ind w:right="162"/>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10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312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1280" w:type="dxa"/>
            <w:vAlign w:val="bottom"/>
            <w:gridSpan w:val="2"/>
          </w:tcPr>
          <w:p>
            <w:pPr>
              <w:jc w:val="center"/>
              <w:spacing w:after="0" w:line="193" w:lineRule="exact"/>
              <w:rPr>
                <w:sz w:val="20"/>
                <w:szCs w:val="20"/>
                <w:color w:val="auto"/>
              </w:rPr>
            </w:pPr>
            <w:r>
              <w:rPr>
                <w:rFonts w:ascii="Times New Roman" w:cs="Times New Roman" w:eastAsia="Times New Roman" w:hAnsi="Times New Roman"/>
                <w:sz w:val="20"/>
                <w:szCs w:val="20"/>
                <w:b w:val="1"/>
                <w:bCs w:val="1"/>
                <w:color w:val="auto"/>
                <w:w w:val="99"/>
              </w:rPr>
              <w:t>Useful Lives</w:t>
            </w:r>
          </w:p>
        </w:tc>
        <w:tc>
          <w:tcPr>
            <w:tcW w:w="80" w:type="dxa"/>
            <w:vAlign w:val="bottom"/>
          </w:tcPr>
          <w:p>
            <w:pPr>
              <w:spacing w:after="0"/>
              <w:rPr>
                <w:sz w:val="16"/>
                <w:szCs w:val="16"/>
                <w:color w:val="auto"/>
              </w:rPr>
            </w:pPr>
          </w:p>
        </w:tc>
        <w:tc>
          <w:tcPr>
            <w:tcW w:w="1600" w:type="dxa"/>
            <w:vAlign w:val="bottom"/>
            <w:gridSpan w:val="3"/>
          </w:tcPr>
          <w:p>
            <w:pPr>
              <w:jc w:val="center"/>
              <w:ind w:right="222"/>
              <w:spacing w:after="0" w:line="193" w:lineRule="exact"/>
              <w:rPr>
                <w:sz w:val="20"/>
                <w:szCs w:val="20"/>
                <w:color w:val="auto"/>
              </w:rPr>
            </w:pPr>
            <w:r>
              <w:rPr>
                <w:rFonts w:ascii="Times New Roman" w:cs="Times New Roman" w:eastAsia="Times New Roman" w:hAnsi="Times New Roman"/>
                <w:sz w:val="20"/>
                <w:szCs w:val="20"/>
                <w:b w:val="1"/>
                <w:bCs w:val="1"/>
                <w:color w:val="auto"/>
                <w:w w:val="97"/>
              </w:rPr>
              <w:t>Amortization</w:t>
            </w:r>
          </w:p>
        </w:tc>
        <w:tc>
          <w:tcPr>
            <w:tcW w:w="820" w:type="dxa"/>
            <w:vAlign w:val="bottom"/>
            <w:vMerge w:val="restart"/>
          </w:tcPr>
          <w:p>
            <w:pPr>
              <w:jc w:val="right"/>
              <w:ind w:right="242"/>
              <w:spacing w:after="0"/>
              <w:rPr>
                <w:sz w:val="20"/>
                <w:szCs w:val="20"/>
                <w:color w:val="auto"/>
              </w:rPr>
            </w:pPr>
            <w:r>
              <w:rPr>
                <w:rFonts w:ascii="Times New Roman" w:cs="Times New Roman" w:eastAsia="Times New Roman" w:hAnsi="Times New Roman"/>
                <w:sz w:val="20"/>
                <w:szCs w:val="20"/>
                <w:b w:val="1"/>
                <w:bCs w:val="1"/>
                <w:color w:val="auto"/>
              </w:rPr>
              <w:t>Cost</w:t>
            </w:r>
          </w:p>
        </w:tc>
        <w:tc>
          <w:tcPr>
            <w:tcW w:w="80" w:type="dxa"/>
            <w:vAlign w:val="bottom"/>
          </w:tcPr>
          <w:p>
            <w:pPr>
              <w:spacing w:after="0"/>
              <w:rPr>
                <w:sz w:val="16"/>
                <w:szCs w:val="16"/>
                <w:color w:val="auto"/>
              </w:rPr>
            </w:pPr>
          </w:p>
        </w:tc>
        <w:tc>
          <w:tcPr>
            <w:tcW w:w="1380" w:type="dxa"/>
            <w:vAlign w:val="bottom"/>
            <w:gridSpan w:val="2"/>
          </w:tcPr>
          <w:p>
            <w:pPr>
              <w:jc w:val="right"/>
              <w:ind w:right="42"/>
              <w:spacing w:after="0" w:line="193" w:lineRule="exact"/>
              <w:rPr>
                <w:sz w:val="20"/>
                <w:szCs w:val="20"/>
                <w:color w:val="auto"/>
              </w:rPr>
            </w:pPr>
            <w:r>
              <w:rPr>
                <w:rFonts w:ascii="Times New Roman" w:cs="Times New Roman" w:eastAsia="Times New Roman" w:hAnsi="Times New Roman"/>
                <w:sz w:val="20"/>
                <w:szCs w:val="20"/>
                <w:b w:val="1"/>
                <w:bCs w:val="1"/>
                <w:color w:val="auto"/>
              </w:rPr>
              <w:t>Accumulated</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vMerge w:val="restart"/>
          </w:tcPr>
          <w:p>
            <w:pPr>
              <w:jc w:val="right"/>
              <w:ind w:right="302"/>
              <w:spacing w:after="0"/>
              <w:rPr>
                <w:sz w:val="20"/>
                <w:szCs w:val="20"/>
                <w:color w:val="auto"/>
              </w:rPr>
            </w:pPr>
            <w:r>
              <w:rPr>
                <w:rFonts w:ascii="Times New Roman" w:cs="Times New Roman" w:eastAsia="Times New Roman" w:hAnsi="Times New Roman"/>
                <w:sz w:val="20"/>
                <w:szCs w:val="20"/>
                <w:b w:val="1"/>
                <w:bCs w:val="1"/>
                <w:color w:val="auto"/>
              </w:rPr>
              <w:t>Net</w:t>
            </w:r>
          </w:p>
        </w:tc>
        <w:tc>
          <w:tcPr>
            <w:tcW w:w="0" w:type="dxa"/>
            <w:vAlign w:val="bottom"/>
          </w:tcPr>
          <w:p>
            <w:pPr>
              <w:spacing w:after="0"/>
              <w:rPr>
                <w:sz w:val="1"/>
                <w:szCs w:val="1"/>
                <w:color w:val="auto"/>
              </w:rPr>
            </w:pPr>
          </w:p>
        </w:tc>
      </w:tr>
      <w:tr>
        <w:trPr>
          <w:trHeight w:val="258"/>
        </w:trPr>
        <w:tc>
          <w:tcPr>
            <w:tcW w:w="3120" w:type="dxa"/>
            <w:vAlign w:val="bottom"/>
            <w:tcBorders>
              <w:bottom w:val="single" w:sz="8" w:color="E9E9E9"/>
            </w:tcBorders>
            <w:vMerge w:val="continue"/>
          </w:tcPr>
          <w:p>
            <w:pPr>
              <w:spacing w:after="0"/>
              <w:rPr>
                <w:sz w:val="22"/>
                <w:szCs w:val="22"/>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(in years)</w:t>
            </w:r>
          </w:p>
        </w:tc>
        <w:tc>
          <w:tcPr>
            <w:tcW w:w="80" w:type="dxa"/>
            <w:vAlign w:val="bottom"/>
            <w:tcBorders>
              <w:bottom w:val="single" w:sz="8" w:color="E9E9E9"/>
            </w:tcBorders>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Method</w:t>
            </w:r>
          </w:p>
        </w:tc>
        <w:tc>
          <w:tcPr>
            <w:tcW w:w="60" w:type="dxa"/>
            <w:vAlign w:val="bottom"/>
            <w:tcBorders>
              <w:bottom w:val="single" w:sz="8" w:color="E9E9E9"/>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9E9E9"/>
            </w:tcBorders>
          </w:tcPr>
          <w:p>
            <w:pPr>
              <w:spacing w:after="0"/>
              <w:rPr>
                <w:sz w:val="22"/>
                <w:szCs w:val="22"/>
                <w:color w:val="auto"/>
              </w:rPr>
            </w:pPr>
          </w:p>
        </w:tc>
        <w:tc>
          <w:tcPr>
            <w:tcW w:w="1380" w:type="dxa"/>
            <w:vAlign w:val="bottom"/>
            <w:tcBorders>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20"/>
                <w:szCs w:val="20"/>
                <w:b w:val="1"/>
                <w:bCs w:val="1"/>
                <w:color w:val="auto"/>
              </w:rPr>
              <w:t>Amortization</w:t>
            </w:r>
          </w:p>
        </w:tc>
        <w:tc>
          <w:tcPr>
            <w:tcW w:w="80" w:type="dxa"/>
            <w:vAlign w:val="bottom"/>
            <w:tcBorders>
              <w:bottom w:val="single" w:sz="8" w:color="E9E9E9"/>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312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Trademarks</w:t>
            </w:r>
          </w:p>
        </w:tc>
        <w:tc>
          <w:tcPr>
            <w:tcW w:w="5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72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 25</w:t>
            </w:r>
          </w:p>
        </w:tc>
        <w:tc>
          <w:tcPr>
            <w:tcW w:w="80" w:type="dxa"/>
            <w:vAlign w:val="bottom"/>
            <w:shd w:val="clear" w:color="auto" w:fill="E9E9E9"/>
          </w:tcPr>
          <w:p>
            <w:pPr>
              <w:spacing w:after="0"/>
              <w:rPr>
                <w:sz w:val="24"/>
                <w:szCs w:val="24"/>
                <w:color w:val="auto"/>
              </w:rPr>
            </w:pPr>
          </w:p>
        </w:tc>
        <w:tc>
          <w:tcPr>
            <w:tcW w:w="1600" w:type="dxa"/>
            <w:vAlign w:val="bottom"/>
            <w:gridSpan w:val="3"/>
            <w:shd w:val="clear" w:color="auto" w:fill="E9E9E9"/>
          </w:tcPr>
          <w:p>
            <w:pPr>
              <w:jc w:val="right"/>
              <w:ind w:right="2"/>
              <w:spacing w:after="0"/>
              <w:rPr>
                <w:sz w:val="20"/>
                <w:szCs w:val="20"/>
                <w:color w:val="auto"/>
              </w:rPr>
            </w:pPr>
            <w:r>
              <w:rPr>
                <w:rFonts w:ascii="Times New Roman" w:cs="Times New Roman" w:eastAsia="Times New Roman" w:hAnsi="Times New Roman"/>
                <w:sz w:val="20"/>
                <w:szCs w:val="20"/>
                <w:color w:val="auto"/>
              </w:rPr>
              <w:t>Straight-Line  $</w:t>
            </w:r>
          </w:p>
        </w:tc>
        <w:tc>
          <w:tcPr>
            <w:tcW w:w="8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13,540</w:t>
            </w:r>
          </w:p>
        </w:tc>
        <w:tc>
          <w:tcPr>
            <w:tcW w:w="460" w:type="dxa"/>
            <w:vAlign w:val="bottom"/>
            <w:gridSpan w:val="2"/>
            <w:shd w:val="clear" w:color="auto" w:fill="E9E9E9"/>
          </w:tcPr>
          <w:p>
            <w:pPr>
              <w:jc w:val="right"/>
              <w:ind w:right="142"/>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(12,216)</w:t>
            </w:r>
          </w:p>
        </w:tc>
        <w:tc>
          <w:tcPr>
            <w:tcW w:w="340" w:type="dxa"/>
            <w:vAlign w:val="bottom"/>
            <w:gridSpan w:val="2"/>
            <w:shd w:val="clear" w:color="auto" w:fill="E9E9E9"/>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1,324</w:t>
            </w:r>
          </w:p>
        </w:tc>
        <w:tc>
          <w:tcPr>
            <w:tcW w:w="0" w:type="dxa"/>
            <w:vAlign w:val="bottom"/>
          </w:tcPr>
          <w:p>
            <w:pPr>
              <w:spacing w:after="0"/>
              <w:rPr>
                <w:sz w:val="1"/>
                <w:szCs w:val="1"/>
                <w:color w:val="auto"/>
              </w:rPr>
            </w:pPr>
          </w:p>
        </w:tc>
      </w:tr>
      <w:tr>
        <w:trPr>
          <w:trHeight w:val="287"/>
        </w:trPr>
        <w:tc>
          <w:tcPr>
            <w:tcW w:w="3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Customer relationships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25</w:t>
            </w:r>
          </w:p>
        </w:tc>
        <w:tc>
          <w:tcPr>
            <w:tcW w:w="80" w:type="dxa"/>
            <w:vAlign w:val="bottom"/>
          </w:tcPr>
          <w:p>
            <w:pPr>
              <w:spacing w:after="0"/>
              <w:rPr>
                <w:sz w:val="24"/>
                <w:szCs w:val="24"/>
                <w:color w:val="auto"/>
              </w:rPr>
            </w:pPr>
          </w:p>
        </w:tc>
        <w:tc>
          <w:tcPr>
            <w:tcW w:w="1600" w:type="dxa"/>
            <w:vAlign w:val="bottom"/>
            <w:gridSpan w:val="3"/>
          </w:tcPr>
          <w:p>
            <w:pPr>
              <w:jc w:val="center"/>
              <w:ind w:right="202"/>
              <w:spacing w:after="0"/>
              <w:rPr>
                <w:sz w:val="20"/>
                <w:szCs w:val="20"/>
                <w:color w:val="auto"/>
              </w:rPr>
            </w:pPr>
            <w:r>
              <w:rPr>
                <w:rFonts w:ascii="Times New Roman" w:cs="Times New Roman" w:eastAsia="Times New Roman" w:hAnsi="Times New Roman"/>
                <w:sz w:val="20"/>
                <w:szCs w:val="20"/>
                <w:color w:val="auto"/>
                <w:w w:val="98"/>
              </w:rPr>
              <w:t>Accelerated</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157,995</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(117,574)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40,421</w:t>
            </w:r>
          </w:p>
        </w:tc>
        <w:tc>
          <w:tcPr>
            <w:tcW w:w="0" w:type="dxa"/>
            <w:vAlign w:val="bottom"/>
          </w:tcPr>
          <w:p>
            <w:pPr>
              <w:spacing w:after="0"/>
              <w:rPr>
                <w:sz w:val="1"/>
                <w:szCs w:val="1"/>
                <w:color w:val="auto"/>
              </w:rPr>
            </w:pPr>
          </w:p>
        </w:tc>
      </w:tr>
      <w:tr>
        <w:trPr>
          <w:trHeight w:val="301"/>
        </w:trPr>
        <w:tc>
          <w:tcPr>
            <w:tcW w:w="312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Currently marketed product</w:t>
            </w:r>
          </w:p>
        </w:tc>
        <w:tc>
          <w:tcPr>
            <w:tcW w:w="1280" w:type="dxa"/>
            <w:vAlign w:val="bottom"/>
            <w:gridSpan w:val="2"/>
            <w:shd w:val="clear" w:color="auto" w:fill="E9E9E9"/>
          </w:tcPr>
          <w:p>
            <w:pPr>
              <w:jc w:val="center"/>
              <w:spacing w:after="0"/>
              <w:rPr>
                <w:sz w:val="20"/>
                <w:szCs w:val="20"/>
                <w:color w:val="auto"/>
              </w:rPr>
            </w:pPr>
            <w:r>
              <w:rPr>
                <w:rFonts w:ascii="Times New Roman" w:cs="Times New Roman" w:eastAsia="Times New Roman" w:hAnsi="Times New Roman"/>
                <w:sz w:val="20"/>
                <w:szCs w:val="20"/>
                <w:color w:val="auto"/>
                <w:w w:val="95"/>
              </w:rPr>
              <w:t>9 – 15</w:t>
            </w:r>
          </w:p>
        </w:tc>
        <w:tc>
          <w:tcPr>
            <w:tcW w:w="80" w:type="dxa"/>
            <w:vAlign w:val="bottom"/>
            <w:shd w:val="clear" w:color="auto" w:fill="E9E9E9"/>
          </w:tcPr>
          <w:p>
            <w:pPr>
              <w:spacing w:after="0"/>
              <w:rPr>
                <w:sz w:val="24"/>
                <w:szCs w:val="24"/>
                <w:color w:val="auto"/>
              </w:rPr>
            </w:pPr>
          </w:p>
        </w:tc>
        <w:tc>
          <w:tcPr>
            <w:tcW w:w="1600" w:type="dxa"/>
            <w:vAlign w:val="bottom"/>
            <w:gridSpan w:val="3"/>
            <w:shd w:val="clear" w:color="auto" w:fill="E9E9E9"/>
          </w:tcPr>
          <w:p>
            <w:pPr>
              <w:jc w:val="center"/>
              <w:ind w:right="202"/>
              <w:spacing w:after="0"/>
              <w:rPr>
                <w:sz w:val="20"/>
                <w:szCs w:val="20"/>
                <w:color w:val="auto"/>
              </w:rPr>
            </w:pPr>
            <w:r>
              <w:rPr>
                <w:rFonts w:ascii="Times New Roman" w:cs="Times New Roman" w:eastAsia="Times New Roman" w:hAnsi="Times New Roman"/>
                <w:sz w:val="20"/>
                <w:szCs w:val="20"/>
                <w:color w:val="auto"/>
                <w:w w:val="99"/>
              </w:rPr>
              <w:t>Straight-Line</w:t>
            </w:r>
          </w:p>
        </w:tc>
        <w:tc>
          <w:tcPr>
            <w:tcW w:w="8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132,800</w:t>
            </w:r>
          </w:p>
        </w:tc>
        <w:tc>
          <w:tcPr>
            <w:tcW w:w="80" w:type="dxa"/>
            <w:vAlign w:val="bottom"/>
            <w:shd w:val="clear" w:color="auto" w:fill="E9E9E9"/>
          </w:tcPr>
          <w:p>
            <w:pPr>
              <w:spacing w:after="0"/>
              <w:rPr>
                <w:sz w:val="24"/>
                <w:szCs w:val="24"/>
                <w:color w:val="auto"/>
              </w:rPr>
            </w:pPr>
          </w:p>
        </w:tc>
        <w:tc>
          <w:tcPr>
            <w:tcW w:w="380" w:type="dxa"/>
            <w:vAlign w:val="bottom"/>
            <w:shd w:val="clear" w:color="auto" w:fill="E9E9E9"/>
          </w:tcPr>
          <w:p>
            <w:pPr>
              <w:spacing w:after="0"/>
              <w:rPr>
                <w:sz w:val="24"/>
                <w:szCs w:val="24"/>
                <w:color w:val="auto"/>
              </w:rPr>
            </w:pPr>
          </w:p>
        </w:tc>
        <w:tc>
          <w:tcPr>
            <w:tcW w:w="10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(38,277)</w:t>
            </w:r>
          </w:p>
        </w:tc>
        <w:tc>
          <w:tcPr>
            <w:tcW w:w="80" w:type="dxa"/>
            <w:vAlign w:val="bottom"/>
            <w:shd w:val="clear" w:color="auto" w:fill="E9E9E9"/>
          </w:tcPr>
          <w:p>
            <w:pPr>
              <w:spacing w:after="0"/>
              <w:rPr>
                <w:sz w:val="24"/>
                <w:szCs w:val="24"/>
                <w:color w:val="auto"/>
              </w:rPr>
            </w:pPr>
          </w:p>
        </w:tc>
        <w:tc>
          <w:tcPr>
            <w:tcW w:w="260" w:type="dxa"/>
            <w:vAlign w:val="bottom"/>
            <w:shd w:val="clear" w:color="auto" w:fill="E9E9E9"/>
          </w:tcPr>
          <w:p>
            <w:pPr>
              <w:spacing w:after="0"/>
              <w:rPr>
                <w:sz w:val="24"/>
                <w:szCs w:val="24"/>
                <w:color w:val="auto"/>
              </w:rPr>
            </w:pPr>
          </w:p>
        </w:tc>
        <w:tc>
          <w:tcPr>
            <w:tcW w:w="8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94,523</w:t>
            </w:r>
          </w:p>
        </w:tc>
        <w:tc>
          <w:tcPr>
            <w:tcW w:w="0" w:type="dxa"/>
            <w:vAlign w:val="bottom"/>
          </w:tcPr>
          <w:p>
            <w:pPr>
              <w:spacing w:after="0"/>
              <w:rPr>
                <w:sz w:val="1"/>
                <w:szCs w:val="1"/>
                <w:color w:val="auto"/>
              </w:rPr>
            </w:pPr>
          </w:p>
        </w:tc>
      </w:tr>
      <w:tr>
        <w:trPr>
          <w:trHeight w:val="287"/>
        </w:trPr>
        <w:tc>
          <w:tcPr>
            <w:tcW w:w="3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Licenses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16</w:t>
            </w:r>
          </w:p>
        </w:tc>
        <w:tc>
          <w:tcPr>
            <w:tcW w:w="80" w:type="dxa"/>
            <w:vAlign w:val="bottom"/>
          </w:tcPr>
          <w:p>
            <w:pPr>
              <w:spacing w:after="0"/>
              <w:rPr>
                <w:sz w:val="24"/>
                <w:szCs w:val="24"/>
                <w:color w:val="auto"/>
              </w:rPr>
            </w:pPr>
          </w:p>
        </w:tc>
        <w:tc>
          <w:tcPr>
            <w:tcW w:w="1600" w:type="dxa"/>
            <w:vAlign w:val="bottom"/>
            <w:gridSpan w:val="3"/>
          </w:tcPr>
          <w:p>
            <w:pPr>
              <w:jc w:val="center"/>
              <w:ind w:right="202"/>
              <w:spacing w:after="0"/>
              <w:rPr>
                <w:sz w:val="20"/>
                <w:szCs w:val="20"/>
                <w:color w:val="auto"/>
              </w:rPr>
            </w:pPr>
            <w:r>
              <w:rPr>
                <w:rFonts w:ascii="Times New Roman" w:cs="Times New Roman" w:eastAsia="Times New Roman" w:hAnsi="Times New Roman"/>
                <w:sz w:val="20"/>
                <w:szCs w:val="20"/>
                <w:color w:val="auto"/>
                <w:w w:val="99"/>
              </w:rPr>
              <w:t>Straight-Line</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22,233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(7,972)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14,261</w:t>
            </w:r>
          </w:p>
        </w:tc>
        <w:tc>
          <w:tcPr>
            <w:tcW w:w="0" w:type="dxa"/>
            <w:vAlign w:val="bottom"/>
          </w:tcPr>
          <w:p>
            <w:pPr>
              <w:spacing w:after="0"/>
              <w:rPr>
                <w:sz w:val="1"/>
                <w:szCs w:val="1"/>
                <w:color w:val="auto"/>
              </w:rPr>
            </w:pPr>
          </w:p>
        </w:tc>
      </w:tr>
      <w:tr>
        <w:trPr>
          <w:trHeight w:val="309"/>
        </w:trPr>
        <w:tc>
          <w:tcPr>
            <w:tcW w:w="312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Developed technology</w:t>
            </w:r>
          </w:p>
        </w:tc>
        <w:tc>
          <w:tcPr>
            <w:tcW w:w="560" w:type="dxa"/>
            <w:vAlign w:val="bottom"/>
            <w:shd w:val="clear" w:color="auto" w:fill="E9E9E9"/>
          </w:tcPr>
          <w:p>
            <w:pPr>
              <w:spacing w:after="0"/>
              <w:rPr>
                <w:sz w:val="24"/>
                <w:szCs w:val="24"/>
                <w:color w:val="auto"/>
              </w:rPr>
            </w:pPr>
          </w:p>
        </w:tc>
        <w:tc>
          <w:tcPr>
            <w:tcW w:w="72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9</w:t>
            </w:r>
          </w:p>
        </w:tc>
        <w:tc>
          <w:tcPr>
            <w:tcW w:w="80" w:type="dxa"/>
            <w:vAlign w:val="bottom"/>
            <w:shd w:val="clear" w:color="auto" w:fill="E9E9E9"/>
          </w:tcPr>
          <w:p>
            <w:pPr>
              <w:spacing w:after="0"/>
              <w:rPr>
                <w:sz w:val="24"/>
                <w:szCs w:val="24"/>
                <w:color w:val="auto"/>
              </w:rPr>
            </w:pPr>
          </w:p>
        </w:tc>
        <w:tc>
          <w:tcPr>
            <w:tcW w:w="1600" w:type="dxa"/>
            <w:vAlign w:val="bottom"/>
            <w:gridSpan w:val="3"/>
            <w:shd w:val="clear" w:color="auto" w:fill="E9E9E9"/>
          </w:tcPr>
          <w:p>
            <w:pPr>
              <w:jc w:val="center"/>
              <w:ind w:right="202"/>
              <w:spacing w:after="0"/>
              <w:rPr>
                <w:sz w:val="20"/>
                <w:szCs w:val="20"/>
                <w:color w:val="auto"/>
              </w:rPr>
            </w:pPr>
            <w:r>
              <w:rPr>
                <w:rFonts w:ascii="Times New Roman" w:cs="Times New Roman" w:eastAsia="Times New Roman" w:hAnsi="Times New Roman"/>
                <w:sz w:val="20"/>
                <w:szCs w:val="20"/>
                <w:color w:val="auto"/>
                <w:w w:val="99"/>
              </w:rPr>
              <w:t>Straight-Line</w:t>
            </w:r>
          </w:p>
        </w:tc>
        <w:tc>
          <w:tcPr>
            <w:tcW w:w="8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2,400</w:t>
            </w:r>
          </w:p>
        </w:tc>
        <w:tc>
          <w:tcPr>
            <w:tcW w:w="80" w:type="dxa"/>
            <w:vAlign w:val="bottom"/>
            <w:shd w:val="clear" w:color="auto" w:fill="E9E9E9"/>
          </w:tcPr>
          <w:p>
            <w:pPr>
              <w:spacing w:after="0"/>
              <w:rPr>
                <w:sz w:val="24"/>
                <w:szCs w:val="24"/>
                <w:color w:val="auto"/>
              </w:rPr>
            </w:pPr>
          </w:p>
        </w:tc>
        <w:tc>
          <w:tcPr>
            <w:tcW w:w="380" w:type="dxa"/>
            <w:vAlign w:val="bottom"/>
            <w:shd w:val="clear" w:color="auto" w:fill="E9E9E9"/>
          </w:tcPr>
          <w:p>
            <w:pPr>
              <w:spacing w:after="0"/>
              <w:rPr>
                <w:sz w:val="24"/>
                <w:szCs w:val="24"/>
                <w:color w:val="auto"/>
              </w:rPr>
            </w:pPr>
          </w:p>
        </w:tc>
        <w:tc>
          <w:tcPr>
            <w:tcW w:w="10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(944)</w:t>
            </w:r>
          </w:p>
        </w:tc>
        <w:tc>
          <w:tcPr>
            <w:tcW w:w="80" w:type="dxa"/>
            <w:vAlign w:val="bottom"/>
            <w:shd w:val="clear" w:color="auto" w:fill="E9E9E9"/>
          </w:tcPr>
          <w:p>
            <w:pPr>
              <w:spacing w:after="0"/>
              <w:rPr>
                <w:sz w:val="24"/>
                <w:szCs w:val="24"/>
                <w:color w:val="auto"/>
              </w:rPr>
            </w:pPr>
          </w:p>
        </w:tc>
        <w:tc>
          <w:tcPr>
            <w:tcW w:w="260" w:type="dxa"/>
            <w:vAlign w:val="bottom"/>
            <w:shd w:val="clear" w:color="auto" w:fill="E9E9E9"/>
          </w:tcPr>
          <w:p>
            <w:pPr>
              <w:spacing w:after="0"/>
              <w:rPr>
                <w:sz w:val="24"/>
                <w:szCs w:val="24"/>
                <w:color w:val="auto"/>
              </w:rPr>
            </w:pPr>
          </w:p>
        </w:tc>
        <w:tc>
          <w:tcPr>
            <w:tcW w:w="8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1,456</w:t>
            </w:r>
          </w:p>
        </w:tc>
        <w:tc>
          <w:tcPr>
            <w:tcW w:w="0" w:type="dxa"/>
            <w:vAlign w:val="bottom"/>
          </w:tcPr>
          <w:p>
            <w:pPr>
              <w:spacing w:after="0"/>
              <w:rPr>
                <w:sz w:val="1"/>
                <w:szCs w:val="1"/>
                <w:color w:val="auto"/>
              </w:rPr>
            </w:pPr>
          </w:p>
        </w:tc>
      </w:tr>
      <w:tr>
        <w:trPr>
          <w:trHeight w:val="192"/>
        </w:trPr>
        <w:tc>
          <w:tcPr>
            <w:tcW w:w="3120" w:type="dxa"/>
            <w:vAlign w:val="bottom"/>
            <w:tcBorders>
              <w:top w:val="single" w:sz="8" w:color="E9E9E9"/>
            </w:tcBorders>
          </w:tcPr>
          <w:p>
            <w:pPr>
              <w:ind w:left="180"/>
              <w:spacing w:after="0" w:line="192" w:lineRule="exact"/>
              <w:rPr>
                <w:sz w:val="20"/>
                <w:szCs w:val="20"/>
                <w:color w:val="auto"/>
              </w:rPr>
            </w:pPr>
            <w:r>
              <w:rPr>
                <w:rFonts w:ascii="Times New Roman" w:cs="Times New Roman" w:eastAsia="Times New Roman" w:hAnsi="Times New Roman"/>
                <w:sz w:val="20"/>
                <w:szCs w:val="20"/>
                <w:color w:val="auto"/>
              </w:rPr>
              <w:t>Total</w:t>
            </w:r>
          </w:p>
        </w:tc>
        <w:tc>
          <w:tcPr>
            <w:tcW w:w="560" w:type="dxa"/>
            <w:vAlign w:val="bottom"/>
            <w:tcBorders>
              <w:top w:val="single" w:sz="8" w:color="E9E9E9"/>
            </w:tcBorders>
          </w:tcPr>
          <w:p>
            <w:pPr>
              <w:spacing w:after="0"/>
              <w:rPr>
                <w:sz w:val="16"/>
                <w:szCs w:val="16"/>
                <w:color w:val="auto"/>
              </w:rPr>
            </w:pPr>
          </w:p>
        </w:tc>
        <w:tc>
          <w:tcPr>
            <w:tcW w:w="720" w:type="dxa"/>
            <w:vAlign w:val="bottom"/>
            <w:tcBorders>
              <w:top w:val="single" w:sz="8" w:color="E9E9E9"/>
            </w:tcBorders>
          </w:tcPr>
          <w:p>
            <w:pPr>
              <w:spacing w:after="0"/>
              <w:rPr>
                <w:sz w:val="16"/>
                <w:szCs w:val="16"/>
                <w:color w:val="auto"/>
              </w:rPr>
            </w:pPr>
          </w:p>
        </w:tc>
        <w:tc>
          <w:tcPr>
            <w:tcW w:w="1420" w:type="dxa"/>
            <w:vAlign w:val="bottom"/>
            <w:tcBorders>
              <w:top w:val="single" w:sz="8" w:color="E9E9E9"/>
            </w:tcBorders>
            <w:gridSpan w:val="3"/>
          </w:tcPr>
          <w:p>
            <w:pPr>
              <w:spacing w:after="0"/>
              <w:rPr>
                <w:sz w:val="16"/>
                <w:szCs w:val="16"/>
                <w:color w:val="auto"/>
              </w:rPr>
            </w:pPr>
          </w:p>
        </w:tc>
        <w:tc>
          <w:tcPr>
            <w:tcW w:w="260" w:type="dxa"/>
            <w:vAlign w:val="bottom"/>
            <w:tcBorders>
              <w:top w:val="single" w:sz="8" w:color="auto"/>
              <w:bottom w:val="single" w:sz="8" w:color="auto"/>
            </w:tcBorders>
          </w:tcPr>
          <w:p>
            <w:pPr>
              <w:jc w:val="right"/>
              <w:ind w:right="2"/>
              <w:spacing w:after="0" w:line="192"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20"/>
                <w:szCs w:val="20"/>
                <w:color w:val="auto"/>
              </w:rPr>
              <w:t>328,968</w:t>
            </w:r>
          </w:p>
        </w:tc>
        <w:tc>
          <w:tcPr>
            <w:tcW w:w="80" w:type="dxa"/>
            <w:vAlign w:val="bottom"/>
            <w:tcBorders>
              <w:top w:val="single" w:sz="8" w:color="E9E9E9"/>
            </w:tcBorders>
          </w:tcPr>
          <w:p>
            <w:pPr>
              <w:spacing w:after="0"/>
              <w:rPr>
                <w:sz w:val="16"/>
                <w:szCs w:val="16"/>
                <w:color w:val="auto"/>
              </w:rPr>
            </w:pPr>
          </w:p>
        </w:tc>
        <w:tc>
          <w:tcPr>
            <w:tcW w:w="380" w:type="dxa"/>
            <w:vAlign w:val="bottom"/>
            <w:tcBorders>
              <w:top w:val="single" w:sz="8" w:color="auto"/>
              <w:bottom w:val="single" w:sz="8" w:color="auto"/>
            </w:tcBorders>
          </w:tcPr>
          <w:p>
            <w:pPr>
              <w:jc w:val="right"/>
              <w:ind w:right="142"/>
              <w:spacing w:after="0" w:line="192"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20"/>
                <w:szCs w:val="20"/>
                <w:color w:val="auto"/>
              </w:rPr>
              <w:t>(176,983)</w:t>
            </w:r>
          </w:p>
        </w:tc>
        <w:tc>
          <w:tcPr>
            <w:tcW w:w="80" w:type="dxa"/>
            <w:vAlign w:val="bottom"/>
            <w:tcBorders>
              <w:top w:val="single" w:sz="8" w:color="E9E9E9"/>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2"/>
              <w:spacing w:after="0" w:line="192"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20"/>
                <w:szCs w:val="20"/>
                <w:color w:val="auto"/>
              </w:rPr>
              <w:t>151,985</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4029710</wp:posOffset>
            </wp:positionH>
            <wp:positionV relativeFrom="paragraph">
              <wp:posOffset>-43180</wp:posOffset>
            </wp:positionV>
            <wp:extent cx="2368550" cy="501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368550" cy="50165"/>
                    </a:xfrm>
                    <a:prstGeom prst="rect">
                      <a:avLst/>
                    </a:prstGeom>
                    <a:noFill/>
                  </pic:spPr>
                </pic:pic>
              </a:graphicData>
            </a:graphic>
          </wp:anchor>
        </w:drawing>
      </w:r>
    </w:p>
    <w:p>
      <w:pPr>
        <w:spacing w:after="0" w:line="222" w:lineRule="exact"/>
        <w:rPr>
          <w:sz w:val="20"/>
          <w:szCs w:val="20"/>
          <w:color w:val="auto"/>
        </w:rPr>
      </w:pPr>
    </w:p>
    <w:p>
      <w:pPr>
        <w:ind w:right="220" w:firstLine="441"/>
        <w:spacing w:after="0" w:line="271" w:lineRule="auto"/>
        <w:rPr>
          <w:sz w:val="20"/>
          <w:szCs w:val="20"/>
          <w:color w:val="auto"/>
        </w:rPr>
      </w:pPr>
      <w:r>
        <w:rPr>
          <w:rFonts w:ascii="Times New Roman" w:cs="Times New Roman" w:eastAsia="Times New Roman" w:hAnsi="Times New Roman"/>
          <w:sz w:val="20"/>
          <w:szCs w:val="20"/>
          <w:color w:val="auto"/>
        </w:rPr>
        <w:t>The Company recorded amortization expense for its intangible assets of $43.8 million, $46.4 million and $33.2 million for the years ended December 31, 2024, 2023 and 2022, respectively.</w:t>
      </w:r>
    </w:p>
    <w:p>
      <w:pPr>
        <w:sectPr>
          <w:pgSz w:w="11880" w:h="15480" w:orient="portrait"/>
          <w:cols w:equalWidth="0" w:num="1">
            <w:col w:w="10560"/>
          </w:cols>
          <w:pgMar w:left="640" w:top="622" w:right="6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106</w:t>
      </w:r>
    </w:p>
    <w:p>
      <w:pPr>
        <w:sectPr>
          <w:pgSz w:w="11880" w:h="15480" w:orient="portrait"/>
          <w:cols w:equalWidth="0" w:num="1">
            <w:col w:w="10560"/>
          </w:cols>
          <w:pgMar w:left="640" w:top="622" w:right="680" w:bottom="0" w:gutter="0" w:footer="0" w:header="0"/>
          <w:type w:val="continuous"/>
        </w:sectPr>
      </w:pPr>
    </w:p>
    <w:bookmarkStart w:id="112" w:name="page113"/>
    <w:bookmarkEnd w:id="112"/>
    <w:p>
      <w:pPr>
        <w:ind w:firstLine="441"/>
        <w:spacing w:after="0" w:line="249" w:lineRule="auto"/>
        <w:rPr>
          <w:sz w:val="20"/>
          <w:szCs w:val="20"/>
          <w:color w:val="auto"/>
        </w:rPr>
      </w:pPr>
      <w:r>
        <w:rPr>
          <w:rFonts w:ascii="Times New Roman" w:cs="Times New Roman" w:eastAsia="Times New Roman" w:hAnsi="Times New Roman"/>
          <w:sz w:val="20"/>
          <w:szCs w:val="20"/>
          <w:color w:val="auto"/>
        </w:rPr>
        <w:t>In March 2023, the Company stopped all development activities in relation to a future indication associated with AZEDRA, which was classified as an IPR&amp;D intangible asset. The asset group, which consisted of the IPR&amp;D asset and a currently marketed product (the “AZEDRA intangible asset group”), was assessed for impairment. The Company considered several factors in estimating the future projections of revenues and cash flows of the AZEDRA intangible asset group as part of the impairment testing. The Company concluded that the carrying amount exceeded the fair value of the AZEDRA intangible asset group, which had no value. The Company recorded a non-cash impairment charge of $15.6 million in research and development expenses relating to the IPR&amp;D asset and $116.4 million in cost of goods sold relating to the currently marketed indication of AZEDRA in the consolidated statement of operations for the quarter ended March 31, 2023.</w:t>
      </w:r>
    </w:p>
    <w:p>
      <w:pPr>
        <w:spacing w:after="0" w:line="208" w:lineRule="exact"/>
        <w:rPr>
          <w:sz w:val="20"/>
          <w:szCs w:val="20"/>
          <w:color w:val="auto"/>
        </w:rPr>
      </w:pPr>
    </w:p>
    <w:p>
      <w:pPr>
        <w:ind w:right="120" w:firstLine="441"/>
        <w:spacing w:after="0" w:line="265" w:lineRule="auto"/>
        <w:rPr>
          <w:sz w:val="20"/>
          <w:szCs w:val="20"/>
          <w:color w:val="auto"/>
        </w:rPr>
      </w:pPr>
      <w:r>
        <w:rPr>
          <w:rFonts w:ascii="Times New Roman" w:cs="Times New Roman" w:eastAsia="Times New Roman" w:hAnsi="Times New Roman"/>
          <w:sz w:val="19"/>
          <w:szCs w:val="19"/>
          <w:color w:val="auto"/>
        </w:rPr>
        <w:t>On August 2, 2023, the Company sold the right to its RELISTOR royalty asset under its license agreement with Bausch; the Company retained the rights to future sales-based milestone payments. The Company received an initial payment of approximately $98.0 million in connection with the sale and has the right to receive an additional payment from the buyer of $5.0 million if worldwide net sales of RELISTOR in 2025 exceed a specified threshold. The additional payment would be recognized upon achievement of the specified threshold. Decreases of $63.6 million of license assets and $17.5 million of associated accumulated amortization, as well as a gain of $51.8 million were recorded as a result of the sale. No sales-based milestone payment was earned in 2024. During the fourth quarter of 2023, the Company earned a sales-based milestone payment of $15.0 million.</w:t>
      </w:r>
    </w:p>
    <w:p>
      <w:pPr>
        <w:spacing w:after="0" w:line="193" w:lineRule="exact"/>
        <w:rPr>
          <w:sz w:val="20"/>
          <w:szCs w:val="20"/>
          <w:color w:val="auto"/>
        </w:rPr>
      </w:pPr>
    </w:p>
    <w:p>
      <w:pPr>
        <w:ind w:right="220" w:firstLine="441"/>
        <w:spacing w:after="0" w:line="268" w:lineRule="auto"/>
        <w:rPr>
          <w:sz w:val="20"/>
          <w:szCs w:val="20"/>
          <w:color w:val="auto"/>
        </w:rPr>
      </w:pPr>
      <w:r>
        <w:rPr>
          <w:rFonts w:ascii="Times New Roman" w:cs="Times New Roman" w:eastAsia="Times New Roman" w:hAnsi="Times New Roman"/>
          <w:sz w:val="19"/>
          <w:szCs w:val="19"/>
          <w:color w:val="auto"/>
        </w:rPr>
        <w:t xml:space="preserve">On August 15, 2023, the Company announced that it would discontinue the production and promotion of AZEDRA and would be winding down its Somerset Facility. The Company continued manufacturing AZEDRA until the first quarter of 2024 to provide doses of AZEDRA to then-current patients so they could complete their treatment regimen. No AZEDRA was manufactured after March 1, 2024, when the Company transferred the tangible assets and associated lease of its Somerset Facility to Perspective. See Note 7, </w:t>
      </w:r>
      <w:r>
        <w:rPr>
          <w:rFonts w:ascii="Times New Roman" w:cs="Times New Roman" w:eastAsia="Times New Roman" w:hAnsi="Times New Roman"/>
          <w:sz w:val="19"/>
          <w:szCs w:val="19"/>
          <w:i w:val="1"/>
          <w:iCs w:val="1"/>
          <w:color w:val="auto"/>
        </w:rPr>
        <w:t>“Property, Plant and Equipment, Net”</w:t>
      </w:r>
      <w:r>
        <w:rPr>
          <w:rFonts w:ascii="Times New Roman" w:cs="Times New Roman" w:eastAsia="Times New Roman" w:hAnsi="Times New Roman"/>
          <w:sz w:val="19"/>
          <w:szCs w:val="19"/>
          <w:color w:val="auto"/>
        </w:rPr>
        <w:t xml:space="preserve"> to these consolidated financial statements for impairment analysis.</w:t>
      </w:r>
    </w:p>
    <w:p>
      <w:pPr>
        <w:spacing w:after="0" w:line="191" w:lineRule="exact"/>
        <w:rPr>
          <w:sz w:val="20"/>
          <w:szCs w:val="20"/>
          <w:color w:val="auto"/>
        </w:rPr>
      </w:pPr>
    </w:p>
    <w:p>
      <w:pPr>
        <w:ind w:right="60" w:firstLine="441"/>
        <w:spacing w:after="0" w:line="268" w:lineRule="auto"/>
        <w:rPr>
          <w:sz w:val="20"/>
          <w:szCs w:val="20"/>
          <w:color w:val="auto"/>
        </w:rPr>
      </w:pPr>
      <w:r>
        <w:rPr>
          <w:rFonts w:ascii="Times New Roman" w:cs="Times New Roman" w:eastAsia="Times New Roman" w:hAnsi="Times New Roman"/>
          <w:sz w:val="19"/>
          <w:szCs w:val="19"/>
          <w:color w:val="auto"/>
        </w:rPr>
        <w:t xml:space="preserve">In February 2023, the Company entered into an agreement with the stockholders of Cerveau Technologies, Inc. (“Cerveau”) to purchase all of the outstanding capital stock of Cerveau for approximately $35.3 million. In May 2023, upon successful completion of a technology transfer, the Company paid $10.0 million to the selling stockholders of Cerveau. This additional contingent payment was capitalized as part of the asset cost and increased the Company’s customer relationship intangible assets. See Note 21, </w:t>
      </w:r>
      <w:r>
        <w:rPr>
          <w:rFonts w:ascii="Times New Roman" w:cs="Times New Roman" w:eastAsia="Times New Roman" w:hAnsi="Times New Roman"/>
          <w:sz w:val="19"/>
          <w:szCs w:val="19"/>
          <w:i w:val="1"/>
          <w:iCs w:val="1"/>
          <w:color w:val="auto"/>
        </w:rPr>
        <w:t>“Acquisition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Assets” </w:t>
      </w:r>
      <w:r>
        <w:rPr>
          <w:rFonts w:ascii="Times New Roman" w:cs="Times New Roman" w:eastAsia="Times New Roman" w:hAnsi="Times New Roman"/>
          <w:sz w:val="19"/>
          <w:szCs w:val="19"/>
          <w:color w:val="auto"/>
        </w:rPr>
        <w:t>to these consolidated financial statements for further discussion of the Company’s acquisition of Cerveau.</w:t>
      </w:r>
    </w:p>
    <w:p>
      <w:pPr>
        <w:spacing w:after="0" w:line="191" w:lineRule="exact"/>
        <w:rPr>
          <w:sz w:val="20"/>
          <w:szCs w:val="20"/>
          <w:color w:val="auto"/>
        </w:rPr>
      </w:pPr>
    </w:p>
    <w:p>
      <w:pPr>
        <w:ind w:right="200" w:firstLine="441"/>
        <w:spacing w:after="0" w:line="249" w:lineRule="auto"/>
        <w:rPr>
          <w:sz w:val="20"/>
          <w:szCs w:val="20"/>
          <w:color w:val="auto"/>
        </w:rPr>
      </w:pPr>
      <w:r>
        <w:rPr>
          <w:rFonts w:ascii="Times New Roman" w:cs="Times New Roman" w:eastAsia="Times New Roman" w:hAnsi="Times New Roman"/>
          <w:sz w:val="20"/>
          <w:szCs w:val="20"/>
          <w:color w:val="auto"/>
        </w:rPr>
        <w:t xml:space="preserve">In June 2024, the Company entered into an agreement with the stockholders of Meilleur (“Meilleur Stockholders”) to purchase all of the outstanding capital stock of Meilleur (which holds the rights under a license agreement to develop and commercialize NAV-4694) for approximately $32.9 million. The Company recorded a developed technology intangible asset of $40.3 million as a result of the purchase price and the specific assets and liabilities of Meilleur that were acquired as part of the asset acquisition based on their value at the agreed upon closing date. In August 2024, upon successful completion of a technology transfer, the Company paid $10.0 million to the Meilleur Stockholders. This additional contingent payment was capitalized as part of the asset cost and increased the total value of the Company’s developed technology intangible assets. See Note 21, </w:t>
      </w:r>
      <w:r>
        <w:rPr>
          <w:rFonts w:ascii="Times New Roman" w:cs="Times New Roman" w:eastAsia="Times New Roman" w:hAnsi="Times New Roman"/>
          <w:sz w:val="20"/>
          <w:szCs w:val="20"/>
          <w:i w:val="1"/>
          <w:iCs w:val="1"/>
          <w:color w:val="auto"/>
        </w:rPr>
        <w:t>“Acquisition of Assets”</w:t>
      </w:r>
      <w:r>
        <w:rPr>
          <w:rFonts w:ascii="Times New Roman" w:cs="Times New Roman" w:eastAsia="Times New Roman" w:hAnsi="Times New Roman"/>
          <w:sz w:val="20"/>
          <w:szCs w:val="20"/>
          <w:color w:val="auto"/>
        </w:rPr>
        <w:t xml:space="preserve"> to these consolidated financial statements for further discussion of the acquisition of Meilleur.</w:t>
      </w:r>
    </w:p>
    <w:p>
      <w:pPr>
        <w:spacing w:after="0" w:line="208" w:lineRule="exact"/>
        <w:rPr>
          <w:sz w:val="20"/>
          <w:szCs w:val="20"/>
          <w:color w:val="auto"/>
        </w:rPr>
      </w:pPr>
    </w:p>
    <w:p>
      <w:pPr>
        <w:ind w:right="320" w:firstLine="441"/>
        <w:spacing w:after="0" w:line="271" w:lineRule="auto"/>
        <w:rPr>
          <w:sz w:val="20"/>
          <w:szCs w:val="20"/>
          <w:color w:val="auto"/>
        </w:rPr>
      </w:pPr>
      <w:r>
        <w:rPr>
          <w:rFonts w:ascii="Times New Roman" w:cs="Times New Roman" w:eastAsia="Times New Roman" w:hAnsi="Times New Roman"/>
          <w:sz w:val="20"/>
          <w:szCs w:val="20"/>
          <w:color w:val="auto"/>
        </w:rPr>
        <w:t>The below table summarizes the estimated aggregate amortization expense expected to be recognized on the above intangible assets:</w:t>
      </w:r>
    </w:p>
    <w:p>
      <w:pPr>
        <w:spacing w:after="0" w:line="19" w:lineRule="exact"/>
        <w:rPr>
          <w:sz w:val="20"/>
          <w:szCs w:val="20"/>
          <w:color w:val="auto"/>
        </w:rPr>
      </w:pPr>
    </w:p>
    <w:tbl>
      <w:tblPr>
        <w:tblLayout w:type="fixed"/>
        <w:tblInd w:w="3220" w:type="dxa"/>
        <w:tblCellMar>
          <w:top w:w="0" w:type="dxa"/>
          <w:left w:w="0" w:type="dxa"/>
          <w:bottom w:w="0" w:type="dxa"/>
          <w:right w:w="0" w:type="dxa"/>
        </w:tblCellMar>
      </w:tblPr>
      <w:tr>
        <w:trPr>
          <w:trHeight w:val="262"/>
        </w:trPr>
        <w:tc>
          <w:tcPr>
            <w:tcW w:w="2880" w:type="dxa"/>
            <w:vAlign w:val="bottom"/>
            <w:tcBorders>
              <w:bottom w:val="single" w:sz="8" w:color="E9E9E9"/>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20"/>
                <w:szCs w:val="20"/>
                <w:b w:val="1"/>
                <w:bCs w:val="1"/>
                <w:color w:val="auto"/>
              </w:rPr>
              <w:t>Amount</w:t>
            </w:r>
          </w:p>
        </w:tc>
      </w:tr>
      <w:tr>
        <w:trPr>
          <w:trHeight w:val="284"/>
        </w:trPr>
        <w:tc>
          <w:tcPr>
            <w:tcW w:w="288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2025</w:t>
            </w:r>
          </w:p>
        </w:tc>
        <w:tc>
          <w:tcPr>
            <w:tcW w:w="2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32,063</w:t>
            </w:r>
          </w:p>
        </w:tc>
      </w:tr>
      <w:tr>
        <w:trPr>
          <w:trHeight w:val="287"/>
        </w:trPr>
        <w:tc>
          <w:tcPr>
            <w:tcW w:w="28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2026</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32,861</w:t>
            </w:r>
          </w:p>
        </w:tc>
      </w:tr>
      <w:tr>
        <w:trPr>
          <w:trHeight w:val="301"/>
        </w:trPr>
        <w:tc>
          <w:tcPr>
            <w:tcW w:w="288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2027</w:t>
            </w:r>
          </w:p>
        </w:tc>
        <w:tc>
          <w:tcPr>
            <w:tcW w:w="220" w:type="dxa"/>
            <w:vAlign w:val="bottom"/>
            <w:shd w:val="clear" w:color="auto" w:fill="E9E9E9"/>
          </w:tcPr>
          <w:p>
            <w:pPr>
              <w:spacing w:after="0"/>
              <w:rPr>
                <w:sz w:val="24"/>
                <w:szCs w:val="24"/>
                <w:color w:val="auto"/>
              </w:rPr>
            </w:pPr>
          </w:p>
        </w:tc>
        <w:tc>
          <w:tcPr>
            <w:tcW w:w="10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27,335</w:t>
            </w:r>
          </w:p>
        </w:tc>
      </w:tr>
      <w:tr>
        <w:trPr>
          <w:trHeight w:val="287"/>
        </w:trPr>
        <w:tc>
          <w:tcPr>
            <w:tcW w:w="28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2028</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23,849</w:t>
            </w:r>
          </w:p>
        </w:tc>
      </w:tr>
      <w:tr>
        <w:trPr>
          <w:trHeight w:val="301"/>
        </w:trPr>
        <w:tc>
          <w:tcPr>
            <w:tcW w:w="288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2029</w:t>
            </w:r>
          </w:p>
        </w:tc>
        <w:tc>
          <w:tcPr>
            <w:tcW w:w="220" w:type="dxa"/>
            <w:vAlign w:val="bottom"/>
            <w:shd w:val="clear" w:color="auto" w:fill="E9E9E9"/>
          </w:tcPr>
          <w:p>
            <w:pPr>
              <w:spacing w:after="0"/>
              <w:rPr>
                <w:sz w:val="24"/>
                <w:szCs w:val="24"/>
                <w:color w:val="auto"/>
              </w:rPr>
            </w:pPr>
          </w:p>
        </w:tc>
        <w:tc>
          <w:tcPr>
            <w:tcW w:w="10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23,691</w:t>
            </w:r>
          </w:p>
        </w:tc>
      </w:tr>
      <w:tr>
        <w:trPr>
          <w:trHeight w:val="284"/>
        </w:trPr>
        <w:tc>
          <w:tcPr>
            <w:tcW w:w="2880" w:type="dxa"/>
            <w:vAlign w:val="bottom"/>
            <w:tcBorders>
              <w:bottom w:val="single" w:sz="8" w:color="E9E9E9"/>
            </w:tcBorders>
          </w:tcPr>
          <w:p>
            <w:pPr>
              <w:ind w:left="60"/>
              <w:spacing w:after="0"/>
              <w:rPr>
                <w:sz w:val="20"/>
                <w:szCs w:val="20"/>
                <w:color w:val="auto"/>
              </w:rPr>
            </w:pPr>
            <w:r>
              <w:rPr>
                <w:rFonts w:ascii="Times New Roman" w:cs="Times New Roman" w:eastAsia="Times New Roman" w:hAnsi="Times New Roman"/>
                <w:sz w:val="20"/>
                <w:szCs w:val="20"/>
                <w:color w:val="auto"/>
              </w:rPr>
              <w:t>2030 and thereafter</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21,962</w:t>
            </w:r>
          </w:p>
        </w:tc>
      </w:tr>
      <w:tr>
        <w:trPr>
          <w:trHeight w:val="294"/>
        </w:trPr>
        <w:tc>
          <w:tcPr>
            <w:tcW w:w="2880" w:type="dxa"/>
            <w:vAlign w:val="bottom"/>
            <w:tcBorders>
              <w:bottom w:val="single" w:sz="8" w:color="E9E9E9"/>
            </w:tcBorders>
            <w:shd w:val="clear" w:color="auto" w:fill="E9E9E9"/>
          </w:tcPr>
          <w:p>
            <w:pPr>
              <w:ind w:left="200"/>
              <w:spacing w:after="0"/>
              <w:rPr>
                <w:sz w:val="20"/>
                <w:szCs w:val="20"/>
                <w:color w:val="auto"/>
              </w:rPr>
            </w:pPr>
            <w:r>
              <w:rPr>
                <w:rFonts w:ascii="Times New Roman" w:cs="Times New Roman" w:eastAsia="Times New Roman" w:hAnsi="Times New Roman"/>
                <w:sz w:val="20"/>
                <w:szCs w:val="20"/>
                <w:color w:val="auto"/>
              </w:rPr>
              <w:t>Total</w:t>
            </w:r>
          </w:p>
        </w:tc>
        <w:tc>
          <w:tcPr>
            <w:tcW w:w="22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161,761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-43180</wp:posOffset>
            </wp:positionV>
            <wp:extent cx="837565" cy="501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37565" cy="50165"/>
                    </a:xfrm>
                    <a:prstGeom prst="rect">
                      <a:avLst/>
                    </a:prstGeom>
                    <a:noFill/>
                  </pic:spPr>
                </pic:pic>
              </a:graphicData>
            </a:graphic>
          </wp:anchor>
        </w:drawing>
      </w:r>
    </w:p>
    <w:p>
      <w:pPr>
        <w:sectPr>
          <w:pgSz w:w="11880" w:h="15480" w:orient="portrait"/>
          <w:cols w:equalWidth="0" w:num="1">
            <w:col w:w="10600"/>
          </w:cols>
          <w:pgMar w:left="640" w:top="622"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ectPr>
          <w:pgSz w:w="11880" w:h="15480" w:orient="portrait"/>
          <w:cols w:equalWidth="0" w:num="1">
            <w:col w:w="10600"/>
          </w:cols>
          <w:pgMar w:left="640" w:top="622" w:right="640" w:bottom="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20"/>
          <w:szCs w:val="20"/>
          <w:b w:val="1"/>
          <w:bCs w:val="1"/>
          <w:color w:val="auto"/>
        </w:rPr>
        <w:t>11. Accrued Expenses and Other Liabilities and Other Long-Term Liabilities</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Accrued expenses and other liabilities and other long-term liabilities are comprised of the following:</w:t>
      </w:r>
    </w:p>
    <w:p>
      <w:pPr>
        <w:spacing w:after="0" w:line="29" w:lineRule="exact"/>
        <w:rPr>
          <w:sz w:val="20"/>
          <w:szCs w:val="20"/>
          <w:color w:val="auto"/>
        </w:rPr>
      </w:pPr>
    </w:p>
    <w:tbl>
      <w:tblPr>
        <w:tblLayout w:type="fixed"/>
        <w:tblInd w:w="2060" w:type="dxa"/>
        <w:tblCellMar>
          <w:top w:w="0" w:type="dxa"/>
          <w:left w:w="0" w:type="dxa"/>
          <w:bottom w:w="0" w:type="dxa"/>
          <w:right w:w="0" w:type="dxa"/>
        </w:tblCellMar>
      </w:tblPr>
      <w:tr>
        <w:trPr>
          <w:trHeight w:val="262"/>
        </w:trPr>
        <w:tc>
          <w:tcPr>
            <w:tcW w:w="38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4"/>
          </w:tcPr>
          <w:p>
            <w:pPr>
              <w:jc w:val="right"/>
              <w:ind w:right="642"/>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59"/>
        </w:trPr>
        <w:tc>
          <w:tcPr>
            <w:tcW w:w="3860" w:type="dxa"/>
            <w:vAlign w:val="bottom"/>
            <w:tcBorders>
              <w:bottom w:val="single" w:sz="8" w:color="E9E9E9"/>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Borders>
              <w:bottom w:val="single" w:sz="8" w:color="E9E9E9"/>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9"/>
        </w:trPr>
        <w:tc>
          <w:tcPr>
            <w:tcW w:w="386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Compensation and benefits</w:t>
            </w:r>
          </w:p>
        </w:tc>
        <w:tc>
          <w:tcPr>
            <w:tcW w:w="300" w:type="dxa"/>
            <w:vAlign w:val="bottom"/>
            <w:shd w:val="clear" w:color="auto" w:fill="E9E9E9"/>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48,263</w:t>
            </w:r>
          </w:p>
        </w:tc>
        <w:tc>
          <w:tcPr>
            <w:tcW w:w="360" w:type="dxa"/>
            <w:vAlign w:val="bottom"/>
            <w:gridSpan w:val="2"/>
            <w:shd w:val="clear" w:color="auto" w:fill="E9E9E9"/>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36,331</w:t>
            </w:r>
          </w:p>
        </w:tc>
      </w:tr>
      <w:tr>
        <w:trPr>
          <w:trHeight w:val="273"/>
        </w:trPr>
        <w:tc>
          <w:tcPr>
            <w:tcW w:w="3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Freight, distribution and operations</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85,966</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67,529</w:t>
            </w:r>
          </w:p>
        </w:tc>
      </w:tr>
      <w:tr>
        <w:trPr>
          <w:trHeight w:val="285"/>
        </w:trPr>
        <w:tc>
          <w:tcPr>
            <w:tcW w:w="386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Accrued rebates, discounts and chargebacks</w:t>
            </w:r>
          </w:p>
        </w:tc>
        <w:tc>
          <w:tcPr>
            <w:tcW w:w="300" w:type="dxa"/>
            <w:vAlign w:val="bottom"/>
            <w:shd w:val="clear" w:color="auto" w:fill="E9E9E9"/>
          </w:tcPr>
          <w:p>
            <w:pPr>
              <w:spacing w:after="0"/>
              <w:rPr>
                <w:sz w:val="24"/>
                <w:szCs w:val="24"/>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25,248</w:t>
            </w:r>
          </w:p>
        </w:tc>
        <w:tc>
          <w:tcPr>
            <w:tcW w:w="60" w:type="dxa"/>
            <w:vAlign w:val="bottom"/>
            <w:shd w:val="clear" w:color="auto" w:fill="E9E9E9"/>
          </w:tcPr>
          <w:p>
            <w:pPr>
              <w:spacing w:after="0"/>
              <w:rPr>
                <w:sz w:val="24"/>
                <w:szCs w:val="24"/>
                <w:color w:val="auto"/>
              </w:rPr>
            </w:pPr>
          </w:p>
        </w:tc>
        <w:tc>
          <w:tcPr>
            <w:tcW w:w="300" w:type="dxa"/>
            <w:vAlign w:val="bottom"/>
            <w:shd w:val="clear" w:color="auto" w:fill="E9E9E9"/>
          </w:tcPr>
          <w:p>
            <w:pPr>
              <w:spacing w:after="0"/>
              <w:rPr>
                <w:sz w:val="24"/>
                <w:szCs w:val="24"/>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16,070</w:t>
            </w:r>
          </w:p>
        </w:tc>
      </w:tr>
      <w:tr>
        <w:trPr>
          <w:trHeight w:val="273"/>
        </w:trPr>
        <w:tc>
          <w:tcPr>
            <w:tcW w:w="3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Accrued research and development expenses</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13,219</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3,258</w:t>
            </w:r>
          </w:p>
        </w:tc>
      </w:tr>
      <w:tr>
        <w:trPr>
          <w:trHeight w:val="285"/>
        </w:trPr>
        <w:tc>
          <w:tcPr>
            <w:tcW w:w="386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Accrued professional fees</w:t>
            </w:r>
          </w:p>
        </w:tc>
        <w:tc>
          <w:tcPr>
            <w:tcW w:w="300" w:type="dxa"/>
            <w:vAlign w:val="bottom"/>
            <w:shd w:val="clear" w:color="auto" w:fill="E9E9E9"/>
          </w:tcPr>
          <w:p>
            <w:pPr>
              <w:spacing w:after="0"/>
              <w:rPr>
                <w:sz w:val="24"/>
                <w:szCs w:val="24"/>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20,308</w:t>
            </w:r>
          </w:p>
        </w:tc>
        <w:tc>
          <w:tcPr>
            <w:tcW w:w="60" w:type="dxa"/>
            <w:vAlign w:val="bottom"/>
            <w:shd w:val="clear" w:color="auto" w:fill="E9E9E9"/>
          </w:tcPr>
          <w:p>
            <w:pPr>
              <w:spacing w:after="0"/>
              <w:rPr>
                <w:sz w:val="24"/>
                <w:szCs w:val="24"/>
                <w:color w:val="auto"/>
              </w:rPr>
            </w:pPr>
          </w:p>
        </w:tc>
        <w:tc>
          <w:tcPr>
            <w:tcW w:w="300" w:type="dxa"/>
            <w:vAlign w:val="bottom"/>
            <w:shd w:val="clear" w:color="auto" w:fill="E9E9E9"/>
          </w:tcPr>
          <w:p>
            <w:pPr>
              <w:spacing w:after="0"/>
              <w:rPr>
                <w:sz w:val="24"/>
                <w:szCs w:val="24"/>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10,244</w:t>
            </w:r>
          </w:p>
        </w:tc>
      </w:tr>
      <w:tr>
        <w:trPr>
          <w:trHeight w:val="269"/>
        </w:trPr>
        <w:tc>
          <w:tcPr>
            <w:tcW w:w="3860" w:type="dxa"/>
            <w:vAlign w:val="bottom"/>
            <w:tcBorders>
              <w:bottom w:val="single" w:sz="8" w:color="E9E9E9"/>
            </w:tcBorders>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11,988</w:t>
            </w:r>
          </w:p>
        </w:tc>
        <w:tc>
          <w:tcPr>
            <w:tcW w:w="60" w:type="dxa"/>
            <w:vAlign w:val="bottom"/>
            <w:tcBorders>
              <w:bottom w:val="single" w:sz="8" w:color="E9E9E9"/>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11,906</w:t>
            </w:r>
          </w:p>
        </w:tc>
      </w:tr>
      <w:tr>
        <w:trPr>
          <w:trHeight w:val="279"/>
        </w:trPr>
        <w:tc>
          <w:tcPr>
            <w:tcW w:w="3860" w:type="dxa"/>
            <w:vAlign w:val="bottom"/>
            <w:shd w:val="clear" w:color="auto" w:fill="E9E9E9"/>
          </w:tcPr>
          <w:p>
            <w:pPr>
              <w:ind w:left="400"/>
              <w:spacing w:after="0"/>
              <w:rPr>
                <w:sz w:val="20"/>
                <w:szCs w:val="20"/>
                <w:color w:val="auto"/>
              </w:rPr>
            </w:pPr>
            <w:r>
              <w:rPr>
                <w:rFonts w:ascii="Times New Roman" w:cs="Times New Roman" w:eastAsia="Times New Roman" w:hAnsi="Times New Roman"/>
                <w:sz w:val="20"/>
                <w:szCs w:val="20"/>
                <w:color w:val="auto"/>
                <w:w w:val="99"/>
              </w:rPr>
              <w:t>Total accrued expenses and other liabilities</w:t>
            </w:r>
          </w:p>
        </w:tc>
        <w:tc>
          <w:tcPr>
            <w:tcW w:w="300" w:type="dxa"/>
            <w:vAlign w:val="bottom"/>
            <w:shd w:val="clear" w:color="auto" w:fill="E9E9E9"/>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204,992</w:t>
            </w:r>
          </w:p>
        </w:tc>
        <w:tc>
          <w:tcPr>
            <w:tcW w:w="360" w:type="dxa"/>
            <w:vAlign w:val="bottom"/>
            <w:gridSpan w:val="2"/>
            <w:shd w:val="clear" w:color="auto" w:fill="E9E9E9"/>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145,338</w:t>
            </w:r>
          </w:p>
        </w:tc>
      </w:tr>
      <w:tr>
        <w:trPr>
          <w:trHeight w:val="250"/>
        </w:trPr>
        <w:tc>
          <w:tcPr>
            <w:tcW w:w="3860" w:type="dxa"/>
            <w:vAlign w:val="bottom"/>
            <w:tcBorders>
              <w:top w:val="single" w:sz="8" w:color="E9E9E9"/>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60" w:type="dxa"/>
            <w:vAlign w:val="bottom"/>
            <w:tcBorders>
              <w:top w:val="single" w:sz="8" w:color="E9E9E9"/>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r>
      <w:tr>
        <w:trPr>
          <w:trHeight w:val="279"/>
        </w:trPr>
        <w:tc>
          <w:tcPr>
            <w:tcW w:w="386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Operating lease liabilities (Note 16)</w:t>
            </w:r>
          </w:p>
        </w:tc>
        <w:tc>
          <w:tcPr>
            <w:tcW w:w="300" w:type="dxa"/>
            <w:vAlign w:val="bottom"/>
            <w:shd w:val="clear" w:color="auto" w:fill="E9E9E9"/>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53,185</w:t>
            </w:r>
          </w:p>
        </w:tc>
        <w:tc>
          <w:tcPr>
            <w:tcW w:w="360" w:type="dxa"/>
            <w:vAlign w:val="bottom"/>
            <w:gridSpan w:val="2"/>
            <w:shd w:val="clear" w:color="auto" w:fill="E9E9E9"/>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54,453</w:t>
            </w:r>
          </w:p>
        </w:tc>
      </w:tr>
      <w:tr>
        <w:trPr>
          <w:trHeight w:val="273"/>
        </w:trPr>
        <w:tc>
          <w:tcPr>
            <w:tcW w:w="3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Long-term contingent liability (Note 4)</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2,700</w:t>
            </w:r>
          </w:p>
        </w:tc>
      </w:tr>
      <w:tr>
        <w:trPr>
          <w:trHeight w:val="294"/>
        </w:trPr>
        <w:tc>
          <w:tcPr>
            <w:tcW w:w="3860" w:type="dxa"/>
            <w:vAlign w:val="bottom"/>
            <w:tcBorders>
              <w:bottom w:val="single" w:sz="8" w:color="E9E9E9"/>
            </w:tcBorders>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Other long-term liabilities</w:t>
            </w:r>
          </w:p>
        </w:tc>
        <w:tc>
          <w:tcPr>
            <w:tcW w:w="300" w:type="dxa"/>
            <w:vAlign w:val="bottom"/>
            <w:tcBorders>
              <w:bottom w:val="single" w:sz="8" w:color="auto"/>
            </w:tcBorders>
            <w:shd w:val="clear" w:color="auto" w:fill="E9E9E9"/>
          </w:tcPr>
          <w:p>
            <w:pPr>
              <w:spacing w:after="0"/>
              <w:rPr>
                <w:sz w:val="24"/>
                <w:szCs w:val="24"/>
                <w:color w:val="auto"/>
              </w:rPr>
            </w:pPr>
          </w:p>
        </w:tc>
        <w:tc>
          <w:tcPr>
            <w:tcW w:w="9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9,995</w:t>
            </w:r>
          </w:p>
        </w:tc>
        <w:tc>
          <w:tcPr>
            <w:tcW w:w="60" w:type="dxa"/>
            <w:vAlign w:val="bottom"/>
            <w:tcBorders>
              <w:bottom w:val="single" w:sz="8" w:color="E9E9E9"/>
            </w:tcBorders>
            <w:shd w:val="clear" w:color="auto" w:fill="E9E9E9"/>
          </w:tcPr>
          <w:p>
            <w:pPr>
              <w:spacing w:after="0"/>
              <w:rPr>
                <w:sz w:val="24"/>
                <w:szCs w:val="24"/>
                <w:color w:val="auto"/>
              </w:rPr>
            </w:pPr>
          </w:p>
        </w:tc>
        <w:tc>
          <w:tcPr>
            <w:tcW w:w="300" w:type="dxa"/>
            <w:vAlign w:val="bottom"/>
            <w:tcBorders>
              <w:bottom w:val="single" w:sz="8" w:color="auto"/>
            </w:tcBorders>
            <w:shd w:val="clear" w:color="auto" w:fill="E9E9E9"/>
          </w:tcPr>
          <w:p>
            <w:pPr>
              <w:spacing w:after="0"/>
              <w:rPr>
                <w:sz w:val="24"/>
                <w:szCs w:val="24"/>
                <w:color w:val="auto"/>
              </w:rPr>
            </w:pPr>
          </w:p>
        </w:tc>
        <w:tc>
          <w:tcPr>
            <w:tcW w:w="9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6,168</w:t>
            </w:r>
          </w:p>
        </w:tc>
      </w:tr>
      <w:tr>
        <w:trPr>
          <w:trHeight w:val="221"/>
        </w:trPr>
        <w:tc>
          <w:tcPr>
            <w:tcW w:w="3860" w:type="dxa"/>
            <w:vAlign w:val="bottom"/>
          </w:tcPr>
          <w:p>
            <w:pPr>
              <w:ind w:left="400"/>
              <w:spacing w:after="0" w:line="221" w:lineRule="exact"/>
              <w:rPr>
                <w:sz w:val="20"/>
                <w:szCs w:val="20"/>
                <w:color w:val="auto"/>
              </w:rPr>
            </w:pPr>
            <w:r>
              <w:rPr>
                <w:rFonts w:ascii="Times New Roman" w:cs="Times New Roman" w:eastAsia="Times New Roman" w:hAnsi="Times New Roman"/>
                <w:sz w:val="20"/>
                <w:szCs w:val="20"/>
                <w:color w:val="auto"/>
              </w:rPr>
              <w:t>Total other long-term liabilities</w:t>
            </w:r>
          </w:p>
        </w:tc>
        <w:tc>
          <w:tcPr>
            <w:tcW w:w="300" w:type="dxa"/>
            <w:vAlign w:val="bottom"/>
          </w:tcPr>
          <w:p>
            <w:pPr>
              <w:jc w:val="right"/>
              <w:ind w:right="62"/>
              <w:spacing w:after="0" w:line="221"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63,180</w:t>
            </w:r>
          </w:p>
        </w:tc>
        <w:tc>
          <w:tcPr>
            <w:tcW w:w="360" w:type="dxa"/>
            <w:vAlign w:val="bottom"/>
            <w:gridSpan w:val="2"/>
          </w:tcPr>
          <w:p>
            <w:pPr>
              <w:jc w:val="right"/>
              <w:ind w:right="140"/>
              <w:spacing w:after="0" w:line="221"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63,321</w:t>
            </w:r>
          </w:p>
        </w:tc>
      </w:tr>
      <w:tr>
        <w:trPr>
          <w:trHeight w:val="20"/>
        </w:trPr>
        <w:tc>
          <w:tcPr>
            <w:tcW w:w="38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3744595</wp:posOffset>
            </wp:positionH>
            <wp:positionV relativeFrom="paragraph">
              <wp:posOffset>-930275</wp:posOffset>
            </wp:positionV>
            <wp:extent cx="1696085" cy="501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96085" cy="50165"/>
                    </a:xfrm>
                    <a:prstGeom prst="rect">
                      <a:avLst/>
                    </a:prstGeom>
                    <a:noFill/>
                  </pic:spPr>
                </pic:pic>
              </a:graphicData>
            </a:graphic>
          </wp:anchor>
        </w:drawing>
        <w:drawing>
          <wp:anchor simplePos="0" relativeHeight="251657728" behindDoc="1" locked="0" layoutInCell="0" allowOverlap="1">
            <wp:simplePos x="0" y="0"/>
            <wp:positionH relativeFrom="column">
              <wp:posOffset>3744595</wp:posOffset>
            </wp:positionH>
            <wp:positionV relativeFrom="paragraph">
              <wp:posOffset>-43180</wp:posOffset>
            </wp:positionV>
            <wp:extent cx="1696085" cy="501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696085" cy="5016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Long-Term Debt, Net, and Other Borrowings</w:t>
      </w:r>
    </w:p>
    <w:p>
      <w:pPr>
        <w:spacing w:after="0" w:line="130" w:lineRule="exact"/>
        <w:rPr>
          <w:sz w:val="20"/>
          <w:szCs w:val="20"/>
          <w:color w:val="auto"/>
        </w:rPr>
      </w:pPr>
    </w:p>
    <w:p>
      <w:pPr>
        <w:ind w:right="160" w:firstLine="441"/>
        <w:spacing w:after="0" w:line="271" w:lineRule="auto"/>
        <w:rPr>
          <w:sz w:val="20"/>
          <w:szCs w:val="20"/>
          <w:color w:val="auto"/>
        </w:rPr>
      </w:pPr>
      <w:r>
        <w:rPr>
          <w:rFonts w:ascii="Times New Roman" w:cs="Times New Roman" w:eastAsia="Times New Roman" w:hAnsi="Times New Roman"/>
          <w:sz w:val="20"/>
          <w:szCs w:val="20"/>
          <w:color w:val="auto"/>
        </w:rPr>
        <w:t>As of December 31, 2024, the Company’s maturities of principal obligations under its long-term debt and other borrowings are as follows:</w:t>
      </w:r>
    </w:p>
    <w:p>
      <w:pPr>
        <w:spacing w:after="0" w:line="44"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506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180" w:type="dxa"/>
            <w:vAlign w:val="bottom"/>
          </w:tcPr>
          <w:p>
            <w:pPr>
              <w:spacing w:after="0"/>
              <w:rPr>
                <w:sz w:val="19"/>
                <w:szCs w:val="19"/>
                <w:color w:val="auto"/>
              </w:rPr>
            </w:pPr>
          </w:p>
        </w:tc>
        <w:tc>
          <w:tcPr>
            <w:tcW w:w="1400" w:type="dxa"/>
            <w:vAlign w:val="bottom"/>
          </w:tcPr>
          <w:p>
            <w:pPr>
              <w:jc w:val="right"/>
              <w:ind w:right="122"/>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22"/>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0" w:type="dxa"/>
            <w:vAlign w:val="bottom"/>
          </w:tcPr>
          <w:p>
            <w:pPr>
              <w:spacing w:after="0"/>
              <w:rPr>
                <w:sz w:val="1"/>
                <w:szCs w:val="1"/>
                <w:color w:val="auto"/>
              </w:rPr>
            </w:pPr>
          </w:p>
        </w:tc>
      </w:tr>
      <w:tr>
        <w:trPr>
          <w:trHeight w:val="258"/>
        </w:trPr>
        <w:tc>
          <w:tcPr>
            <w:tcW w:w="5060" w:type="dxa"/>
            <w:vAlign w:val="bottom"/>
            <w:tcBorders>
              <w:bottom w:val="single" w:sz="8" w:color="E9E9E9"/>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20"/>
                <w:szCs w:val="20"/>
                <w:b w:val="1"/>
                <w:bCs w:val="1"/>
                <w:color w:val="auto"/>
              </w:rPr>
              <w:t>2024</w:t>
            </w:r>
          </w:p>
        </w:tc>
        <w:tc>
          <w:tcPr>
            <w:tcW w:w="220" w:type="dxa"/>
            <w:vAlign w:val="bottom"/>
            <w:tcBorders>
              <w:bottom w:val="single" w:sz="8" w:color="E9E9E9"/>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84"/>
        </w:trPr>
        <w:tc>
          <w:tcPr>
            <w:tcW w:w="506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Principal amount 2.625% Convertible Senior Notes due 2027</w:t>
            </w:r>
          </w:p>
        </w:tc>
        <w:tc>
          <w:tcPr>
            <w:tcW w:w="1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575,000</w:t>
            </w:r>
          </w:p>
        </w:tc>
        <w:tc>
          <w:tcPr>
            <w:tcW w:w="400" w:type="dxa"/>
            <w:vAlign w:val="bottom"/>
            <w:gridSpan w:val="2"/>
            <w:shd w:val="clear" w:color="auto" w:fill="E9E9E9"/>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575,000</w:t>
            </w:r>
          </w:p>
        </w:tc>
        <w:tc>
          <w:tcPr>
            <w:tcW w:w="0" w:type="dxa"/>
            <w:vAlign w:val="bottom"/>
          </w:tcPr>
          <w:p>
            <w:pPr>
              <w:spacing w:after="0"/>
              <w:rPr>
                <w:sz w:val="1"/>
                <w:szCs w:val="1"/>
                <w:color w:val="auto"/>
              </w:rPr>
            </w:pPr>
          </w:p>
        </w:tc>
      </w:tr>
      <w:tr>
        <w:trPr>
          <w:trHeight w:val="267"/>
        </w:trPr>
        <w:tc>
          <w:tcPr>
            <w:tcW w:w="50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Unamortized debt issuance costs</w:t>
            </w: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(10,392)</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(13,955)</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6"/>
        </w:trPr>
        <w:tc>
          <w:tcPr>
            <w:tcW w:w="5060" w:type="dxa"/>
            <w:vAlign w:val="bottom"/>
            <w:tcBorders>
              <w:bottom w:val="single" w:sz="8" w:color="E9E9E9"/>
            </w:tcBorders>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Finance lease liabilities</w:t>
            </w:r>
          </w:p>
        </w:tc>
        <w:tc>
          <w:tcPr>
            <w:tcW w:w="180" w:type="dxa"/>
            <w:vAlign w:val="bottom"/>
            <w:tcBorders>
              <w:bottom w:val="single" w:sz="8" w:color="auto"/>
            </w:tcBorders>
            <w:shd w:val="clear" w:color="auto" w:fill="E9E9E9"/>
          </w:tcPr>
          <w:p>
            <w:pPr>
              <w:spacing w:after="0"/>
              <w:rPr>
                <w:sz w:val="24"/>
                <w:szCs w:val="24"/>
                <w:color w:val="auto"/>
              </w:rPr>
            </w:pPr>
          </w:p>
        </w:tc>
        <w:tc>
          <w:tcPr>
            <w:tcW w:w="140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1,645</w:t>
            </w:r>
          </w:p>
        </w:tc>
        <w:tc>
          <w:tcPr>
            <w:tcW w:w="220" w:type="dxa"/>
            <w:vAlign w:val="bottom"/>
            <w:tcBorders>
              <w:bottom w:val="single" w:sz="8" w:color="E9E9E9"/>
            </w:tcBorders>
            <w:shd w:val="clear" w:color="auto" w:fill="E9E9E9"/>
          </w:tcPr>
          <w:p>
            <w:pPr>
              <w:spacing w:after="0"/>
              <w:rPr>
                <w:sz w:val="24"/>
                <w:szCs w:val="24"/>
                <w:color w:val="auto"/>
              </w:rPr>
            </w:pPr>
          </w:p>
        </w:tc>
        <w:tc>
          <w:tcPr>
            <w:tcW w:w="180" w:type="dxa"/>
            <w:vAlign w:val="bottom"/>
            <w:tcBorders>
              <w:bottom w:val="single" w:sz="8" w:color="auto"/>
            </w:tcBorders>
            <w:shd w:val="clear" w:color="auto" w:fill="E9E9E9"/>
          </w:tcPr>
          <w:p>
            <w:pPr>
              <w:spacing w:after="0"/>
              <w:rPr>
                <w:sz w:val="24"/>
                <w:szCs w:val="24"/>
                <w:color w:val="auto"/>
              </w:rPr>
            </w:pPr>
          </w:p>
        </w:tc>
        <w:tc>
          <w:tcPr>
            <w:tcW w:w="140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1,448</w:t>
            </w:r>
          </w:p>
        </w:tc>
        <w:tc>
          <w:tcPr>
            <w:tcW w:w="0" w:type="dxa"/>
            <w:vAlign w:val="bottom"/>
          </w:tcPr>
          <w:p>
            <w:pPr>
              <w:spacing w:after="0"/>
              <w:rPr>
                <w:sz w:val="1"/>
                <w:szCs w:val="1"/>
                <w:color w:val="auto"/>
              </w:rPr>
            </w:pPr>
          </w:p>
        </w:tc>
      </w:tr>
      <w:tr>
        <w:trPr>
          <w:trHeight w:val="246"/>
        </w:trPr>
        <w:tc>
          <w:tcPr>
            <w:tcW w:w="50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566,253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562,493</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6"/>
        </w:trPr>
        <w:tc>
          <w:tcPr>
            <w:tcW w:w="5060" w:type="dxa"/>
            <w:vAlign w:val="bottom"/>
            <w:tcBorders>
              <w:bottom w:val="single" w:sz="8" w:color="E9E9E9"/>
            </w:tcBorders>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Less: current portion of long-term debt and other borrowings</w:t>
            </w:r>
          </w:p>
        </w:tc>
        <w:tc>
          <w:tcPr>
            <w:tcW w:w="180" w:type="dxa"/>
            <w:vAlign w:val="bottom"/>
            <w:tcBorders>
              <w:bottom w:val="single" w:sz="8" w:color="auto"/>
            </w:tcBorders>
            <w:shd w:val="clear" w:color="auto" w:fill="E9E9E9"/>
          </w:tcPr>
          <w:p>
            <w:pPr>
              <w:spacing w:after="0"/>
              <w:rPr>
                <w:sz w:val="24"/>
                <w:szCs w:val="24"/>
                <w:color w:val="auto"/>
              </w:rPr>
            </w:pPr>
          </w:p>
        </w:tc>
        <w:tc>
          <w:tcPr>
            <w:tcW w:w="140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(974)</w:t>
            </w:r>
          </w:p>
        </w:tc>
        <w:tc>
          <w:tcPr>
            <w:tcW w:w="220" w:type="dxa"/>
            <w:vAlign w:val="bottom"/>
            <w:tcBorders>
              <w:bottom w:val="single" w:sz="8" w:color="E9E9E9"/>
            </w:tcBorders>
            <w:shd w:val="clear" w:color="auto" w:fill="E9E9E9"/>
          </w:tcPr>
          <w:p>
            <w:pPr>
              <w:spacing w:after="0"/>
              <w:rPr>
                <w:sz w:val="24"/>
                <w:szCs w:val="24"/>
                <w:color w:val="auto"/>
              </w:rPr>
            </w:pPr>
          </w:p>
        </w:tc>
        <w:tc>
          <w:tcPr>
            <w:tcW w:w="180" w:type="dxa"/>
            <w:vAlign w:val="bottom"/>
            <w:tcBorders>
              <w:bottom w:val="single" w:sz="8" w:color="auto"/>
            </w:tcBorders>
            <w:shd w:val="clear" w:color="auto" w:fill="E9E9E9"/>
          </w:tcPr>
          <w:p>
            <w:pPr>
              <w:spacing w:after="0"/>
              <w:rPr>
                <w:sz w:val="24"/>
                <w:szCs w:val="24"/>
                <w:color w:val="auto"/>
              </w:rPr>
            </w:pPr>
          </w:p>
        </w:tc>
        <w:tc>
          <w:tcPr>
            <w:tcW w:w="140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(823)</w:t>
            </w:r>
          </w:p>
        </w:tc>
        <w:tc>
          <w:tcPr>
            <w:tcW w:w="0" w:type="dxa"/>
            <w:vAlign w:val="bottom"/>
          </w:tcPr>
          <w:p>
            <w:pPr>
              <w:spacing w:after="0"/>
              <w:rPr>
                <w:sz w:val="1"/>
                <w:szCs w:val="1"/>
                <w:color w:val="auto"/>
              </w:rPr>
            </w:pPr>
          </w:p>
        </w:tc>
      </w:tr>
      <w:tr>
        <w:trPr>
          <w:trHeight w:val="243"/>
        </w:trPr>
        <w:tc>
          <w:tcPr>
            <w:tcW w:w="50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 long-term debt, net, and other borrowings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565,279</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561,670</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3889375</wp:posOffset>
            </wp:positionH>
            <wp:positionV relativeFrom="paragraph">
              <wp:posOffset>-43180</wp:posOffset>
            </wp:positionV>
            <wp:extent cx="2162810" cy="501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62810" cy="5016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2022 Revolving Facility</w:t>
      </w:r>
    </w:p>
    <w:p>
      <w:pPr>
        <w:spacing w:after="0" w:line="131" w:lineRule="exact"/>
        <w:rPr>
          <w:sz w:val="20"/>
          <w:szCs w:val="20"/>
          <w:color w:val="auto"/>
        </w:rPr>
      </w:pPr>
    </w:p>
    <w:p>
      <w:pPr>
        <w:ind w:firstLine="441"/>
        <w:spacing w:after="0" w:line="249" w:lineRule="auto"/>
        <w:rPr>
          <w:sz w:val="20"/>
          <w:szCs w:val="20"/>
          <w:color w:val="auto"/>
        </w:rPr>
      </w:pPr>
      <w:r>
        <w:rPr>
          <w:rFonts w:ascii="Times New Roman" w:cs="Times New Roman" w:eastAsia="Times New Roman" w:hAnsi="Times New Roman"/>
          <w:sz w:val="20"/>
          <w:szCs w:val="20"/>
          <w:color w:val="auto"/>
        </w:rPr>
        <w:t>In December 2024, the Company entered into an amendment to its $350.0 million five-year revolving credit facility, which, among other things, increased the facility from $350.0 million to $750.0 million (as amended, the “2022 Revolving Facility”) and extended the maturity date from December 2, 2027 to December 19, 2029. Under the terms of the 2022 Revolving Facility, the lenders are committed to extending credit to the Company from time to time consisting of revolving loans (the “Revolving Loans”) in an aggregate principal amount not to exceed $750.0 million (the “Revolving Commitment”) at any time, including a $40.0 million sub-facility for the issuance of letters of credit (the “Letters of Credit”) and a $20.0 million sub-facility for swingline loans (the “Swingline Loans”). The Revolving Loans, Letters of Credit, and the Swingline Loans, if used, are expected to be used for working capital and for other general corporate purposes.</w:t>
      </w:r>
    </w:p>
    <w:p>
      <w:pPr>
        <w:spacing w:after="0" w:line="90"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9"/>
          <w:szCs w:val="19"/>
          <w:color w:val="auto"/>
        </w:rPr>
        <w:t>The Revolving Loans bear interest, with pricing based from time to time at the Company’s election, at (i) the secured overnight financing rate as published by the Federal Reserve Bank of New York on its website plus an applicable margin that ranges from 1.25% to 2.00% based on the Company’s total net leverage ratio or (ii) the alternative base rate plus an applicable margin that ranges from</w:t>
      </w:r>
    </w:p>
    <w:p>
      <w:pPr>
        <w:spacing w:after="0" w:line="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0.25% to 1.00%, in either case, based on the Company’s total net leverage ratio. The 2022 Revolving Facility also includes an unused commitment fee at a rate ranging from 0.15% to 0.30% per annum based on the Company’s total net leverage ratio. Interest associated with the unused commitment is recorded to accrued expenses and other liabilities on the consolidated balance sheet and paid out on a quarterly basis.</w:t>
      </w:r>
    </w:p>
    <w:p>
      <w:pPr>
        <w:spacing w:after="0" w:line="85" w:lineRule="exact"/>
        <w:rPr>
          <w:sz w:val="20"/>
          <w:szCs w:val="20"/>
          <w:color w:val="auto"/>
        </w:rPr>
      </w:pPr>
    </w:p>
    <w:p>
      <w:pPr>
        <w:ind w:right="140" w:firstLine="441"/>
        <w:spacing w:after="0" w:line="252" w:lineRule="auto"/>
        <w:rPr>
          <w:sz w:val="20"/>
          <w:szCs w:val="20"/>
          <w:color w:val="auto"/>
        </w:rPr>
      </w:pPr>
      <w:r>
        <w:rPr>
          <w:rFonts w:ascii="Times New Roman" w:cs="Times New Roman" w:eastAsia="Times New Roman" w:hAnsi="Times New Roman"/>
          <w:sz w:val="20"/>
          <w:szCs w:val="20"/>
          <w:color w:val="auto"/>
        </w:rPr>
        <w:t>The Company is permitted to voluntarily prepay the Revolving Loans, in whole or in part, or reduce or terminate the Revolving Commitment, in each case, without premium or penalty. On any business day on which the total amount of outstanding Revolving Loans, Letters of Credit and Swingline Loans exceeds the total Revolving Commitment, the Company must prepay the Revolving Loans in an amount equal to such excess. The Company is not required to make mandatory prepayments under the 2022 Revolving Facility. As of December 31, 2024, there were no outstanding borrowings under the 2022 Revolving Facility.</w:t>
      </w:r>
    </w:p>
    <w:p>
      <w:pPr>
        <w:sectPr>
          <w:pgSz w:w="11880" w:h="15480" w:orient="portrait"/>
          <w:cols w:equalWidth="0" w:num="1">
            <w:col w:w="10580"/>
          </w:cols>
          <w:pgMar w:left="640" w:top="615" w:right="660" w:bottom="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108</w:t>
      </w:r>
    </w:p>
    <w:p>
      <w:pPr>
        <w:sectPr>
          <w:pgSz w:w="11880" w:h="15480" w:orient="portrait"/>
          <w:cols w:equalWidth="0" w:num="1">
            <w:col w:w="10580"/>
          </w:cols>
          <w:pgMar w:left="640" w:top="615" w:right="660" w:bottom="0" w:gutter="0" w:footer="0" w:header="0"/>
          <w:type w:val="continuous"/>
        </w:sectPr>
      </w:pPr>
    </w:p>
    <w:bookmarkStart w:id="114" w:name="page115"/>
    <w:bookmarkEnd w:id="114"/>
    <w:p>
      <w:pPr>
        <w:ind w:right="40" w:firstLine="441"/>
        <w:spacing w:after="0" w:line="249" w:lineRule="auto"/>
        <w:rPr>
          <w:sz w:val="20"/>
          <w:szCs w:val="20"/>
          <w:color w:val="auto"/>
        </w:rPr>
      </w:pPr>
      <w:r>
        <w:rPr>
          <w:rFonts w:ascii="Times New Roman" w:cs="Times New Roman" w:eastAsia="Times New Roman" w:hAnsi="Times New Roman"/>
          <w:sz w:val="20"/>
          <w:szCs w:val="20"/>
          <w:color w:val="auto"/>
        </w:rPr>
        <w:t>The Company has the right to request an increase to the Revolving Commitment in an aggregate principal amount of up to the greater of the sum of $685.0 million (so that the total amount available is $1.44 billion) or 100% of consolidated earnings before interest, taxes, depreciation and amortization for the four consecutive fiscal quarters most recently ended, plus additional amounts in certain circumstances (collectively, the “Incremental Cap”), minus certain incremental term loans made pursuant to specified incremental term loan commitments (“Incremental Term Loans”). The Company has the right to request Incremental Term Loans in an aggregate principal amount of up to the Incremental Cap less any incremental increases to the Revolving Commitment. Proceeds of Incremental Term Loans may be used for working capital and for other general corporate purposes and will bear interest at rates agreed between the Company and the lenders providing the Incremental Term Loans.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2022 Revolving Facility Covenants</w:t>
      </w:r>
    </w:p>
    <w:p>
      <w:pPr>
        <w:spacing w:after="0" w:line="131" w:lineRule="exact"/>
        <w:rPr>
          <w:sz w:val="20"/>
          <w:szCs w:val="20"/>
          <w:color w:val="auto"/>
        </w:rPr>
      </w:pPr>
    </w:p>
    <w:p>
      <w:pPr>
        <w:ind w:right="60" w:firstLine="441"/>
        <w:spacing w:after="0" w:line="252" w:lineRule="auto"/>
        <w:rPr>
          <w:sz w:val="20"/>
          <w:szCs w:val="20"/>
          <w:color w:val="auto"/>
        </w:rPr>
      </w:pPr>
      <w:r>
        <w:rPr>
          <w:rFonts w:ascii="Times New Roman" w:cs="Times New Roman" w:eastAsia="Times New Roman" w:hAnsi="Times New Roman"/>
          <w:sz w:val="20"/>
          <w:szCs w:val="20"/>
          <w:color w:val="auto"/>
        </w:rPr>
        <w:t>The 2022 Revolving Facility contains a number of affirmative, negative and reporting covenants, as well as financial maintenance covenants pursuant to which the Company is required to be in quarterly compliance, measured on a trailing four quarter basis, with two financial covenants. The minimum interest coverage ratio must be at least 3.00 to 1.00. The maximum total net leverage ratio permitted by the financial covenant is 3.50 to 1.00, other than in connection with certain acquisitions, in which case, the maximum total net leverage ratio permitted can be increased to 4.00 to 1.00.</w:t>
      </w:r>
    </w:p>
    <w:p>
      <w:pPr>
        <w:spacing w:after="0" w:line="204" w:lineRule="exact"/>
        <w:rPr>
          <w:sz w:val="20"/>
          <w:szCs w:val="20"/>
          <w:color w:val="auto"/>
        </w:rPr>
      </w:pPr>
    </w:p>
    <w:p>
      <w:pPr>
        <w:jc w:val="both"/>
        <w:ind w:right="140" w:firstLine="441"/>
        <w:spacing w:after="0" w:line="258" w:lineRule="auto"/>
        <w:rPr>
          <w:sz w:val="20"/>
          <w:szCs w:val="20"/>
          <w:color w:val="auto"/>
        </w:rPr>
      </w:pPr>
      <w:r>
        <w:rPr>
          <w:rFonts w:ascii="Times New Roman" w:cs="Times New Roman" w:eastAsia="Times New Roman" w:hAnsi="Times New Roman"/>
          <w:sz w:val="19"/>
          <w:szCs w:val="19"/>
          <w:color w:val="auto"/>
        </w:rPr>
        <w:t>The 2022 Revolving Facility contains usual and customary restrictions on the ability of the Company and its subsidiaries to: (i) incur additional indebtedness (ii) create liens; (iii) consolidate, merge, sell or otherwise dispose of all or substantially all of its assets;</w:t>
      </w:r>
    </w:p>
    <w:p>
      <w:pPr>
        <w:spacing w:after="0" w:line="1" w:lineRule="exact"/>
        <w:rPr>
          <w:sz w:val="20"/>
          <w:szCs w:val="20"/>
          <w:color w:val="auto"/>
        </w:rPr>
      </w:pPr>
    </w:p>
    <w:p>
      <w:pPr>
        <w:ind w:right="300" w:firstLine="8"/>
        <w:spacing w:after="0" w:line="258" w:lineRule="auto"/>
        <w:tabs>
          <w:tab w:leader="none" w:pos="332"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 certain assets; (v) pay dividends on, repurchase or make distributions in respect of capital stock or make other restricted payments; (vi) make certain investments; (vii) repay subordinated indebtedness prior to stated maturity; and (viii) enter into certain transactions with its affiliates.</w:t>
      </w:r>
    </w:p>
    <w:p>
      <w:pPr>
        <w:spacing w:after="0" w:line="82" w:lineRule="exact"/>
        <w:rPr>
          <w:sz w:val="20"/>
          <w:szCs w:val="20"/>
          <w:color w:val="auto"/>
        </w:rPr>
      </w:pPr>
    </w:p>
    <w:p>
      <w:pPr>
        <w:ind w:right="380" w:firstLine="441"/>
        <w:spacing w:after="0" w:line="271" w:lineRule="auto"/>
        <w:rPr>
          <w:sz w:val="20"/>
          <w:szCs w:val="20"/>
          <w:color w:val="auto"/>
        </w:rPr>
      </w:pPr>
      <w:r>
        <w:rPr>
          <w:rFonts w:ascii="Times New Roman" w:cs="Times New Roman" w:eastAsia="Times New Roman" w:hAnsi="Times New Roman"/>
          <w:sz w:val="20"/>
          <w:szCs w:val="20"/>
          <w:color w:val="auto"/>
        </w:rPr>
        <w:t>Upon an event of default, the Administrative Agent will have the right to declare the loans and other obligations outstanding under the 2022 Revolving Facility immediately due and payable and all commitments immediately terminated.</w:t>
      </w:r>
    </w:p>
    <w:p>
      <w:pPr>
        <w:spacing w:after="0" w:line="186" w:lineRule="exact"/>
        <w:rPr>
          <w:sz w:val="20"/>
          <w:szCs w:val="20"/>
          <w:color w:val="auto"/>
        </w:rPr>
      </w:pPr>
    </w:p>
    <w:p>
      <w:pPr>
        <w:ind w:right="20" w:firstLine="441"/>
        <w:spacing w:after="0" w:line="271" w:lineRule="auto"/>
        <w:rPr>
          <w:sz w:val="20"/>
          <w:szCs w:val="20"/>
          <w:color w:val="auto"/>
        </w:rPr>
      </w:pPr>
      <w:r>
        <w:rPr>
          <w:rFonts w:ascii="Times New Roman" w:cs="Times New Roman" w:eastAsia="Times New Roman" w:hAnsi="Times New Roman"/>
          <w:sz w:val="19"/>
          <w:szCs w:val="19"/>
          <w:color w:val="auto"/>
        </w:rPr>
        <w:t>The 2022 Revolving Facility is guaranteed by Lantheus Holdings, and certain subsidiaries of LMI, including Progenics and Lantheus Real Estate, and obligations under the 2022 Revolving Facility are generally secured by first priority liens over substantially all of the assets of each of LMI, Lantheus Holdings, and certain subsidiaries of LMI, including Progenics and Lantheus MI Real Estate (subject to customary exclusions set forth in the transaction documents) owned as of December 2, 2022 or thereafter acquired.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2.625% Convertible Senior Notes due 2027</w:t>
      </w:r>
    </w:p>
    <w:p>
      <w:pPr>
        <w:spacing w:after="0" w:line="131" w:lineRule="exact"/>
        <w:rPr>
          <w:sz w:val="20"/>
          <w:szCs w:val="20"/>
          <w:color w:val="auto"/>
        </w:rPr>
      </w:pPr>
    </w:p>
    <w:p>
      <w:pPr>
        <w:jc w:val="both"/>
        <w:ind w:right="20" w:firstLine="441"/>
        <w:spacing w:after="0" w:line="250" w:lineRule="auto"/>
        <w:rPr>
          <w:sz w:val="20"/>
          <w:szCs w:val="20"/>
          <w:color w:val="auto"/>
        </w:rPr>
      </w:pPr>
      <w:r>
        <w:rPr>
          <w:rFonts w:ascii="Times New Roman" w:cs="Times New Roman" w:eastAsia="Times New Roman" w:hAnsi="Times New Roman"/>
          <w:sz w:val="20"/>
          <w:szCs w:val="20"/>
          <w:color w:val="auto"/>
        </w:rPr>
        <w:t>On December 8, 2022, the Company issued $575.0 million in aggregate principal amount of 2.625% Convertible Senior Notes due 2027 (the “Notes”), which includes $75.0 million in aggregate principal amount of Notes sold pursuant to the full exercise of the initial purchasers’ option to purchase additional Notes. The Notes were issued under an indenture, dated as of December 8, 2022 (the “Indenture”), among the Company, LMI (the “Guarantor”), a wholly owned subsidiary of the Company, as Guarantor, and U.S. Bank Trust Company, National Association, as Trustee. The net proceeds from the issuance of the Notes were approximately $557.8 million after deducting the initial purchasers’ discounts and offering expenses payable by the Company.</w:t>
      </w:r>
    </w:p>
    <w:p>
      <w:pPr>
        <w:spacing w:after="0" w:line="209" w:lineRule="exact"/>
        <w:rPr>
          <w:sz w:val="20"/>
          <w:szCs w:val="20"/>
          <w:color w:val="auto"/>
        </w:rPr>
      </w:pPr>
    </w:p>
    <w:p>
      <w:pPr>
        <w:ind w:firstLine="441"/>
        <w:spacing w:after="0" w:line="260" w:lineRule="auto"/>
        <w:rPr>
          <w:sz w:val="20"/>
          <w:szCs w:val="20"/>
          <w:color w:val="auto"/>
        </w:rPr>
      </w:pPr>
      <w:r>
        <w:rPr>
          <w:rFonts w:ascii="Times New Roman" w:cs="Times New Roman" w:eastAsia="Times New Roman" w:hAnsi="Times New Roman"/>
          <w:sz w:val="19"/>
          <w:szCs w:val="19"/>
          <w:color w:val="auto"/>
        </w:rPr>
        <w:t>The Notes are senior unsecured obligations of the Company. The Notes are fully and unconditionally guaranteed on a senior unsecured basis by the Guarantor. The Notes bear interest at a rate of 2.625% per year, payable semi-annually in arrears on June 15 and December 15 of each year, beginning on June 15, 2023, and will mature on December 15, 2027 unless earlier redeemed, repurchased or converted in accordance with their terms. The initial conversion rate for the Notes is 12.5291 shares of the Company’s common stock per $1,000 in principal amount of Notes (which is equivalent to an initial conversion price of approximately $79.81 per share of the Company’s common stock, representing an initial conversion premium of approximately 42.5% above the closing price of $56.01 per share of the Company’s common stock on December 5, 2022). In no event shall the conversation rate per $1,000 in principal amount of notes exceed 17.8539 shares of the Company’s common stock. Prior to the close of business on the business day immediately preceding September 15, 2027, the Notes may be converted at the option of the holders only upon occurrence of specified events and during certain periods, and thereafter until the close of business on the business day immediately preceding the maturity date, the Notes may be converted at any time. The Company will satisfy any conversion by paying cash up to the aggregate principal amount of the Notes to be converted and by paying or delivering, as the case may be, cash, shares of the Company’s common stock, or a combination of cash and shares of the Company’s common stock, at its election, in respect of the remainder, if any, of its conversion obligation in excess of the aggregate principal amount of the Notes being converted. The Company may redeem for cash all or any portion of the Notes, at its option, on or after December 22, 2025 if the closing sale price per share of the Company’s common stock exceeds 130% of the conversion price of the Notes for a specified period of time. The redemption price will be equal to 100% of the principal amount of the Notes to be redeemed, plus accrued and unpaid interest, if any, to, but excluding, the redemption date.</w:t>
      </w:r>
    </w:p>
    <w:p>
      <w:pPr>
        <w:spacing w:after="0" w:line="2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The Company evaluated the Notes upon completion of the sale and concluded on the following features:</w:t>
      </w:r>
    </w:p>
    <w:p>
      <w:pPr>
        <w:sectPr>
          <w:pgSz w:w="11880" w:h="15480" w:orient="portrait"/>
          <w:cols w:equalWidth="0" w:num="1">
            <w:col w:w="10580"/>
          </w:cols>
          <w:pgMar w:left="640" w:top="622"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109</w:t>
      </w:r>
    </w:p>
    <w:p>
      <w:pPr>
        <w:sectPr>
          <w:pgSz w:w="11880" w:h="15480" w:orient="portrait"/>
          <w:cols w:equalWidth="0" w:num="1">
            <w:col w:w="10580"/>
          </w:cols>
          <w:pgMar w:left="640" w:top="622" w:right="660" w:bottom="0" w:gutter="0" w:footer="0" w:header="0"/>
          <w:type w:val="continuous"/>
        </w:sectPr>
      </w:pPr>
    </w:p>
    <w:bookmarkStart w:id="115" w:name="page116"/>
    <w:bookmarkEnd w:id="115"/>
    <w:p>
      <w:pPr>
        <w:ind w:left="720" w:hanging="183"/>
        <w:spacing w:after="0" w:line="260" w:lineRule="auto"/>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Conversion Feature: </w:t>
      </w:r>
      <w:r>
        <w:rPr>
          <w:rFonts w:ascii="Times New Roman" w:cs="Times New Roman" w:eastAsia="Times New Roman" w:hAnsi="Times New Roman"/>
          <w:sz w:val="20"/>
          <w:szCs w:val="20"/>
          <w:color w:val="auto"/>
        </w:rPr>
        <w:t>The Company determined that the conversion feature qualifies for the classification of equity. As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result, the conversion feature should not be bifurcated as a derivative instrument and the Notes were accounted for as a single liability.</w:t>
      </w:r>
    </w:p>
    <w:p>
      <w:pPr>
        <w:spacing w:after="0" w:line="75" w:lineRule="exact"/>
        <w:rPr>
          <w:rFonts w:ascii="Times New Roman" w:cs="Times New Roman" w:eastAsia="Times New Roman" w:hAnsi="Times New Roman"/>
          <w:sz w:val="20"/>
          <w:szCs w:val="20"/>
          <w:color w:val="auto"/>
        </w:rPr>
      </w:pPr>
    </w:p>
    <w:p>
      <w:pPr>
        <w:jc w:val="both"/>
        <w:ind w:left="720" w:right="580" w:hanging="183"/>
        <w:spacing w:after="0" w:line="260" w:lineRule="auto"/>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Redemption Features: </w:t>
      </w:r>
      <w:r>
        <w:rPr>
          <w:rFonts w:ascii="Times New Roman" w:cs="Times New Roman" w:eastAsia="Times New Roman" w:hAnsi="Times New Roman"/>
          <w:sz w:val="20"/>
          <w:szCs w:val="20"/>
          <w:color w:val="auto"/>
        </w:rPr>
        <w:t>The redemption features were reviewed within the Notes and the Company determined that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redemption features are closely related to the Notes and as such should not be separately accounted for as a bifurcated derivative instrument.</w:t>
      </w:r>
    </w:p>
    <w:p>
      <w:pPr>
        <w:spacing w:after="0" w:line="110" w:lineRule="exact"/>
        <w:rPr>
          <w:rFonts w:ascii="Times New Roman" w:cs="Times New Roman" w:eastAsia="Times New Roman" w:hAnsi="Times New Roman"/>
          <w:sz w:val="20"/>
          <w:szCs w:val="20"/>
          <w:color w:val="auto"/>
        </w:rPr>
      </w:pPr>
    </w:p>
    <w:p>
      <w:pPr>
        <w:ind w:left="720" w:right="80" w:hanging="183"/>
        <w:spacing w:after="0" w:line="275" w:lineRule="auto"/>
        <w:tabs>
          <w:tab w:leader="none" w:pos="720" w:val="left"/>
        </w:tabs>
        <w:numPr>
          <w:ilvl w:val="0"/>
          <w:numId w:val="47"/>
        </w:numPr>
        <w:rPr>
          <w:rFonts w:ascii="Arial" w:cs="Arial" w:eastAsia="Arial" w:hAnsi="Arial"/>
          <w:sz w:val="24"/>
          <w:szCs w:val="24"/>
          <w:color w:val="auto"/>
        </w:rPr>
      </w:pPr>
      <w:r>
        <w:rPr>
          <w:rFonts w:ascii="Times New Roman" w:cs="Times New Roman" w:eastAsia="Times New Roman" w:hAnsi="Times New Roman"/>
          <w:sz w:val="20"/>
          <w:szCs w:val="20"/>
          <w:i w:val="1"/>
          <w:iCs w:val="1"/>
          <w:color w:val="auto"/>
        </w:rPr>
        <w:t xml:space="preserve">Additional Interest Features: </w:t>
      </w:r>
      <w:r>
        <w:rPr>
          <w:rFonts w:ascii="Times New Roman" w:cs="Times New Roman" w:eastAsia="Times New Roman" w:hAnsi="Times New Roman"/>
          <w:sz w:val="20"/>
          <w:szCs w:val="20"/>
          <w:color w:val="auto"/>
        </w:rPr>
        <w:t>The Notes may result in additional interest if the Company fails to timely file any document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report that the Company is required to file with the SEC pursuant to Section 13 or 15(d) of the Securities Exchange Act of 1934. The Company will pay additional interest on the notes at a rate equal to 0.25% to 0.50% per annum based on the principal amount of notes outstanding for each day the Company failure to file has occurred or the notes are not otherwise freely tradable. Further, if the notes are assigned a restricted CUSIP number or the notes are not otherwise freely tradable pursuant to Rule 144 under the Securities Act of 1933, as amended, by holders other than our affiliates or holders that were our affiliates at any time during the three months immediately preceding as of the 385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after the last date of original issuance of the notes offered hereby, the Company will pay additional interest on the notes at a rate equal to (i) 0.25% to 0.50% per annum based on the principal amount of notes outstanding for each day until the restrictive legend has been removed from the notes, the notes are assigned an unrestricted CUSIP and the notes are freely tradable. The Company concluded that the interest feature is unrelated to the credit risk and should be bifurcated from the Notes, however, the Company assessed the probabilities of triggering events occurring under these features and does not expect to trigger the aforementioned events. These events will continue to be monitored to determine whether the interest feature will be bifurcated if it has value.</w:t>
      </w:r>
    </w:p>
    <w:p>
      <w:pPr>
        <w:spacing w:after="0" w:line="64" w:lineRule="exact"/>
        <w:rPr>
          <w:sz w:val="20"/>
          <w:szCs w:val="20"/>
          <w:color w:val="auto"/>
        </w:rPr>
      </w:pPr>
    </w:p>
    <w:p>
      <w:pPr>
        <w:ind w:right="120" w:firstLine="441"/>
        <w:spacing w:after="0" w:line="244" w:lineRule="auto"/>
        <w:rPr>
          <w:sz w:val="20"/>
          <w:szCs w:val="20"/>
          <w:color w:val="auto"/>
        </w:rPr>
      </w:pPr>
      <w:r>
        <w:rPr>
          <w:rFonts w:ascii="Times New Roman" w:cs="Times New Roman" w:eastAsia="Times New Roman" w:hAnsi="Times New Roman"/>
          <w:sz w:val="20"/>
          <w:szCs w:val="20"/>
          <w:color w:val="auto"/>
        </w:rPr>
        <w:t>Holders of the Notes may require the Company to repurchase their Notes upon the occurrence of a fundamental change prior to the maturity at a repurchase price equal to 100% of the principal amount thereof, plus accrued and unpaid interest to, but excluding, the date of repurchase. In connection with certain triggering events, the Company will, under certain circumstances, increase the conversion rate for holders of the Notes who elect to convert their Notes in connection with such corporate events.</w:t>
      </w:r>
    </w:p>
    <w:p>
      <w:pPr>
        <w:spacing w:after="0" w:line="84" w:lineRule="exact"/>
        <w:rPr>
          <w:sz w:val="20"/>
          <w:szCs w:val="20"/>
          <w:color w:val="auto"/>
        </w:rPr>
      </w:pPr>
    </w:p>
    <w:p>
      <w:pPr>
        <w:ind w:right="140" w:firstLine="441"/>
        <w:spacing w:after="0" w:line="235" w:lineRule="auto"/>
        <w:rPr>
          <w:sz w:val="20"/>
          <w:szCs w:val="20"/>
          <w:color w:val="auto"/>
        </w:rPr>
      </w:pPr>
      <w:r>
        <w:rPr>
          <w:rFonts w:ascii="Times New Roman" w:cs="Times New Roman" w:eastAsia="Times New Roman" w:hAnsi="Times New Roman"/>
          <w:sz w:val="20"/>
          <w:szCs w:val="20"/>
          <w:color w:val="auto"/>
        </w:rPr>
        <w:t>During the fourth quarter of 2024, the closing price of the Company’s common stock did not exceed 130% of the conversion price of the Notes for more than 20 trading days of the last 30 consecutive trading days of the quarter. As a result, the Notes are not convertible at the option of the holders of the Notes during the first quarter of 2024, the quarter immediately following the quarter when the conditions are met, as stated in the terms of the Notes. Because the Notes are not considered convertible under the terms of the Notes and pursuant to ASC 470-10, the Company classified the carrying value of the Notes as long-term debt, net and other borrowings on the Company’s consolidated balance sheet as of December 31, 2024.</w:t>
      </w:r>
    </w:p>
    <w:p>
      <w:pPr>
        <w:spacing w:after="0" w:line="2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The Company recorded interest expense of approximately $15.1 million related to the Notes for the year ended December 31,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Derivative Instruments</w:t>
      </w:r>
    </w:p>
    <w:p>
      <w:pPr>
        <w:spacing w:after="0" w:line="130" w:lineRule="exact"/>
        <w:rPr>
          <w:sz w:val="20"/>
          <w:szCs w:val="20"/>
          <w:color w:val="auto"/>
        </w:rPr>
      </w:pPr>
    </w:p>
    <w:p>
      <w:pPr>
        <w:ind w:right="200" w:firstLine="441"/>
        <w:spacing w:after="0" w:line="271" w:lineRule="auto"/>
        <w:rPr>
          <w:sz w:val="20"/>
          <w:szCs w:val="20"/>
          <w:color w:val="auto"/>
        </w:rPr>
      </w:pPr>
      <w:r>
        <w:rPr>
          <w:rFonts w:ascii="Times New Roman" w:cs="Times New Roman" w:eastAsia="Times New Roman" w:hAnsi="Times New Roman"/>
          <w:sz w:val="20"/>
          <w:szCs w:val="20"/>
          <w:color w:val="auto"/>
        </w:rPr>
        <w:t>The Company has used, but does not currently use, interest rate swaps to reduce the variability in cash flows associated with a portion of the Company’s forecasted interest payments on its variable rate debt.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Accumulated Other Comprehensive Loss</w:t>
      </w:r>
    </w:p>
    <w:p>
      <w:pPr>
        <w:spacing w:after="0" w:line="130" w:lineRule="exact"/>
        <w:rPr>
          <w:sz w:val="20"/>
          <w:szCs w:val="20"/>
          <w:color w:val="auto"/>
        </w:rPr>
      </w:pPr>
    </w:p>
    <w:p>
      <w:pPr>
        <w:ind w:right="420" w:firstLine="441"/>
        <w:spacing w:after="0" w:line="271" w:lineRule="auto"/>
        <w:rPr>
          <w:sz w:val="20"/>
          <w:szCs w:val="20"/>
          <w:color w:val="auto"/>
        </w:rPr>
      </w:pPr>
      <w:r>
        <w:rPr>
          <w:rFonts w:ascii="Times New Roman" w:cs="Times New Roman" w:eastAsia="Times New Roman" w:hAnsi="Times New Roman"/>
          <w:sz w:val="20"/>
          <w:szCs w:val="20"/>
          <w:color w:val="auto"/>
        </w:rPr>
        <w:t>The components of Accumulated Other Comprehensive Loss, net of tax effects for the years ended December 31, 2024 and 2023, consisted of the following:</w:t>
      </w:r>
    </w:p>
    <w:p>
      <w:pPr>
        <w:spacing w:after="0" w:line="243" w:lineRule="exact"/>
        <w:rPr>
          <w:sz w:val="20"/>
          <w:szCs w:val="20"/>
          <w:color w:val="auto"/>
        </w:rPr>
      </w:pPr>
    </w:p>
    <w:tbl>
      <w:tblPr>
        <w:tblLayout w:type="fixed"/>
        <w:tblInd w:w="102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ind w:right="102"/>
              <w:spacing w:after="0"/>
              <w:rPr>
                <w:sz w:val="20"/>
                <w:szCs w:val="20"/>
                <w:color w:val="auto"/>
              </w:rPr>
            </w:pPr>
            <w:r>
              <w:rPr>
                <w:rFonts w:ascii="Times New Roman" w:cs="Times New Roman" w:eastAsia="Times New Roman" w:hAnsi="Times New Roman"/>
                <w:sz w:val="20"/>
                <w:szCs w:val="20"/>
                <w:b w:val="1"/>
                <w:bCs w:val="1"/>
                <w:color w:val="auto"/>
                <w:w w:val="98"/>
              </w:rPr>
              <w:t>Foreign Currency</w:t>
            </w:r>
          </w:p>
        </w:tc>
        <w:tc>
          <w:tcPr>
            <w:tcW w:w="120" w:type="dxa"/>
            <w:vAlign w:val="bottom"/>
          </w:tcPr>
          <w:p>
            <w:pPr>
              <w:spacing w:after="0"/>
              <w:rPr>
                <w:sz w:val="19"/>
                <w:szCs w:val="19"/>
                <w:color w:val="auto"/>
              </w:rPr>
            </w:pPr>
          </w:p>
        </w:tc>
        <w:tc>
          <w:tcPr>
            <w:tcW w:w="1920" w:type="dxa"/>
            <w:vAlign w:val="bottom"/>
            <w:gridSpan w:val="2"/>
          </w:tcPr>
          <w:p>
            <w:pPr>
              <w:jc w:val="right"/>
              <w:ind w:right="22"/>
              <w:spacing w:after="0"/>
              <w:rPr>
                <w:sz w:val="20"/>
                <w:szCs w:val="20"/>
                <w:color w:val="auto"/>
              </w:rPr>
            </w:pPr>
            <w:r>
              <w:rPr>
                <w:rFonts w:ascii="Times New Roman" w:cs="Times New Roman" w:eastAsia="Times New Roman" w:hAnsi="Times New Roman"/>
                <w:sz w:val="20"/>
                <w:szCs w:val="20"/>
                <w:b w:val="1"/>
                <w:bCs w:val="1"/>
                <w:color w:val="auto"/>
              </w:rPr>
              <w:t>Accumulated Other</w:t>
            </w:r>
          </w:p>
        </w:tc>
      </w:tr>
      <w:tr>
        <w:trPr>
          <w:trHeight w:val="234"/>
        </w:trPr>
        <w:tc>
          <w:tcPr>
            <w:tcW w:w="460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180" w:type="dxa"/>
            <w:vAlign w:val="bottom"/>
          </w:tcPr>
          <w:p>
            <w:pPr>
              <w:spacing w:after="0"/>
              <w:rPr>
                <w:sz w:val="20"/>
                <w:szCs w:val="20"/>
                <w:color w:val="auto"/>
              </w:rPr>
            </w:pPr>
          </w:p>
        </w:tc>
        <w:tc>
          <w:tcPr>
            <w:tcW w:w="1740" w:type="dxa"/>
            <w:vAlign w:val="bottom"/>
          </w:tcPr>
          <w:p>
            <w:pPr>
              <w:jc w:val="right"/>
              <w:ind w:right="302"/>
              <w:spacing w:after="0" w:line="234" w:lineRule="exact"/>
              <w:rPr>
                <w:sz w:val="20"/>
                <w:szCs w:val="20"/>
                <w:color w:val="auto"/>
              </w:rPr>
            </w:pPr>
            <w:r>
              <w:rPr>
                <w:rFonts w:ascii="Times New Roman" w:cs="Times New Roman" w:eastAsia="Times New Roman" w:hAnsi="Times New Roman"/>
                <w:sz w:val="20"/>
                <w:szCs w:val="20"/>
                <w:b w:val="1"/>
                <w:bCs w:val="1"/>
                <w:color w:val="auto"/>
              </w:rPr>
              <w:t>Translation</w:t>
            </w:r>
            <w:r>
              <w:rPr>
                <w:rFonts w:ascii="Times New Roman" w:cs="Times New Roman" w:eastAsia="Times New Roman" w:hAnsi="Times New Roman"/>
                <w:sz w:val="25"/>
                <w:szCs w:val="25"/>
                <w:b w:val="1"/>
                <w:bCs w:val="1"/>
                <w:color w:val="auto"/>
                <w:vertAlign w:val="superscript"/>
              </w:rPr>
              <w:t>(1)</w:t>
            </w:r>
          </w:p>
        </w:tc>
        <w:tc>
          <w:tcPr>
            <w:tcW w:w="120" w:type="dxa"/>
            <w:vAlign w:val="bottom"/>
          </w:tcPr>
          <w:p>
            <w:pPr>
              <w:spacing w:after="0"/>
              <w:rPr>
                <w:sz w:val="20"/>
                <w:szCs w:val="20"/>
                <w:color w:val="auto"/>
              </w:rPr>
            </w:pPr>
          </w:p>
        </w:tc>
        <w:tc>
          <w:tcPr>
            <w:tcW w:w="192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b w:val="1"/>
                <w:bCs w:val="1"/>
                <w:color w:val="auto"/>
              </w:rPr>
              <w:t>Comprehensive Loss</w:t>
            </w:r>
          </w:p>
        </w:tc>
      </w:tr>
      <w:tr>
        <w:trPr>
          <w:trHeight w:val="35"/>
        </w:trPr>
        <w:tc>
          <w:tcPr>
            <w:tcW w:w="40" w:type="dxa"/>
            <w:vAlign w:val="bottom"/>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3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74"/>
        </w:trPr>
        <w:tc>
          <w:tcPr>
            <w:tcW w:w="40" w:type="dxa"/>
            <w:vAlign w:val="bottom"/>
            <w:tcBorders>
              <w:bottom w:val="single" w:sz="8" w:color="E9E9E9"/>
            </w:tcBorders>
            <w:shd w:val="clear" w:color="auto" w:fill="E9E9E9"/>
          </w:tcPr>
          <w:p>
            <w:pPr>
              <w:spacing w:after="0"/>
              <w:rPr>
                <w:sz w:val="23"/>
                <w:szCs w:val="23"/>
                <w:color w:val="auto"/>
              </w:rPr>
            </w:pPr>
          </w:p>
        </w:tc>
        <w:tc>
          <w:tcPr>
            <w:tcW w:w="4560" w:type="dxa"/>
            <w:vAlign w:val="bottom"/>
            <w:tcBorders>
              <w:bottom w:val="single" w:sz="8" w:color="E9E9E9"/>
            </w:tcBorders>
            <w:gridSpan w:val="2"/>
            <w:shd w:val="clear" w:color="auto" w:fill="E9E9E9"/>
          </w:tcPr>
          <w:p>
            <w:pPr>
              <w:ind w:left="180"/>
              <w:spacing w:after="0"/>
              <w:rPr>
                <w:sz w:val="20"/>
                <w:szCs w:val="20"/>
                <w:color w:val="auto"/>
              </w:rPr>
            </w:pPr>
            <w:r>
              <w:rPr>
                <w:rFonts w:ascii="Times New Roman" w:cs="Times New Roman" w:eastAsia="Times New Roman" w:hAnsi="Times New Roman"/>
                <w:sz w:val="20"/>
                <w:szCs w:val="20"/>
                <w:color w:val="auto"/>
              </w:rPr>
              <w:t>Balance at January 1, 2024</w:t>
            </w:r>
          </w:p>
        </w:tc>
        <w:tc>
          <w:tcPr>
            <w:tcW w:w="180" w:type="dxa"/>
            <w:vAlign w:val="bottom"/>
            <w:tcBorders>
              <w:bottom w:val="single" w:sz="8" w:color="E9E9E9"/>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tcBorders>
              <w:bottom w:val="single" w:sz="8" w:color="E9E9E9"/>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(1,037)</w:t>
            </w:r>
          </w:p>
        </w:tc>
        <w:tc>
          <w:tcPr>
            <w:tcW w:w="860" w:type="dxa"/>
            <w:vAlign w:val="bottom"/>
            <w:tcBorders>
              <w:bottom w:val="single" w:sz="8" w:color="E9E9E9"/>
            </w:tcBorders>
            <w:gridSpan w:val="2"/>
            <w:shd w:val="clear" w:color="auto" w:fill="E9E9E9"/>
          </w:tcPr>
          <w:p>
            <w:pPr>
              <w:jc w:val="right"/>
              <w:ind w:right="502"/>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E9E9E9"/>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(1,037)</w:t>
            </w:r>
          </w:p>
        </w:tc>
      </w:tr>
      <w:tr>
        <w:trPr>
          <w:trHeight w:val="284"/>
        </w:trPr>
        <w:tc>
          <w:tcPr>
            <w:tcW w:w="40" w:type="dxa"/>
            <w:vAlign w:val="bottom"/>
            <w:tcBorders>
              <w:bottom w:val="single" w:sz="8" w:color="E9E9E9"/>
            </w:tcBorders>
          </w:tcPr>
          <w:p>
            <w:pPr>
              <w:spacing w:after="0"/>
              <w:rPr>
                <w:sz w:val="24"/>
                <w:szCs w:val="24"/>
                <w:color w:val="auto"/>
              </w:rPr>
            </w:pPr>
          </w:p>
        </w:tc>
        <w:tc>
          <w:tcPr>
            <w:tcW w:w="4560" w:type="dxa"/>
            <w:vAlign w:val="bottom"/>
            <w:tcBorders>
              <w:bottom w:val="single" w:sz="8" w:color="E9E9E9"/>
            </w:tcBorders>
            <w:gridSpan w:val="2"/>
          </w:tcPr>
          <w:p>
            <w:pPr>
              <w:ind w:left="180"/>
              <w:spacing w:after="0"/>
              <w:rPr>
                <w:sz w:val="20"/>
                <w:szCs w:val="20"/>
                <w:color w:val="auto"/>
              </w:rPr>
            </w:pPr>
            <w:r>
              <w:rPr>
                <w:rFonts w:ascii="Times New Roman" w:cs="Times New Roman" w:eastAsia="Times New Roman" w:hAnsi="Times New Roman"/>
                <w:sz w:val="20"/>
                <w:szCs w:val="20"/>
                <w:color w:val="auto"/>
              </w:rPr>
              <w:t>Other comprehensive loss before reclassifications</w:t>
            </w: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(578)</w:t>
            </w:r>
          </w:p>
        </w:tc>
        <w:tc>
          <w:tcPr>
            <w:tcW w:w="120" w:type="dxa"/>
            <w:vAlign w:val="bottom"/>
            <w:tcBorders>
              <w:bottom w:val="single" w:sz="8" w:color="E9E9E9"/>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(578)</w:t>
            </w:r>
          </w:p>
        </w:tc>
      </w:tr>
      <w:tr>
        <w:trPr>
          <w:trHeight w:val="294"/>
        </w:trPr>
        <w:tc>
          <w:tcPr>
            <w:tcW w:w="4600" w:type="dxa"/>
            <w:vAlign w:val="bottom"/>
            <w:gridSpan w:val="3"/>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Balance at December 31, 2024</w:t>
            </w:r>
          </w:p>
        </w:tc>
        <w:tc>
          <w:tcPr>
            <w:tcW w:w="1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(1,615)</w:t>
            </w:r>
          </w:p>
        </w:tc>
        <w:tc>
          <w:tcPr>
            <w:tcW w:w="860" w:type="dxa"/>
            <w:vAlign w:val="bottom"/>
            <w:gridSpan w:val="2"/>
            <w:shd w:val="clear" w:color="auto" w:fill="E9E9E9"/>
          </w:tcPr>
          <w:p>
            <w:pPr>
              <w:jc w:val="right"/>
              <w:ind w:right="502"/>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(1,615)</w:t>
            </w:r>
          </w:p>
        </w:tc>
      </w:tr>
      <w:tr>
        <w:trPr>
          <w:trHeight w:val="265"/>
        </w:trPr>
        <w:tc>
          <w:tcPr>
            <w:tcW w:w="40" w:type="dxa"/>
            <w:vAlign w:val="bottom"/>
            <w:tcBorders>
              <w:top w:val="single" w:sz="8" w:color="E9E9E9"/>
            </w:tcBorders>
          </w:tcPr>
          <w:p>
            <w:pPr>
              <w:spacing w:after="0"/>
              <w:rPr>
                <w:sz w:val="23"/>
                <w:szCs w:val="23"/>
                <w:color w:val="auto"/>
              </w:rPr>
            </w:pPr>
          </w:p>
        </w:tc>
        <w:tc>
          <w:tcPr>
            <w:tcW w:w="1200" w:type="dxa"/>
            <w:vAlign w:val="bottom"/>
            <w:tcBorders>
              <w:top w:val="single" w:sz="8" w:color="E9E9E9"/>
            </w:tcBorders>
          </w:tcPr>
          <w:p>
            <w:pPr>
              <w:spacing w:after="0"/>
              <w:rPr>
                <w:sz w:val="23"/>
                <w:szCs w:val="23"/>
                <w:color w:val="auto"/>
              </w:rPr>
            </w:pPr>
          </w:p>
        </w:tc>
        <w:tc>
          <w:tcPr>
            <w:tcW w:w="3360" w:type="dxa"/>
            <w:vAlign w:val="bottom"/>
            <w:tcBorders>
              <w:top w:val="single" w:sz="8" w:color="E9E9E9"/>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740" w:type="dxa"/>
            <w:vAlign w:val="bottom"/>
            <w:tcBorders>
              <w:top w:val="single" w:sz="8" w:color="auto"/>
            </w:tcBorders>
          </w:tcPr>
          <w:p>
            <w:pPr>
              <w:spacing w:after="0"/>
              <w:rPr>
                <w:sz w:val="23"/>
                <w:szCs w:val="23"/>
                <w:color w:val="auto"/>
              </w:rPr>
            </w:pPr>
          </w:p>
        </w:tc>
        <w:tc>
          <w:tcPr>
            <w:tcW w:w="120" w:type="dxa"/>
            <w:vAlign w:val="bottom"/>
            <w:tcBorders>
              <w:top w:val="single" w:sz="8" w:color="E9E9E9"/>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r>
      <w:tr>
        <w:trPr>
          <w:trHeight w:val="274"/>
        </w:trPr>
        <w:tc>
          <w:tcPr>
            <w:tcW w:w="40" w:type="dxa"/>
            <w:vAlign w:val="bottom"/>
            <w:tcBorders>
              <w:bottom w:val="single" w:sz="8" w:color="E9E9E9"/>
            </w:tcBorders>
            <w:shd w:val="clear" w:color="auto" w:fill="E9E9E9"/>
          </w:tcPr>
          <w:p>
            <w:pPr>
              <w:spacing w:after="0"/>
              <w:rPr>
                <w:sz w:val="23"/>
                <w:szCs w:val="23"/>
                <w:color w:val="auto"/>
              </w:rPr>
            </w:pPr>
          </w:p>
        </w:tc>
        <w:tc>
          <w:tcPr>
            <w:tcW w:w="4560" w:type="dxa"/>
            <w:vAlign w:val="bottom"/>
            <w:tcBorders>
              <w:bottom w:val="single" w:sz="8" w:color="E9E9E9"/>
            </w:tcBorders>
            <w:gridSpan w:val="2"/>
            <w:shd w:val="clear" w:color="auto" w:fill="E9E9E9"/>
          </w:tcPr>
          <w:p>
            <w:pPr>
              <w:ind w:left="180"/>
              <w:spacing w:after="0"/>
              <w:rPr>
                <w:sz w:val="20"/>
                <w:szCs w:val="20"/>
                <w:color w:val="auto"/>
              </w:rPr>
            </w:pPr>
            <w:r>
              <w:rPr>
                <w:rFonts w:ascii="Times New Roman" w:cs="Times New Roman" w:eastAsia="Times New Roman" w:hAnsi="Times New Roman"/>
                <w:sz w:val="20"/>
                <w:szCs w:val="20"/>
                <w:color w:val="auto"/>
              </w:rPr>
              <w:t>Balance at January 1, 2023</w:t>
            </w:r>
          </w:p>
        </w:tc>
        <w:tc>
          <w:tcPr>
            <w:tcW w:w="180" w:type="dxa"/>
            <w:vAlign w:val="bottom"/>
            <w:tcBorders>
              <w:bottom w:val="single" w:sz="8" w:color="E9E9E9"/>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tcBorders>
              <w:bottom w:val="single" w:sz="8" w:color="E9E9E9"/>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(1,259)</w:t>
            </w:r>
          </w:p>
        </w:tc>
        <w:tc>
          <w:tcPr>
            <w:tcW w:w="860" w:type="dxa"/>
            <w:vAlign w:val="bottom"/>
            <w:tcBorders>
              <w:bottom w:val="single" w:sz="8" w:color="E9E9E9"/>
            </w:tcBorders>
            <w:gridSpan w:val="2"/>
            <w:shd w:val="clear" w:color="auto" w:fill="E9E9E9"/>
          </w:tcPr>
          <w:p>
            <w:pPr>
              <w:jc w:val="right"/>
              <w:ind w:right="502"/>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E9E9E9"/>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(1,259)</w:t>
            </w:r>
          </w:p>
        </w:tc>
      </w:tr>
      <w:tr>
        <w:trPr>
          <w:trHeight w:val="284"/>
        </w:trPr>
        <w:tc>
          <w:tcPr>
            <w:tcW w:w="40" w:type="dxa"/>
            <w:vAlign w:val="bottom"/>
            <w:tcBorders>
              <w:bottom w:val="single" w:sz="8" w:color="E9E9E9"/>
            </w:tcBorders>
          </w:tcPr>
          <w:p>
            <w:pPr>
              <w:spacing w:after="0"/>
              <w:rPr>
                <w:sz w:val="24"/>
                <w:szCs w:val="24"/>
                <w:color w:val="auto"/>
              </w:rPr>
            </w:pPr>
          </w:p>
        </w:tc>
        <w:tc>
          <w:tcPr>
            <w:tcW w:w="4560" w:type="dxa"/>
            <w:vAlign w:val="bottom"/>
            <w:tcBorders>
              <w:bottom w:val="single" w:sz="8" w:color="E9E9E9"/>
            </w:tcBorders>
            <w:gridSpan w:val="2"/>
          </w:tcPr>
          <w:p>
            <w:pPr>
              <w:ind w:left="180"/>
              <w:spacing w:after="0"/>
              <w:rPr>
                <w:sz w:val="20"/>
                <w:szCs w:val="20"/>
                <w:color w:val="auto"/>
              </w:rPr>
            </w:pPr>
            <w:r>
              <w:rPr>
                <w:rFonts w:ascii="Times New Roman" w:cs="Times New Roman" w:eastAsia="Times New Roman" w:hAnsi="Times New Roman"/>
                <w:sz w:val="20"/>
                <w:szCs w:val="20"/>
                <w:color w:val="auto"/>
              </w:rPr>
              <w:t>Other comprehensive income before reclassifications</w:t>
            </w: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w:t>
            </w:r>
          </w:p>
        </w:tc>
        <w:tc>
          <w:tcPr>
            <w:tcW w:w="120" w:type="dxa"/>
            <w:vAlign w:val="bottom"/>
            <w:tcBorders>
              <w:bottom w:val="single" w:sz="8" w:color="E9E9E9"/>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w:t>
            </w:r>
          </w:p>
        </w:tc>
      </w:tr>
      <w:tr>
        <w:trPr>
          <w:trHeight w:val="294"/>
        </w:trPr>
        <w:tc>
          <w:tcPr>
            <w:tcW w:w="4600" w:type="dxa"/>
            <w:vAlign w:val="bottom"/>
            <w:tcBorders>
              <w:bottom w:val="single" w:sz="8" w:color="E9E9E9"/>
            </w:tcBorders>
            <w:gridSpan w:val="3"/>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Balance at December 31, 2023</w:t>
            </w:r>
          </w:p>
        </w:tc>
        <w:tc>
          <w:tcPr>
            <w:tcW w:w="1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(1,037)</w:t>
            </w:r>
          </w:p>
        </w:tc>
        <w:tc>
          <w:tcPr>
            <w:tcW w:w="120" w:type="dxa"/>
            <w:vAlign w:val="bottom"/>
            <w:tcBorders>
              <w:bottom w:val="single" w:sz="8" w:color="E9E9E9"/>
            </w:tcBorders>
            <w:shd w:val="clear" w:color="auto" w:fill="E9E9E9"/>
          </w:tcPr>
          <w:p>
            <w:pPr>
              <w:spacing w:after="0"/>
              <w:rPr>
                <w:sz w:val="24"/>
                <w:szCs w:val="24"/>
                <w:color w:val="auto"/>
              </w:rPr>
            </w:pPr>
          </w:p>
        </w:tc>
        <w:tc>
          <w:tcPr>
            <w:tcW w:w="740" w:type="dxa"/>
            <w:vAlign w:val="bottom"/>
            <w:tcBorders>
              <w:bottom w:val="single" w:sz="8" w:color="auto"/>
            </w:tcBorders>
            <w:shd w:val="clear" w:color="auto" w:fill="E9E9E9"/>
          </w:tcPr>
          <w:p>
            <w:pPr>
              <w:jc w:val="right"/>
              <w:ind w:right="502"/>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(1,037)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-789940</wp:posOffset>
            </wp:positionV>
            <wp:extent cx="2545080" cy="495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45080" cy="4953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-43180</wp:posOffset>
            </wp:positionV>
            <wp:extent cx="2545080" cy="495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45080" cy="49530"/>
                    </a:xfrm>
                    <a:prstGeom prst="rect">
                      <a:avLst/>
                    </a:prstGeom>
                    <a:noFill/>
                  </pic:spPr>
                </pic:pic>
              </a:graphicData>
            </a:graphic>
          </wp:anchor>
        </w:drawing>
      </w:r>
    </w:p>
    <w:p>
      <w:pPr>
        <w:spacing w:after="0" w:line="111" w:lineRule="exact"/>
        <w:rPr>
          <w:sz w:val="20"/>
          <w:szCs w:val="20"/>
          <w:color w:val="auto"/>
        </w:rPr>
      </w:pPr>
    </w:p>
    <w:p>
      <w:pPr>
        <w:ind w:left="1240" w:right="180" w:hanging="174"/>
        <w:spacing w:after="0" w:line="238" w:lineRule="auto"/>
        <w:tabs>
          <w:tab w:leader="none" w:pos="141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comprehensive income disclosures, we do not record tax expense or benefits for the net changes in the foreign currency translation adjustments.</w:t>
      </w:r>
    </w:p>
    <w:p>
      <w:pPr>
        <w:sectPr>
          <w:pgSz w:w="11880" w:h="15480" w:orient="portrait"/>
          <w:cols w:equalWidth="0" w:num="1">
            <w:col w:w="10540"/>
          </w:cols>
          <w:pgMar w:left="640" w:top="619" w:right="700" w:bottom="0" w:gutter="0" w:footer="0" w:header="0"/>
        </w:sect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110</w:t>
      </w:r>
    </w:p>
    <w:p>
      <w:pPr>
        <w:sectPr>
          <w:pgSz w:w="11880" w:h="15480" w:orient="portrait"/>
          <w:cols w:equalWidth="0" w:num="1">
            <w:col w:w="10540"/>
          </w:cols>
          <w:pgMar w:left="640" w:top="619" w:right="700" w:bottom="0" w:gutter="0" w:footer="0" w:header="0"/>
          <w:type w:val="continuous"/>
        </w:sectPr>
      </w:pPr>
    </w:p>
    <w:bookmarkStart w:id="116" w:name="page117"/>
    <w:bookmarkEnd w:id="116"/>
    <w:p>
      <w:pPr>
        <w:ind w:right="7960" w:firstLine="8"/>
        <w:spacing w:after="0" w:line="391" w:lineRule="auto"/>
        <w:tabs>
          <w:tab w:leader="none" w:pos="294" w:val="left"/>
        </w:tabs>
        <w:numPr>
          <w:ilvl w:val="0"/>
          <w:numId w:val="4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Stock-Based Compensation </w:t>
      </w:r>
      <w:r>
        <w:rPr>
          <w:rFonts w:ascii="Times New Roman" w:cs="Times New Roman" w:eastAsia="Times New Roman" w:hAnsi="Times New Roman"/>
          <w:sz w:val="19"/>
          <w:szCs w:val="19"/>
          <w:b w:val="1"/>
          <w:bCs w:val="1"/>
          <w:i w:val="1"/>
          <w:iCs w:val="1"/>
          <w:color w:val="auto"/>
        </w:rPr>
        <w:t>Equity Incentive Plans</w:t>
      </w:r>
    </w:p>
    <w:p>
      <w:pPr>
        <w:spacing w:after="0" w:line="1" w:lineRule="exact"/>
        <w:rPr>
          <w:sz w:val="20"/>
          <w:szCs w:val="20"/>
          <w:color w:val="auto"/>
        </w:rPr>
      </w:pPr>
    </w:p>
    <w:p>
      <w:pPr>
        <w:ind w:right="20" w:firstLine="441"/>
        <w:spacing w:after="0" w:line="271" w:lineRule="auto"/>
        <w:rPr>
          <w:sz w:val="20"/>
          <w:szCs w:val="20"/>
          <w:color w:val="auto"/>
        </w:rPr>
      </w:pPr>
      <w:r>
        <w:rPr>
          <w:rFonts w:ascii="Times New Roman" w:cs="Times New Roman" w:eastAsia="Times New Roman" w:hAnsi="Times New Roman"/>
          <w:sz w:val="19"/>
          <w:szCs w:val="19"/>
          <w:color w:val="auto"/>
        </w:rPr>
        <w:t>As of December 31, 2024, the Company’s approved equity incentive plans included the 2015 Equity Incentive Plan (“2015 Plan”), the 2013 Equity Incentive Plan (“2013 Plan”), and the 2008 Equity Incentive Plan (“2008 Plan”). These plans are administered by the Board of Directors (the “Board”) and permit the granting of stock, stock options, stock appreciation rights, restricted stock, restricted stock units and dividend equivalent rights to employees, officers, directors and consultants of the Company.</w:t>
      </w:r>
    </w:p>
    <w:p>
      <w:pPr>
        <w:spacing w:after="0" w:line="189"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9"/>
          <w:szCs w:val="19"/>
          <w:color w:val="auto"/>
        </w:rPr>
        <w:t xml:space="preserve">The Company has certain stock option and restricted stock awards outstanding under each of its equity incentive plans but, upon adoption of the 2015 Plan, the Company no longer grants new equity awards under its 2008 and 2013 Plans. The Company adopted its 2015 Plan in June 2015 and subsequently amended the plan in April 2016, 2017, 2019, 2021, 2022 and 2024 and again in October 2024. The amended plans increased the common stock reserved for issuance under the 2015 Plan to an aggregate 14,930,277 shares. The Company assumed Progenics equity plans due to the acquisition as discussed in Note 1, </w:t>
      </w:r>
      <w:r>
        <w:rPr>
          <w:rFonts w:ascii="Times New Roman" w:cs="Times New Roman" w:eastAsia="Times New Roman" w:hAnsi="Times New Roman"/>
          <w:sz w:val="19"/>
          <w:szCs w:val="19"/>
          <w:i w:val="1"/>
          <w:iCs w:val="1"/>
          <w:color w:val="auto"/>
        </w:rPr>
        <w:t>“Description of Business”</w:t>
      </w:r>
      <w:r>
        <w:rPr>
          <w:rFonts w:ascii="Times New Roman" w:cs="Times New Roman" w:eastAsia="Times New Roman" w:hAnsi="Times New Roman"/>
          <w:sz w:val="19"/>
          <w:szCs w:val="19"/>
          <w:color w:val="auto"/>
        </w:rPr>
        <w:t xml:space="preserve"> to these consolidated financial statements. The Company no longer grants new equity awards under the Progenics equity plans.</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Stock-based compensation expense recognized in the consolidated statements of operations is summarized below:</w:t>
      </w:r>
    </w:p>
    <w:p>
      <w:pPr>
        <w:spacing w:after="0" w:line="206" w:lineRule="exact"/>
        <w:rPr>
          <w:sz w:val="20"/>
          <w:szCs w:val="20"/>
          <w:color w:val="auto"/>
        </w:rPr>
      </w:pPr>
    </w:p>
    <w:tbl>
      <w:tblPr>
        <w:tblLayout w:type="fixed"/>
        <w:tblInd w:w="700" w:type="dxa"/>
        <w:tblCellMar>
          <w:top w:w="0" w:type="dxa"/>
          <w:left w:w="0" w:type="dxa"/>
          <w:bottom w:w="0" w:type="dxa"/>
          <w:right w:w="0" w:type="dxa"/>
        </w:tblCellMar>
      </w:tblPr>
      <w:tr>
        <w:trPr>
          <w:trHeight w:val="262"/>
        </w:trPr>
        <w:tc>
          <w:tcPr>
            <w:tcW w:w="5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8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60" w:type="dxa"/>
            <w:vAlign w:val="bottom"/>
            <w:tcBorders>
              <w:bottom w:val="single" w:sz="8" w:color="auto"/>
            </w:tcBorders>
          </w:tcPr>
          <w:p>
            <w:pPr>
              <w:spacing w:after="0"/>
              <w:rPr>
                <w:sz w:val="22"/>
                <w:szCs w:val="22"/>
                <w:color w:val="auto"/>
              </w:rPr>
            </w:pPr>
          </w:p>
        </w:tc>
      </w:tr>
      <w:tr>
        <w:trPr>
          <w:trHeight w:val="259"/>
        </w:trPr>
        <w:tc>
          <w:tcPr>
            <w:tcW w:w="5220" w:type="dxa"/>
            <w:vAlign w:val="bottom"/>
            <w:tcBorders>
              <w:bottom w:val="single" w:sz="8" w:color="E9E9E9"/>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Borders>
              <w:bottom w:val="single" w:sz="8" w:color="E9E9E9"/>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Borders>
              <w:bottom w:val="single" w:sz="8" w:color="E9E9E9"/>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20"/>
                <w:szCs w:val="20"/>
                <w:b w:val="1"/>
                <w:bCs w:val="1"/>
                <w:color w:val="auto"/>
                <w:w w:val="99"/>
              </w:rPr>
              <w:t>2022</w:t>
            </w:r>
          </w:p>
        </w:tc>
      </w:tr>
      <w:tr>
        <w:trPr>
          <w:trHeight w:val="269"/>
        </w:trPr>
        <w:tc>
          <w:tcPr>
            <w:tcW w:w="522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Cost of goods sold</w:t>
            </w:r>
          </w:p>
        </w:tc>
        <w:tc>
          <w:tcPr>
            <w:tcW w:w="300" w:type="dxa"/>
            <w:vAlign w:val="bottom"/>
            <w:shd w:val="clear" w:color="auto" w:fill="E9E9E9"/>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12,670</w:t>
            </w:r>
          </w:p>
        </w:tc>
        <w:tc>
          <w:tcPr>
            <w:tcW w:w="360" w:type="dxa"/>
            <w:vAlign w:val="bottom"/>
            <w:gridSpan w:val="2"/>
            <w:shd w:val="clear" w:color="auto" w:fill="E9E9E9"/>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9,126</w:t>
            </w:r>
          </w:p>
        </w:tc>
        <w:tc>
          <w:tcPr>
            <w:tcW w:w="500" w:type="dxa"/>
            <w:vAlign w:val="bottom"/>
            <w:gridSpan w:val="2"/>
            <w:shd w:val="clear" w:color="auto" w:fill="E9E9E9"/>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4,422</w:t>
            </w:r>
          </w:p>
        </w:tc>
      </w:tr>
      <w:tr>
        <w:trPr>
          <w:trHeight w:val="273"/>
        </w:trPr>
        <w:tc>
          <w:tcPr>
            <w:tcW w:w="5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Sales and marketing</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13,899</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9,500</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6,185</w:t>
            </w:r>
          </w:p>
        </w:tc>
      </w:tr>
      <w:tr>
        <w:trPr>
          <w:trHeight w:val="285"/>
        </w:trPr>
        <w:tc>
          <w:tcPr>
            <w:tcW w:w="522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300" w:type="dxa"/>
            <w:vAlign w:val="bottom"/>
            <w:shd w:val="clear" w:color="auto" w:fill="E9E9E9"/>
          </w:tcPr>
          <w:p>
            <w:pPr>
              <w:spacing w:after="0"/>
              <w:rPr>
                <w:sz w:val="24"/>
                <w:szCs w:val="24"/>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37,945</w:t>
            </w:r>
          </w:p>
        </w:tc>
        <w:tc>
          <w:tcPr>
            <w:tcW w:w="60" w:type="dxa"/>
            <w:vAlign w:val="bottom"/>
            <w:shd w:val="clear" w:color="auto" w:fill="E9E9E9"/>
          </w:tcPr>
          <w:p>
            <w:pPr>
              <w:spacing w:after="0"/>
              <w:rPr>
                <w:sz w:val="24"/>
                <w:szCs w:val="24"/>
                <w:color w:val="auto"/>
              </w:rPr>
            </w:pPr>
          </w:p>
        </w:tc>
        <w:tc>
          <w:tcPr>
            <w:tcW w:w="300" w:type="dxa"/>
            <w:vAlign w:val="bottom"/>
            <w:shd w:val="clear" w:color="auto" w:fill="E9E9E9"/>
          </w:tcPr>
          <w:p>
            <w:pPr>
              <w:spacing w:after="0"/>
              <w:rPr>
                <w:sz w:val="24"/>
                <w:szCs w:val="24"/>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24,807</w:t>
            </w:r>
          </w:p>
        </w:tc>
        <w:tc>
          <w:tcPr>
            <w:tcW w:w="80" w:type="dxa"/>
            <w:vAlign w:val="bottom"/>
            <w:shd w:val="clear" w:color="auto" w:fill="E9E9E9"/>
          </w:tcPr>
          <w:p>
            <w:pPr>
              <w:spacing w:after="0"/>
              <w:rPr>
                <w:sz w:val="24"/>
                <w:szCs w:val="24"/>
                <w:color w:val="auto"/>
              </w:rPr>
            </w:pPr>
          </w:p>
        </w:tc>
        <w:tc>
          <w:tcPr>
            <w:tcW w:w="420" w:type="dxa"/>
            <w:vAlign w:val="bottom"/>
            <w:shd w:val="clear" w:color="auto" w:fill="E9E9E9"/>
          </w:tcPr>
          <w:p>
            <w:pPr>
              <w:spacing w:after="0"/>
              <w:rPr>
                <w:sz w:val="24"/>
                <w:szCs w:val="24"/>
                <w:color w:val="auto"/>
              </w:rPr>
            </w:pPr>
          </w:p>
        </w:tc>
        <w:tc>
          <w:tcPr>
            <w:tcW w:w="8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14,876</w:t>
            </w:r>
          </w:p>
        </w:tc>
      </w:tr>
      <w:tr>
        <w:trPr>
          <w:trHeight w:val="269"/>
        </w:trPr>
        <w:tc>
          <w:tcPr>
            <w:tcW w:w="5220" w:type="dxa"/>
            <w:vAlign w:val="bottom"/>
            <w:tcBorders>
              <w:bottom w:val="single" w:sz="8" w:color="E9E9E9"/>
            </w:tcBorders>
          </w:tcPr>
          <w:p>
            <w:pPr>
              <w:ind w:left="60"/>
              <w:spacing w:after="0"/>
              <w:rPr>
                <w:sz w:val="20"/>
                <w:szCs w:val="20"/>
                <w:color w:val="auto"/>
              </w:rPr>
            </w:pPr>
            <w:r>
              <w:rPr>
                <w:rFonts w:ascii="Times New Roman" w:cs="Times New Roman" w:eastAsia="Times New Roman" w:hAnsi="Times New Roman"/>
                <w:sz w:val="20"/>
                <w:szCs w:val="20"/>
                <w:color w:val="auto"/>
              </w:rPr>
              <w:t>Research and development</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11,879</w:t>
            </w:r>
          </w:p>
        </w:tc>
        <w:tc>
          <w:tcPr>
            <w:tcW w:w="60" w:type="dxa"/>
            <w:vAlign w:val="bottom"/>
            <w:tcBorders>
              <w:bottom w:val="single" w:sz="8" w:color="E9E9E9"/>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7,074</w:t>
            </w:r>
          </w:p>
        </w:tc>
        <w:tc>
          <w:tcPr>
            <w:tcW w:w="80" w:type="dxa"/>
            <w:vAlign w:val="bottom"/>
            <w:tcBorders>
              <w:bottom w:val="single" w:sz="8" w:color="E9E9E9"/>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3,779</w:t>
            </w:r>
          </w:p>
        </w:tc>
      </w:tr>
      <w:tr>
        <w:trPr>
          <w:trHeight w:val="279"/>
        </w:trPr>
        <w:tc>
          <w:tcPr>
            <w:tcW w:w="5220" w:type="dxa"/>
            <w:vAlign w:val="bottom"/>
            <w:tcBorders>
              <w:bottom w:val="single" w:sz="8" w:color="E9E9E9"/>
            </w:tcBorders>
            <w:shd w:val="clear" w:color="auto" w:fill="E9E9E9"/>
          </w:tcPr>
          <w:p>
            <w:pPr>
              <w:ind w:left="400"/>
              <w:spacing w:after="0"/>
              <w:rPr>
                <w:sz w:val="20"/>
                <w:szCs w:val="20"/>
                <w:color w:val="auto"/>
              </w:rPr>
            </w:pPr>
            <w:r>
              <w:rPr>
                <w:rFonts w:ascii="Times New Roman" w:cs="Times New Roman" w:eastAsia="Times New Roman" w:hAnsi="Times New Roman"/>
                <w:sz w:val="20"/>
                <w:szCs w:val="20"/>
                <w:color w:val="auto"/>
              </w:rPr>
              <w:t>Total stock-based compensation expense</w:t>
            </w:r>
          </w:p>
        </w:tc>
        <w:tc>
          <w:tcPr>
            <w:tcW w:w="300" w:type="dxa"/>
            <w:vAlign w:val="bottom"/>
            <w:tcBorders>
              <w:bottom w:val="single" w:sz="8" w:color="auto"/>
            </w:tcBorders>
            <w:shd w:val="clear" w:color="auto" w:fill="E9E9E9"/>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76,393</w:t>
            </w:r>
          </w:p>
        </w:tc>
        <w:tc>
          <w:tcPr>
            <w:tcW w:w="60" w:type="dxa"/>
            <w:vAlign w:val="bottom"/>
            <w:tcBorders>
              <w:bottom w:val="single" w:sz="8" w:color="E9E9E9"/>
            </w:tcBorders>
            <w:shd w:val="clear" w:color="auto" w:fill="E9E9E9"/>
          </w:tcPr>
          <w:p>
            <w:pPr>
              <w:spacing w:after="0"/>
              <w:rPr>
                <w:sz w:val="24"/>
                <w:szCs w:val="24"/>
                <w:color w:val="auto"/>
              </w:rPr>
            </w:pPr>
          </w:p>
        </w:tc>
        <w:tc>
          <w:tcPr>
            <w:tcW w:w="300" w:type="dxa"/>
            <w:vAlign w:val="bottom"/>
            <w:tcBorders>
              <w:bottom w:val="single" w:sz="8" w:color="auto"/>
            </w:tcBorders>
            <w:shd w:val="clear" w:color="auto" w:fill="E9E9E9"/>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50,507</w:t>
            </w:r>
          </w:p>
        </w:tc>
        <w:tc>
          <w:tcPr>
            <w:tcW w:w="80" w:type="dxa"/>
            <w:vAlign w:val="bottom"/>
            <w:tcBorders>
              <w:bottom w:val="single" w:sz="8" w:color="E9E9E9"/>
            </w:tcBorders>
            <w:shd w:val="clear" w:color="auto" w:fill="E9E9E9"/>
          </w:tcPr>
          <w:p>
            <w:pPr>
              <w:spacing w:after="0"/>
              <w:rPr>
                <w:sz w:val="24"/>
                <w:szCs w:val="24"/>
                <w:color w:val="auto"/>
              </w:rPr>
            </w:pPr>
          </w:p>
        </w:tc>
        <w:tc>
          <w:tcPr>
            <w:tcW w:w="420" w:type="dxa"/>
            <w:vAlign w:val="bottom"/>
            <w:tcBorders>
              <w:bottom w:val="single" w:sz="8" w:color="auto"/>
            </w:tcBorders>
            <w:shd w:val="clear" w:color="auto" w:fill="E9E9E9"/>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29,262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3744595</wp:posOffset>
            </wp:positionH>
            <wp:positionV relativeFrom="paragraph">
              <wp:posOffset>-43180</wp:posOffset>
            </wp:positionV>
            <wp:extent cx="2555240" cy="501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55240" cy="5016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131" w:lineRule="exact"/>
        <w:rPr>
          <w:sz w:val="20"/>
          <w:szCs w:val="20"/>
          <w:color w:val="auto"/>
        </w:rPr>
      </w:pPr>
    </w:p>
    <w:p>
      <w:pPr>
        <w:ind w:right="260" w:firstLine="441"/>
        <w:spacing w:after="0" w:line="271" w:lineRule="auto"/>
        <w:rPr>
          <w:sz w:val="20"/>
          <w:szCs w:val="20"/>
          <w:color w:val="auto"/>
        </w:rPr>
      </w:pPr>
      <w:r>
        <w:rPr>
          <w:rFonts w:ascii="Times New Roman" w:cs="Times New Roman" w:eastAsia="Times New Roman" w:hAnsi="Times New Roman"/>
          <w:sz w:val="20"/>
          <w:szCs w:val="20"/>
          <w:color w:val="auto"/>
        </w:rPr>
        <w:t>Stock option awards under the 2015 Plan are granted with an exercise price equal to the fair value of the Company’s common stock at the date of grant. All option awards have a ten-year contractual term.</w:t>
      </w:r>
    </w:p>
    <w:p>
      <w:pPr>
        <w:spacing w:after="0" w:line="186" w:lineRule="exact"/>
        <w:rPr>
          <w:sz w:val="20"/>
          <w:szCs w:val="20"/>
          <w:color w:val="auto"/>
        </w:rPr>
      </w:pPr>
    </w:p>
    <w:tbl>
      <w:tblPr>
        <w:tblLayout w:type="fixed"/>
        <w:tblInd w:w="440" w:type="dxa"/>
        <w:tblCellMar>
          <w:top w:w="0" w:type="dxa"/>
          <w:left w:w="0" w:type="dxa"/>
          <w:bottom w:w="0" w:type="dxa"/>
          <w:right w:w="0" w:type="dxa"/>
        </w:tblCellMar>
      </w:tblPr>
      <w:tr>
        <w:trPr>
          <w:trHeight w:val="255"/>
        </w:trPr>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 summary of option activity for 2024 is presented below:</w:t>
            </w: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4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Weighted-</w:t>
            </w:r>
          </w:p>
        </w:tc>
        <w:tc>
          <w:tcPr>
            <w:tcW w:w="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vMerge w:val="restart"/>
          </w:tcPr>
          <w:p>
            <w:pPr>
              <w:jc w:val="center"/>
              <w:ind w:right="62"/>
              <w:spacing w:after="0"/>
              <w:rPr>
                <w:sz w:val="20"/>
                <w:szCs w:val="20"/>
                <w:color w:val="auto"/>
              </w:rPr>
            </w:pPr>
            <w:r>
              <w:rPr>
                <w:rFonts w:ascii="Times New Roman" w:cs="Times New Roman" w:eastAsia="Times New Roman" w:hAnsi="Times New Roman"/>
                <w:sz w:val="20"/>
                <w:szCs w:val="20"/>
                <w:color w:val="auto"/>
                <w:w w:val="97"/>
              </w:rPr>
              <w:t>Weighted-</w:t>
            </w:r>
          </w:p>
        </w:tc>
        <w:tc>
          <w:tcPr>
            <w:tcW w:w="80" w:type="dxa"/>
            <w:vAlign w:val="bottom"/>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20"/>
                <w:szCs w:val="20"/>
                <w:color w:val="auto"/>
                <w:w w:val="97"/>
              </w:rPr>
              <w:t>Average</w:t>
            </w:r>
          </w:p>
        </w:tc>
        <w:tc>
          <w:tcPr>
            <w:tcW w:w="80" w:type="dxa"/>
            <w:vAlign w:val="bottom"/>
          </w:tcPr>
          <w:p>
            <w:pPr>
              <w:spacing w:after="0"/>
              <w:rPr>
                <w:sz w:val="17"/>
                <w:szCs w:val="17"/>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Aggregate</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vMerge w:val="restart"/>
          </w:tcPr>
          <w:p>
            <w:pPr>
              <w:jc w:val="center"/>
              <w:ind w:right="22"/>
              <w:spacing w:after="0"/>
              <w:rPr>
                <w:sz w:val="20"/>
                <w:szCs w:val="20"/>
                <w:color w:val="auto"/>
              </w:rPr>
            </w:pPr>
            <w:r>
              <w:rPr>
                <w:rFonts w:ascii="Times New Roman" w:cs="Times New Roman" w:eastAsia="Times New Roman" w:hAnsi="Times New Roman"/>
                <w:sz w:val="20"/>
                <w:szCs w:val="20"/>
                <w:color w:val="auto"/>
                <w:w w:val="99"/>
              </w:rPr>
              <w:t>Total</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20"/>
                <w:szCs w:val="20"/>
                <w:color w:val="auto"/>
                <w:w w:val="97"/>
              </w:rPr>
              <w:t>Remaining</w:t>
            </w:r>
          </w:p>
        </w:tc>
        <w:tc>
          <w:tcPr>
            <w:tcW w:w="8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center"/>
              <w:ind w:right="62"/>
              <w:spacing w:after="0" w:line="196" w:lineRule="exact"/>
              <w:rPr>
                <w:sz w:val="20"/>
                <w:szCs w:val="20"/>
                <w:color w:val="auto"/>
              </w:rPr>
            </w:pPr>
            <w:r>
              <w:rPr>
                <w:rFonts w:ascii="Times New Roman" w:cs="Times New Roman" w:eastAsia="Times New Roman" w:hAnsi="Times New Roman"/>
                <w:sz w:val="20"/>
                <w:szCs w:val="20"/>
                <w:color w:val="auto"/>
                <w:w w:val="97"/>
              </w:rPr>
              <w:t>Average</w:t>
            </w:r>
          </w:p>
        </w:tc>
        <w:tc>
          <w:tcPr>
            <w:tcW w:w="80" w:type="dxa"/>
            <w:vAlign w:val="bottom"/>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20"/>
                <w:szCs w:val="20"/>
                <w:color w:val="auto"/>
                <w:w w:val="96"/>
              </w:rPr>
              <w:t>Contractual</w:t>
            </w:r>
          </w:p>
        </w:tc>
        <w:tc>
          <w:tcPr>
            <w:tcW w:w="80" w:type="dxa"/>
            <w:vAlign w:val="bottom"/>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20"/>
                <w:szCs w:val="20"/>
                <w:color w:val="auto"/>
                <w:w w:val="98"/>
              </w:rPr>
              <w:t>Intrinsic</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42"/>
              <w:spacing w:after="0" w:line="196" w:lineRule="exact"/>
              <w:rPr>
                <w:sz w:val="20"/>
                <w:szCs w:val="20"/>
                <w:color w:val="auto"/>
              </w:rPr>
            </w:pPr>
            <w:r>
              <w:rPr>
                <w:rFonts w:ascii="Times New Roman" w:cs="Times New Roman" w:eastAsia="Times New Roman" w:hAnsi="Times New Roman"/>
                <w:sz w:val="20"/>
                <w:szCs w:val="20"/>
                <w:color w:val="auto"/>
                <w:w w:val="96"/>
              </w:rPr>
              <w:t>Stock</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center"/>
              <w:ind w:right="42"/>
              <w:spacing w:after="0" w:line="196" w:lineRule="exact"/>
              <w:rPr>
                <w:sz w:val="20"/>
                <w:szCs w:val="20"/>
                <w:color w:val="auto"/>
              </w:rPr>
            </w:pPr>
            <w:r>
              <w:rPr>
                <w:rFonts w:ascii="Times New Roman" w:cs="Times New Roman" w:eastAsia="Times New Roman" w:hAnsi="Times New Roman"/>
                <w:sz w:val="20"/>
                <w:szCs w:val="20"/>
                <w:color w:val="auto"/>
                <w:w w:val="98"/>
              </w:rPr>
              <w:t>Exercise</w:t>
            </w:r>
          </w:p>
        </w:tc>
        <w:tc>
          <w:tcPr>
            <w:tcW w:w="80" w:type="dxa"/>
            <w:vAlign w:val="bottom"/>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20"/>
                <w:szCs w:val="20"/>
                <w:color w:val="auto"/>
                <w:w w:val="96"/>
              </w:rPr>
              <w:t>Term</w:t>
            </w:r>
          </w:p>
        </w:tc>
        <w:tc>
          <w:tcPr>
            <w:tcW w:w="80" w:type="dxa"/>
            <w:vAlign w:val="bottom"/>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20"/>
                <w:szCs w:val="20"/>
                <w:color w:val="auto"/>
                <w:w w:val="96"/>
              </w:rPr>
              <w:t>Value</w:t>
            </w:r>
          </w:p>
        </w:tc>
        <w:tc>
          <w:tcPr>
            <w:tcW w:w="0" w:type="dxa"/>
            <w:vAlign w:val="bottom"/>
          </w:tcPr>
          <w:p>
            <w:pPr>
              <w:spacing w:after="0"/>
              <w:rPr>
                <w:sz w:val="1"/>
                <w:szCs w:val="1"/>
                <w:color w:val="auto"/>
              </w:rPr>
            </w:pPr>
          </w:p>
        </w:tc>
      </w:tr>
      <w:tr>
        <w:trPr>
          <w:trHeight w:val="257"/>
        </w:trPr>
        <w:tc>
          <w:tcPr>
            <w:tcW w:w="240" w:type="dxa"/>
            <w:vAlign w:val="bottom"/>
          </w:tcPr>
          <w:p>
            <w:pPr>
              <w:spacing w:after="0"/>
              <w:rPr>
                <w:sz w:val="22"/>
                <w:szCs w:val="22"/>
                <w:color w:val="auto"/>
              </w:rPr>
            </w:pPr>
          </w:p>
        </w:tc>
        <w:tc>
          <w:tcPr>
            <w:tcW w:w="4340" w:type="dxa"/>
            <w:vAlign w:val="bottom"/>
            <w:tcBorders>
              <w:bottom w:val="single" w:sz="8" w:color="E9E9E9"/>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20"/>
                <w:szCs w:val="20"/>
                <w:color w:val="auto"/>
                <w:w w:val="97"/>
              </w:rPr>
              <w:t>Options</w:t>
            </w:r>
          </w:p>
        </w:tc>
        <w:tc>
          <w:tcPr>
            <w:tcW w:w="80" w:type="dxa"/>
            <w:vAlign w:val="bottom"/>
            <w:tcBorders>
              <w:bottom w:val="single" w:sz="8" w:color="E9E9E9"/>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20"/>
                <w:szCs w:val="20"/>
                <w:color w:val="auto"/>
                <w:w w:val="97"/>
              </w:rPr>
              <w:t>Price</w:t>
            </w:r>
          </w:p>
        </w:tc>
        <w:tc>
          <w:tcPr>
            <w:tcW w:w="80" w:type="dxa"/>
            <w:vAlign w:val="bottom"/>
            <w:tcBorders>
              <w:bottom w:val="single" w:sz="8" w:color="E9E9E9"/>
            </w:tcBorders>
          </w:tcPr>
          <w:p>
            <w:pPr>
              <w:spacing w:after="0"/>
              <w:rPr>
                <w:sz w:val="22"/>
                <w:szCs w:val="22"/>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(Years)</w:t>
            </w:r>
          </w:p>
        </w:tc>
        <w:tc>
          <w:tcPr>
            <w:tcW w:w="80" w:type="dxa"/>
            <w:vAlign w:val="bottom"/>
            <w:tcBorders>
              <w:bottom w:val="single" w:sz="8" w:color="E9E9E9"/>
            </w:tcBorders>
          </w:tcPr>
          <w:p>
            <w:pPr>
              <w:spacing w:after="0"/>
              <w:rPr>
                <w:sz w:val="22"/>
                <w:szCs w:val="22"/>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4"/>
              </w:rPr>
              <w:t>($)</w:t>
            </w:r>
          </w:p>
        </w:tc>
        <w:tc>
          <w:tcPr>
            <w:tcW w:w="0" w:type="dxa"/>
            <w:vAlign w:val="bottom"/>
          </w:tcPr>
          <w:p>
            <w:pPr>
              <w:spacing w:after="0"/>
              <w:rPr>
                <w:sz w:val="1"/>
                <w:szCs w:val="1"/>
                <w:color w:val="auto"/>
              </w:rPr>
            </w:pPr>
          </w:p>
        </w:tc>
      </w:tr>
      <w:tr>
        <w:trPr>
          <w:trHeight w:val="284"/>
        </w:trPr>
        <w:tc>
          <w:tcPr>
            <w:tcW w:w="240" w:type="dxa"/>
            <w:vAlign w:val="bottom"/>
          </w:tcPr>
          <w:p>
            <w:pPr>
              <w:spacing w:after="0"/>
              <w:rPr>
                <w:sz w:val="24"/>
                <w:szCs w:val="24"/>
                <w:color w:val="auto"/>
              </w:rPr>
            </w:pPr>
          </w:p>
        </w:tc>
        <w:tc>
          <w:tcPr>
            <w:tcW w:w="4480" w:type="dxa"/>
            <w:vAlign w:val="bottom"/>
            <w:gridSpan w:val="2"/>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Balance at January 1, 2024</w:t>
            </w: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957,172</w:t>
            </w:r>
          </w:p>
        </w:tc>
        <w:tc>
          <w:tcPr>
            <w:tcW w:w="240" w:type="dxa"/>
            <w:vAlign w:val="bottom"/>
            <w:gridSpan w:val="2"/>
            <w:shd w:val="clear" w:color="auto" w:fill="E9E9E9"/>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48.13</w:t>
            </w:r>
          </w:p>
        </w:tc>
        <w:tc>
          <w:tcPr>
            <w:tcW w:w="1260" w:type="dxa"/>
            <w:vAlign w:val="bottom"/>
            <w:gridSpan w:val="2"/>
            <w:shd w:val="clear" w:color="auto" w:fill="E9E9E9"/>
          </w:tcPr>
          <w:p>
            <w:pPr>
              <w:jc w:val="center"/>
              <w:spacing w:after="0"/>
              <w:rPr>
                <w:sz w:val="20"/>
                <w:szCs w:val="20"/>
                <w:color w:val="auto"/>
              </w:rPr>
            </w:pPr>
            <w:r>
              <w:rPr>
                <w:rFonts w:ascii="Times New Roman" w:cs="Times New Roman" w:eastAsia="Times New Roman" w:hAnsi="Times New Roman"/>
                <w:sz w:val="20"/>
                <w:szCs w:val="20"/>
                <w:color w:val="auto"/>
              </w:rPr>
              <w:t>6.7</w:t>
            </w:r>
          </w:p>
        </w:tc>
        <w:tc>
          <w:tcPr>
            <w:tcW w:w="126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18,283,464</w:t>
            </w:r>
          </w:p>
        </w:tc>
        <w:tc>
          <w:tcPr>
            <w:tcW w:w="0" w:type="dxa"/>
            <w:vAlign w:val="bottom"/>
          </w:tcPr>
          <w:p>
            <w:pPr>
              <w:spacing w:after="0"/>
              <w:rPr>
                <w:sz w:val="1"/>
                <w:szCs w:val="1"/>
                <w:color w:val="auto"/>
              </w:rPr>
            </w:pPr>
          </w:p>
        </w:tc>
      </w:tr>
      <w:tr>
        <w:trPr>
          <w:trHeight w:val="287"/>
        </w:trPr>
        <w:tc>
          <w:tcPr>
            <w:tcW w:w="240" w:type="dxa"/>
            <w:vAlign w:val="bottom"/>
          </w:tcPr>
          <w:p>
            <w:pPr>
              <w:spacing w:after="0"/>
              <w:rPr>
                <w:sz w:val="24"/>
                <w:szCs w:val="24"/>
                <w:color w:val="auto"/>
              </w:rPr>
            </w:pPr>
          </w:p>
        </w:tc>
        <w:tc>
          <w:tcPr>
            <w:tcW w:w="44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Options granted</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544,175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69.99</w:t>
            </w: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40" w:type="dxa"/>
            <w:vAlign w:val="bottom"/>
          </w:tcPr>
          <w:p>
            <w:pPr>
              <w:spacing w:after="0"/>
              <w:rPr>
                <w:sz w:val="24"/>
                <w:szCs w:val="24"/>
                <w:color w:val="auto"/>
              </w:rPr>
            </w:pPr>
          </w:p>
        </w:tc>
        <w:tc>
          <w:tcPr>
            <w:tcW w:w="4480" w:type="dxa"/>
            <w:vAlign w:val="bottom"/>
            <w:gridSpan w:val="2"/>
            <w:shd w:val="clear" w:color="auto" w:fill="E9E9E9"/>
          </w:tcPr>
          <w:p>
            <w:pPr>
              <w:ind w:left="260"/>
              <w:spacing w:after="0"/>
              <w:rPr>
                <w:sz w:val="20"/>
                <w:szCs w:val="20"/>
                <w:color w:val="auto"/>
              </w:rPr>
            </w:pPr>
            <w:r>
              <w:rPr>
                <w:rFonts w:ascii="Times New Roman" w:cs="Times New Roman" w:eastAsia="Times New Roman" w:hAnsi="Times New Roman"/>
                <w:sz w:val="20"/>
                <w:szCs w:val="20"/>
                <w:color w:val="auto"/>
              </w:rPr>
              <w:t>Options exercised</w:t>
            </w: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(209,657)</w:t>
            </w:r>
          </w:p>
        </w:tc>
        <w:tc>
          <w:tcPr>
            <w:tcW w:w="240" w:type="dxa"/>
            <w:vAlign w:val="bottom"/>
            <w:gridSpan w:val="2"/>
            <w:shd w:val="clear" w:color="auto" w:fill="E9E9E9"/>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24.52</w:t>
            </w:r>
          </w:p>
        </w:tc>
        <w:tc>
          <w:tcPr>
            <w:tcW w:w="80" w:type="dxa"/>
            <w:vAlign w:val="bottom"/>
            <w:shd w:val="clear" w:color="auto" w:fill="E9E9E9"/>
          </w:tcPr>
          <w:p>
            <w:pPr>
              <w:spacing w:after="0"/>
              <w:rPr>
                <w:sz w:val="24"/>
                <w:szCs w:val="24"/>
                <w:color w:val="auto"/>
              </w:rPr>
            </w:pPr>
          </w:p>
        </w:tc>
        <w:tc>
          <w:tcPr>
            <w:tcW w:w="1180" w:type="dxa"/>
            <w:vAlign w:val="bottom"/>
            <w:shd w:val="clear" w:color="auto" w:fill="E9E9E9"/>
          </w:tcPr>
          <w:p>
            <w:pPr>
              <w:spacing w:after="0"/>
              <w:rPr>
                <w:sz w:val="24"/>
                <w:szCs w:val="24"/>
                <w:color w:val="auto"/>
              </w:rPr>
            </w:pPr>
          </w:p>
        </w:tc>
        <w:tc>
          <w:tcPr>
            <w:tcW w:w="80" w:type="dxa"/>
            <w:vAlign w:val="bottom"/>
            <w:shd w:val="clear" w:color="auto" w:fill="E9E9E9"/>
          </w:tcPr>
          <w:p>
            <w:pPr>
              <w:spacing w:after="0"/>
              <w:rPr>
                <w:sz w:val="24"/>
                <w:szCs w:val="24"/>
                <w:color w:val="auto"/>
              </w:rPr>
            </w:pPr>
          </w:p>
        </w:tc>
        <w:tc>
          <w:tcPr>
            <w:tcW w:w="1180" w:type="dxa"/>
            <w:vAlign w:val="bottom"/>
            <w:shd w:val="clear" w:color="auto" w:fill="E9E9E9"/>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40" w:type="dxa"/>
            <w:vAlign w:val="bottom"/>
          </w:tcPr>
          <w:p>
            <w:pPr>
              <w:spacing w:after="0"/>
              <w:rPr>
                <w:sz w:val="24"/>
                <w:szCs w:val="24"/>
                <w:color w:val="auto"/>
              </w:rPr>
            </w:pPr>
          </w:p>
        </w:tc>
        <w:tc>
          <w:tcPr>
            <w:tcW w:w="4340" w:type="dxa"/>
            <w:vAlign w:val="bottom"/>
            <w:tcBorders>
              <w:bottom w:val="single" w:sz="8" w:color="E9E9E9"/>
            </w:tcBorders>
          </w:tcPr>
          <w:p>
            <w:pPr>
              <w:ind w:left="260"/>
              <w:spacing w:after="0"/>
              <w:rPr>
                <w:sz w:val="20"/>
                <w:szCs w:val="20"/>
                <w:color w:val="auto"/>
              </w:rPr>
            </w:pPr>
            <w:r>
              <w:rPr>
                <w:rFonts w:ascii="Times New Roman" w:cs="Times New Roman" w:eastAsia="Times New Roman" w:hAnsi="Times New Roman"/>
                <w:sz w:val="20"/>
                <w:szCs w:val="20"/>
                <w:color w:val="auto"/>
              </w:rPr>
              <w:t>Options cancelled and forfeited</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(74,944)</w:t>
            </w:r>
          </w:p>
        </w:tc>
        <w:tc>
          <w:tcPr>
            <w:tcW w:w="240" w:type="dxa"/>
            <w:vAlign w:val="bottom"/>
            <w:tcBorders>
              <w:bottom w:val="single" w:sz="8" w:color="E9E9E9"/>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E9E9E9"/>
            </w:tcBorders>
          </w:tcPr>
          <w:p>
            <w:pPr>
              <w:jc w:val="right"/>
              <w:spacing w:after="0"/>
              <w:rPr>
                <w:sz w:val="20"/>
                <w:szCs w:val="20"/>
                <w:color w:val="auto"/>
              </w:rPr>
            </w:pPr>
            <w:r>
              <w:rPr>
                <w:rFonts w:ascii="Times New Roman" w:cs="Times New Roman" w:eastAsia="Times New Roman" w:hAnsi="Times New Roman"/>
                <w:sz w:val="20"/>
                <w:szCs w:val="20"/>
                <w:color w:val="auto"/>
              </w:rPr>
              <w:t>65.34</w:t>
            </w:r>
          </w:p>
        </w:tc>
        <w:tc>
          <w:tcPr>
            <w:tcW w:w="80" w:type="dxa"/>
            <w:vAlign w:val="bottom"/>
            <w:tcBorders>
              <w:bottom w:val="single" w:sz="8" w:color="E9E9E9"/>
            </w:tcBorders>
          </w:tcPr>
          <w:p>
            <w:pPr>
              <w:spacing w:after="0"/>
              <w:rPr>
                <w:sz w:val="24"/>
                <w:szCs w:val="24"/>
                <w:color w:val="auto"/>
              </w:rPr>
            </w:pPr>
          </w:p>
        </w:tc>
        <w:tc>
          <w:tcPr>
            <w:tcW w:w="1180" w:type="dxa"/>
            <w:vAlign w:val="bottom"/>
            <w:tcBorders>
              <w:bottom w:val="single" w:sz="8" w:color="E9E9E9"/>
            </w:tcBorders>
          </w:tcPr>
          <w:p>
            <w:pPr>
              <w:spacing w:after="0"/>
              <w:rPr>
                <w:sz w:val="24"/>
                <w:szCs w:val="24"/>
                <w:color w:val="auto"/>
              </w:rPr>
            </w:pPr>
          </w:p>
        </w:tc>
        <w:tc>
          <w:tcPr>
            <w:tcW w:w="80" w:type="dxa"/>
            <w:vAlign w:val="bottom"/>
            <w:tcBorders>
              <w:bottom w:val="single" w:sz="8" w:color="E9E9E9"/>
            </w:tcBorders>
          </w:tcPr>
          <w:p>
            <w:pPr>
              <w:spacing w:after="0"/>
              <w:rPr>
                <w:sz w:val="24"/>
                <w:szCs w:val="24"/>
                <w:color w:val="auto"/>
              </w:rPr>
            </w:pPr>
          </w:p>
        </w:tc>
        <w:tc>
          <w:tcPr>
            <w:tcW w:w="1180" w:type="dxa"/>
            <w:vAlign w:val="bottom"/>
            <w:tcBorders>
              <w:bottom w:val="single" w:sz="8" w:color="E9E9E9"/>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40" w:type="dxa"/>
            <w:vAlign w:val="bottom"/>
          </w:tcPr>
          <w:p>
            <w:pPr>
              <w:spacing w:after="0"/>
              <w:rPr>
                <w:sz w:val="24"/>
                <w:szCs w:val="24"/>
                <w:color w:val="auto"/>
              </w:rPr>
            </w:pPr>
          </w:p>
        </w:tc>
        <w:tc>
          <w:tcPr>
            <w:tcW w:w="4480" w:type="dxa"/>
            <w:vAlign w:val="bottom"/>
            <w:gridSpan w:val="2"/>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Outstanding at December 31, 2024</w:t>
            </w: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1,216,746</w:t>
            </w:r>
          </w:p>
        </w:tc>
        <w:tc>
          <w:tcPr>
            <w:tcW w:w="240" w:type="dxa"/>
            <w:vAlign w:val="bottom"/>
            <w:gridSpan w:val="2"/>
            <w:shd w:val="clear" w:color="auto" w:fill="E9E9E9"/>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60.92</w:t>
            </w:r>
          </w:p>
        </w:tc>
        <w:tc>
          <w:tcPr>
            <w:tcW w:w="1260" w:type="dxa"/>
            <w:vAlign w:val="bottom"/>
            <w:gridSpan w:val="2"/>
            <w:shd w:val="clear" w:color="auto" w:fill="E9E9E9"/>
          </w:tcPr>
          <w:p>
            <w:pPr>
              <w:jc w:val="center"/>
              <w:spacing w:after="0"/>
              <w:rPr>
                <w:sz w:val="20"/>
                <w:szCs w:val="20"/>
                <w:color w:val="auto"/>
              </w:rPr>
            </w:pPr>
            <w:r>
              <w:rPr>
                <w:rFonts w:ascii="Times New Roman" w:cs="Times New Roman" w:eastAsia="Times New Roman" w:hAnsi="Times New Roman"/>
                <w:sz w:val="20"/>
                <w:szCs w:val="20"/>
                <w:color w:val="auto"/>
              </w:rPr>
              <w:t>7.6</w:t>
            </w:r>
          </w:p>
        </w:tc>
        <w:tc>
          <w:tcPr>
            <w:tcW w:w="126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35,707,375</w:t>
            </w:r>
          </w:p>
        </w:tc>
        <w:tc>
          <w:tcPr>
            <w:tcW w:w="0" w:type="dxa"/>
            <w:vAlign w:val="bottom"/>
          </w:tcPr>
          <w:p>
            <w:pPr>
              <w:spacing w:after="0"/>
              <w:rPr>
                <w:sz w:val="1"/>
                <w:szCs w:val="1"/>
                <w:color w:val="auto"/>
              </w:rPr>
            </w:pPr>
          </w:p>
        </w:tc>
      </w:tr>
      <w:tr>
        <w:trPr>
          <w:trHeight w:val="274"/>
        </w:trPr>
        <w:tc>
          <w:tcPr>
            <w:tcW w:w="240" w:type="dxa"/>
            <w:vAlign w:val="bottom"/>
          </w:tcPr>
          <w:p>
            <w:pPr>
              <w:spacing w:after="0"/>
              <w:rPr>
                <w:sz w:val="23"/>
                <w:szCs w:val="23"/>
                <w:color w:val="auto"/>
              </w:rPr>
            </w:pPr>
          </w:p>
        </w:tc>
        <w:tc>
          <w:tcPr>
            <w:tcW w:w="4340" w:type="dxa"/>
            <w:vAlign w:val="bottom"/>
            <w:tcBorders>
              <w:top w:val="single" w:sz="8" w:color="E9E9E9"/>
              <w:bottom w:val="single" w:sz="8" w:color="E9E9E9"/>
            </w:tcBorders>
          </w:tcPr>
          <w:p>
            <w:pPr>
              <w:ind w:left="40"/>
              <w:spacing w:after="0"/>
              <w:rPr>
                <w:sz w:val="20"/>
                <w:szCs w:val="20"/>
                <w:color w:val="auto"/>
              </w:rPr>
            </w:pPr>
            <w:r>
              <w:rPr>
                <w:rFonts w:ascii="Times New Roman" w:cs="Times New Roman" w:eastAsia="Times New Roman" w:hAnsi="Times New Roman"/>
                <w:sz w:val="20"/>
                <w:szCs w:val="20"/>
                <w:color w:val="auto"/>
              </w:rPr>
              <w:t>Vested and expected to vest at December 31, 2024</w:t>
            </w:r>
          </w:p>
        </w:tc>
        <w:tc>
          <w:tcPr>
            <w:tcW w:w="14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1,180,842</w:t>
            </w:r>
          </w:p>
        </w:tc>
        <w:tc>
          <w:tcPr>
            <w:tcW w:w="240" w:type="dxa"/>
            <w:vAlign w:val="bottom"/>
            <w:tcBorders>
              <w:top w:val="single" w:sz="8" w:color="E9E9E9"/>
              <w:bottom w:val="single" w:sz="8" w:color="E9E9E9"/>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E9E9E9"/>
              <w:bottom w:val="single" w:sz="8" w:color="E9E9E9"/>
            </w:tcBorders>
          </w:tcPr>
          <w:p>
            <w:pPr>
              <w:jc w:val="right"/>
              <w:spacing w:after="0"/>
              <w:rPr>
                <w:sz w:val="20"/>
                <w:szCs w:val="20"/>
                <w:color w:val="auto"/>
              </w:rPr>
            </w:pPr>
            <w:r>
              <w:rPr>
                <w:rFonts w:ascii="Times New Roman" w:cs="Times New Roman" w:eastAsia="Times New Roman" w:hAnsi="Times New Roman"/>
                <w:sz w:val="20"/>
                <w:szCs w:val="20"/>
                <w:color w:val="auto"/>
              </w:rPr>
              <w:t>55.69</w:t>
            </w:r>
          </w:p>
        </w:tc>
        <w:tc>
          <w:tcPr>
            <w:tcW w:w="1260" w:type="dxa"/>
            <w:vAlign w:val="bottom"/>
            <w:tcBorders>
              <w:top w:val="single" w:sz="8" w:color="E9E9E9"/>
              <w:bottom w:val="single" w:sz="8" w:color="E9E9E9"/>
            </w:tcBorders>
            <w:gridSpan w:val="2"/>
          </w:tcPr>
          <w:p>
            <w:pPr>
              <w:jc w:val="center"/>
              <w:spacing w:after="0"/>
              <w:rPr>
                <w:sz w:val="20"/>
                <w:szCs w:val="20"/>
                <w:color w:val="auto"/>
              </w:rPr>
            </w:pPr>
            <w:r>
              <w:rPr>
                <w:rFonts w:ascii="Times New Roman" w:cs="Times New Roman" w:eastAsia="Times New Roman" w:hAnsi="Times New Roman"/>
                <w:sz w:val="20"/>
                <w:szCs w:val="20"/>
                <w:color w:val="auto"/>
              </w:rPr>
              <w:t>6.9</w:t>
            </w:r>
          </w:p>
        </w:tc>
        <w:tc>
          <w:tcPr>
            <w:tcW w:w="1260" w:type="dxa"/>
            <w:vAlign w:val="bottom"/>
            <w:tcBorders>
              <w:top w:val="single" w:sz="8" w:color="E9E9E9"/>
              <w:bottom w:val="single" w:sz="8" w:color="E9E9E9"/>
            </w:tcBorders>
            <w:gridSpan w:val="2"/>
          </w:tcPr>
          <w:p>
            <w:pPr>
              <w:jc w:val="right"/>
              <w:spacing w:after="0"/>
              <w:rPr>
                <w:sz w:val="20"/>
                <w:szCs w:val="20"/>
                <w:color w:val="auto"/>
              </w:rPr>
            </w:pPr>
            <w:r>
              <w:rPr>
                <w:rFonts w:ascii="Times New Roman" w:cs="Times New Roman" w:eastAsia="Times New Roman" w:hAnsi="Times New Roman"/>
                <w:sz w:val="20"/>
                <w:szCs w:val="20"/>
                <w:color w:val="auto"/>
              </w:rPr>
              <w:t>35,019,006</w:t>
            </w:r>
          </w:p>
        </w:tc>
        <w:tc>
          <w:tcPr>
            <w:tcW w:w="0" w:type="dxa"/>
            <w:vAlign w:val="bottom"/>
          </w:tcPr>
          <w:p>
            <w:pPr>
              <w:spacing w:after="0"/>
              <w:rPr>
                <w:sz w:val="1"/>
                <w:szCs w:val="1"/>
                <w:color w:val="auto"/>
              </w:rPr>
            </w:pPr>
          </w:p>
        </w:tc>
      </w:tr>
      <w:tr>
        <w:trPr>
          <w:trHeight w:val="274"/>
        </w:trPr>
        <w:tc>
          <w:tcPr>
            <w:tcW w:w="240" w:type="dxa"/>
            <w:vAlign w:val="bottom"/>
          </w:tcPr>
          <w:p>
            <w:pPr>
              <w:spacing w:after="0"/>
              <w:rPr>
                <w:sz w:val="23"/>
                <w:szCs w:val="23"/>
                <w:color w:val="auto"/>
              </w:rPr>
            </w:pPr>
          </w:p>
        </w:tc>
        <w:tc>
          <w:tcPr>
            <w:tcW w:w="4340" w:type="dxa"/>
            <w:vAlign w:val="bottom"/>
            <w:tcBorders>
              <w:bottom w:val="single" w:sz="8" w:color="E9E9E9"/>
            </w:tcBorders>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Exercisable at December 31, 2024</w:t>
            </w:r>
          </w:p>
        </w:tc>
        <w:tc>
          <w:tcPr>
            <w:tcW w:w="140" w:type="dxa"/>
            <w:vAlign w:val="bottom"/>
            <w:tcBorders>
              <w:bottom w:val="single" w:sz="8" w:color="auto"/>
            </w:tcBorders>
            <w:shd w:val="clear" w:color="auto" w:fill="E9E9E9"/>
          </w:tcPr>
          <w:p>
            <w:pPr>
              <w:spacing w:after="0"/>
              <w:rPr>
                <w:sz w:val="23"/>
                <w:szCs w:val="23"/>
                <w:color w:val="auto"/>
              </w:rPr>
            </w:pPr>
          </w:p>
        </w:tc>
        <w:tc>
          <w:tcPr>
            <w:tcW w:w="9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460,419</w:t>
            </w:r>
          </w:p>
        </w:tc>
        <w:tc>
          <w:tcPr>
            <w:tcW w:w="240" w:type="dxa"/>
            <w:vAlign w:val="bottom"/>
            <w:tcBorders>
              <w:bottom w:val="single" w:sz="8" w:color="E9E9E9"/>
            </w:tcBorders>
            <w:gridSpan w:val="2"/>
            <w:shd w:val="clear" w:color="auto" w:fill="E9E9E9"/>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E9E9E9"/>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47.00</w:t>
            </w:r>
          </w:p>
        </w:tc>
        <w:tc>
          <w:tcPr>
            <w:tcW w:w="1260" w:type="dxa"/>
            <w:vAlign w:val="bottom"/>
            <w:tcBorders>
              <w:bottom w:val="single" w:sz="8" w:color="E9E9E9"/>
            </w:tcBorders>
            <w:gridSpan w:val="2"/>
            <w:shd w:val="clear" w:color="auto" w:fill="E9E9E9"/>
          </w:tcPr>
          <w:p>
            <w:pPr>
              <w:jc w:val="center"/>
              <w:spacing w:after="0"/>
              <w:rPr>
                <w:sz w:val="20"/>
                <w:szCs w:val="20"/>
                <w:color w:val="auto"/>
              </w:rPr>
            </w:pPr>
            <w:r>
              <w:rPr>
                <w:rFonts w:ascii="Times New Roman" w:cs="Times New Roman" w:eastAsia="Times New Roman" w:hAnsi="Times New Roman"/>
                <w:sz w:val="20"/>
                <w:szCs w:val="20"/>
                <w:color w:val="auto"/>
              </w:rPr>
              <w:t>5.6</w:t>
            </w:r>
          </w:p>
        </w:tc>
        <w:tc>
          <w:tcPr>
            <w:tcW w:w="1260" w:type="dxa"/>
            <w:vAlign w:val="bottom"/>
            <w:tcBorders>
              <w:bottom w:val="single" w:sz="8" w:color="E9E9E9"/>
            </w:tcBorders>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19,865,507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3180080</wp:posOffset>
            </wp:positionH>
            <wp:positionV relativeFrom="paragraph">
              <wp:posOffset>-416560</wp:posOffset>
            </wp:positionV>
            <wp:extent cx="734695" cy="501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4695" cy="50165"/>
                    </a:xfrm>
                    <a:prstGeom prst="rect">
                      <a:avLst/>
                    </a:prstGeom>
                    <a:noFill/>
                  </pic:spPr>
                </pic:pic>
              </a:graphicData>
            </a:graphic>
          </wp:anchor>
        </w:drawing>
        <w:drawing>
          <wp:anchor simplePos="0" relativeHeight="251657728" behindDoc="1" locked="0" layoutInCell="0" allowOverlap="1">
            <wp:simplePos x="0" y="0"/>
            <wp:positionH relativeFrom="column">
              <wp:posOffset>3180080</wp:posOffset>
            </wp:positionH>
            <wp:positionV relativeFrom="paragraph">
              <wp:posOffset>-229870</wp:posOffset>
            </wp:positionV>
            <wp:extent cx="734695" cy="501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4695" cy="50165"/>
                    </a:xfrm>
                    <a:prstGeom prst="rect">
                      <a:avLst/>
                    </a:prstGeom>
                    <a:noFill/>
                  </pic:spPr>
                </pic:pic>
              </a:graphicData>
            </a:graphic>
          </wp:anchor>
        </w:drawing>
        <w:drawing>
          <wp:anchor simplePos="0" relativeHeight="251657728" behindDoc="1" locked="0" layoutInCell="0" allowOverlap="1">
            <wp:simplePos x="0" y="0"/>
            <wp:positionH relativeFrom="column">
              <wp:posOffset>3180080</wp:posOffset>
            </wp:positionH>
            <wp:positionV relativeFrom="paragraph">
              <wp:posOffset>-43180</wp:posOffset>
            </wp:positionV>
            <wp:extent cx="734695" cy="501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4695" cy="50165"/>
                    </a:xfrm>
                    <a:prstGeom prst="rect">
                      <a:avLst/>
                    </a:prstGeom>
                    <a:noFill/>
                  </pic:spPr>
                </pic:pic>
              </a:graphicData>
            </a:graphic>
          </wp:anchor>
        </w:drawing>
      </w:r>
    </w:p>
    <w:p>
      <w:pPr>
        <w:spacing w:after="0" w:line="2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The table below summarizes the key weighted-average assumptions used in valuing stock options granted:</w:t>
      </w:r>
    </w:p>
    <w:p>
      <w:pPr>
        <w:spacing w:after="0" w:line="73" w:lineRule="exact"/>
        <w:rPr>
          <w:sz w:val="20"/>
          <w:szCs w:val="20"/>
          <w:color w:val="auto"/>
        </w:rPr>
      </w:pPr>
    </w:p>
    <w:tbl>
      <w:tblPr>
        <w:tblLayout w:type="fixed"/>
        <w:tblInd w:w="1760" w:type="dxa"/>
        <w:tblCellMar>
          <w:top w:w="0" w:type="dxa"/>
          <w:left w:w="0" w:type="dxa"/>
          <w:bottom w:w="0" w:type="dxa"/>
          <w:right w:w="0" w:type="dxa"/>
        </w:tblCellMar>
      </w:tblPr>
      <w:tr>
        <w:trPr>
          <w:trHeight w:val="262"/>
        </w:trPr>
        <w:tc>
          <w:tcPr>
            <w:tcW w:w="2760" w:type="dxa"/>
            <w:vAlign w:val="bottom"/>
          </w:tcPr>
          <w:p>
            <w:pPr>
              <w:spacing w:after="0"/>
              <w:rPr>
                <w:sz w:val="22"/>
                <w:szCs w:val="22"/>
                <w:color w:val="auto"/>
              </w:rPr>
            </w:pPr>
          </w:p>
        </w:tc>
        <w:tc>
          <w:tcPr>
            <w:tcW w:w="3340" w:type="dxa"/>
            <w:vAlign w:val="bottom"/>
            <w:tcBorders>
              <w:bottom w:val="single" w:sz="8" w:color="auto"/>
            </w:tcBorders>
            <w:gridSpan w:val="5"/>
          </w:tcPr>
          <w:p>
            <w:pPr>
              <w:ind w:left="106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80" w:type="dxa"/>
            <w:vAlign w:val="bottom"/>
            <w:tcBorders>
              <w:bottom w:val="single" w:sz="8" w:color="auto"/>
            </w:tcBorders>
          </w:tcPr>
          <w:p>
            <w:pPr>
              <w:spacing w:after="0"/>
              <w:rPr>
                <w:sz w:val="22"/>
                <w:szCs w:val="22"/>
                <w:color w:val="auto"/>
              </w:rPr>
            </w:pPr>
          </w:p>
        </w:tc>
      </w:tr>
      <w:tr>
        <w:trPr>
          <w:trHeight w:val="274"/>
        </w:trPr>
        <w:tc>
          <w:tcPr>
            <w:tcW w:w="2760" w:type="dxa"/>
            <w:vAlign w:val="bottom"/>
            <w:tcBorders>
              <w:bottom w:val="single" w:sz="8" w:color="E9E9E9"/>
            </w:tcBorders>
          </w:tcPr>
          <w:p>
            <w:pPr>
              <w:spacing w:after="0"/>
              <w:rPr>
                <w:sz w:val="23"/>
                <w:szCs w:val="23"/>
                <w:color w:val="auto"/>
              </w:rPr>
            </w:pPr>
          </w:p>
        </w:tc>
        <w:tc>
          <w:tcPr>
            <w:tcW w:w="13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20"/>
                <w:szCs w:val="20"/>
                <w:b w:val="1"/>
                <w:bCs w:val="1"/>
                <w:color w:val="auto"/>
              </w:rPr>
              <w:t>2024</w:t>
            </w:r>
          </w:p>
        </w:tc>
        <w:tc>
          <w:tcPr>
            <w:tcW w:w="120" w:type="dxa"/>
            <w:vAlign w:val="bottom"/>
            <w:tcBorders>
              <w:bottom w:val="single" w:sz="8" w:color="E9E9E9"/>
            </w:tcBorders>
          </w:tcPr>
          <w:p>
            <w:pPr>
              <w:spacing w:after="0"/>
              <w:rPr>
                <w:sz w:val="23"/>
                <w:szCs w:val="23"/>
                <w:color w:val="auto"/>
              </w:rPr>
            </w:pPr>
          </w:p>
        </w:tc>
        <w:tc>
          <w:tcPr>
            <w:tcW w:w="13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20"/>
                <w:szCs w:val="20"/>
                <w:b w:val="1"/>
                <w:bCs w:val="1"/>
                <w:color w:val="auto"/>
              </w:rPr>
              <w:t>2023</w:t>
            </w:r>
          </w:p>
        </w:tc>
        <w:tc>
          <w:tcPr>
            <w:tcW w:w="100" w:type="dxa"/>
            <w:vAlign w:val="bottom"/>
            <w:tcBorders>
              <w:bottom w:val="single" w:sz="8" w:color="E9E9E9"/>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84"/>
        </w:trPr>
        <w:tc>
          <w:tcPr>
            <w:tcW w:w="276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Expected volatility</w:t>
            </w:r>
          </w:p>
        </w:tc>
        <w:tc>
          <w:tcPr>
            <w:tcW w:w="13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55.4 %</w:t>
            </w:r>
          </w:p>
        </w:tc>
        <w:tc>
          <w:tcPr>
            <w:tcW w:w="148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56.1 %</w:t>
            </w:r>
          </w:p>
        </w:tc>
        <w:tc>
          <w:tcPr>
            <w:tcW w:w="100" w:type="dxa"/>
            <w:vAlign w:val="bottom"/>
            <w:shd w:val="clear" w:color="auto" w:fill="E9E9E9"/>
          </w:tcPr>
          <w:p>
            <w:pPr>
              <w:spacing w:after="0"/>
              <w:rPr>
                <w:sz w:val="24"/>
                <w:szCs w:val="24"/>
                <w:color w:val="auto"/>
              </w:rPr>
            </w:pPr>
          </w:p>
        </w:tc>
        <w:tc>
          <w:tcPr>
            <w:tcW w:w="400" w:type="dxa"/>
            <w:vAlign w:val="bottom"/>
            <w:shd w:val="clear" w:color="auto" w:fill="E9E9E9"/>
          </w:tcPr>
          <w:p>
            <w:pPr>
              <w:spacing w:after="0"/>
              <w:rPr>
                <w:sz w:val="24"/>
                <w:szCs w:val="24"/>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62.1 %</w:t>
            </w:r>
          </w:p>
        </w:tc>
      </w:tr>
      <w:tr>
        <w:trPr>
          <w:trHeight w:val="287"/>
        </w:trPr>
        <w:tc>
          <w:tcPr>
            <w:tcW w:w="27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Risk-free interest rate</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4.0 %</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2.0 %</w:t>
            </w:r>
          </w:p>
        </w:tc>
      </w:tr>
      <w:tr>
        <w:trPr>
          <w:trHeight w:val="301"/>
        </w:trPr>
        <w:tc>
          <w:tcPr>
            <w:tcW w:w="276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Expected life (in years)</w:t>
            </w:r>
          </w:p>
        </w:tc>
        <w:tc>
          <w:tcPr>
            <w:tcW w:w="1360" w:type="dxa"/>
            <w:vAlign w:val="bottom"/>
            <w:shd w:val="clear" w:color="auto" w:fill="E9E9E9"/>
          </w:tcPr>
          <w:p>
            <w:pPr>
              <w:jc w:val="right"/>
              <w:ind w:right="62"/>
              <w:spacing w:after="0"/>
              <w:rPr>
                <w:sz w:val="20"/>
                <w:szCs w:val="20"/>
                <w:color w:val="auto"/>
              </w:rPr>
            </w:pPr>
            <w:r>
              <w:rPr>
                <w:rFonts w:ascii="Times New Roman" w:cs="Times New Roman" w:eastAsia="Times New Roman" w:hAnsi="Times New Roman"/>
                <w:sz w:val="20"/>
                <w:szCs w:val="20"/>
                <w:color w:val="auto"/>
              </w:rPr>
              <w:t>6.0</w:t>
            </w:r>
          </w:p>
        </w:tc>
        <w:tc>
          <w:tcPr>
            <w:tcW w:w="1480" w:type="dxa"/>
            <w:vAlign w:val="bottom"/>
            <w:gridSpan w:val="2"/>
            <w:shd w:val="clear" w:color="auto" w:fill="E9E9E9"/>
          </w:tcPr>
          <w:p>
            <w:pPr>
              <w:jc w:val="right"/>
              <w:ind w:right="82"/>
              <w:spacing w:after="0"/>
              <w:rPr>
                <w:sz w:val="20"/>
                <w:szCs w:val="20"/>
                <w:color w:val="auto"/>
              </w:rPr>
            </w:pPr>
            <w:r>
              <w:rPr>
                <w:rFonts w:ascii="Times New Roman" w:cs="Times New Roman" w:eastAsia="Times New Roman" w:hAnsi="Times New Roman"/>
                <w:sz w:val="20"/>
                <w:szCs w:val="20"/>
                <w:color w:val="auto"/>
              </w:rPr>
              <w:t>6.0</w:t>
            </w:r>
          </w:p>
        </w:tc>
        <w:tc>
          <w:tcPr>
            <w:tcW w:w="100" w:type="dxa"/>
            <w:vAlign w:val="bottom"/>
            <w:shd w:val="clear" w:color="auto" w:fill="E9E9E9"/>
          </w:tcPr>
          <w:p>
            <w:pPr>
              <w:spacing w:after="0"/>
              <w:rPr>
                <w:sz w:val="24"/>
                <w:szCs w:val="24"/>
                <w:color w:val="auto"/>
              </w:rPr>
            </w:pPr>
          </w:p>
        </w:tc>
        <w:tc>
          <w:tcPr>
            <w:tcW w:w="400" w:type="dxa"/>
            <w:vAlign w:val="bottom"/>
            <w:shd w:val="clear" w:color="auto" w:fill="E9E9E9"/>
          </w:tcPr>
          <w:p>
            <w:pPr>
              <w:spacing w:after="0"/>
              <w:rPr>
                <w:sz w:val="24"/>
                <w:szCs w:val="24"/>
                <w:color w:val="auto"/>
              </w:rPr>
            </w:pPr>
          </w:p>
        </w:tc>
        <w:tc>
          <w:tcPr>
            <w:tcW w:w="980" w:type="dxa"/>
            <w:vAlign w:val="bottom"/>
            <w:shd w:val="clear" w:color="auto" w:fill="E9E9E9"/>
          </w:tcPr>
          <w:p>
            <w:pPr>
              <w:jc w:val="right"/>
              <w:ind w:right="82"/>
              <w:spacing w:after="0"/>
              <w:rPr>
                <w:sz w:val="20"/>
                <w:szCs w:val="20"/>
                <w:color w:val="auto"/>
              </w:rPr>
            </w:pPr>
            <w:r>
              <w:rPr>
                <w:rFonts w:ascii="Times New Roman" w:cs="Times New Roman" w:eastAsia="Times New Roman" w:hAnsi="Times New Roman"/>
                <w:sz w:val="20"/>
                <w:szCs w:val="20"/>
                <w:color w:val="auto"/>
              </w:rPr>
              <w:t>6.0</w:t>
            </w:r>
          </w:p>
        </w:tc>
      </w:tr>
      <w:tr>
        <w:trPr>
          <w:trHeight w:val="280"/>
        </w:trPr>
        <w:tc>
          <w:tcPr>
            <w:tcW w:w="27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Expected dividend yield</w:t>
            </w:r>
          </w:p>
        </w:tc>
        <w:tc>
          <w:tcPr>
            <w:tcW w:w="13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1860" w:type="dxa"/>
            <w:vAlign w:val="bottom"/>
            <w:gridSpan w:val="3"/>
          </w:tcPr>
          <w:p>
            <w:pPr>
              <w:ind w:left="10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r>
    </w:tbl>
    <w:p>
      <w:pPr>
        <w:spacing w:after="0" w:line="200" w:lineRule="exact"/>
        <w:rPr>
          <w:sz w:val="20"/>
          <w:szCs w:val="20"/>
          <w:color w:val="auto"/>
        </w:rPr>
      </w:pPr>
    </w:p>
    <w:p>
      <w:pPr>
        <w:sectPr>
          <w:pgSz w:w="11880" w:h="15480" w:orient="portrait"/>
          <w:cols w:equalWidth="0" w:num="1">
            <w:col w:w="10560"/>
          </w:cols>
          <w:pgMar w:left="640" w:top="615" w:right="6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111</w:t>
      </w:r>
    </w:p>
    <w:p>
      <w:pPr>
        <w:sectPr>
          <w:pgSz w:w="11880" w:h="15480" w:orient="portrait"/>
          <w:cols w:equalWidth="0" w:num="1">
            <w:col w:w="10560"/>
          </w:cols>
          <w:pgMar w:left="640" w:top="615" w:right="680" w:bottom="0" w:gutter="0" w:footer="0" w:header="0"/>
          <w:type w:val="continuous"/>
        </w:sectPr>
      </w:pPr>
    </w:p>
    <w:bookmarkStart w:id="117" w:name="page118"/>
    <w:bookmarkEnd w:id="117"/>
    <w:p>
      <w:pPr>
        <w:ind w:right="40" w:firstLine="441"/>
        <w:spacing w:after="0" w:line="258" w:lineRule="auto"/>
        <w:rPr>
          <w:sz w:val="20"/>
          <w:szCs w:val="20"/>
          <w:color w:val="auto"/>
        </w:rPr>
      </w:pPr>
      <w:r>
        <w:rPr>
          <w:rFonts w:ascii="Times New Roman" w:cs="Times New Roman" w:eastAsia="Times New Roman" w:hAnsi="Times New Roman"/>
          <w:sz w:val="20"/>
          <w:szCs w:val="20"/>
          <w:color w:val="auto"/>
        </w:rPr>
        <w:t>During the years ended December 31, 2024, 2023 and 2022, 209,657, 214,619 and 397,822 options were exercised having aggregate intrinsic values of $12.1 million, $12.9 million and $13.1 million, respectively. The weighted average grant-date fair value of stock options granted was $39.26 for the year ended December 31, 2024.</w:t>
      </w:r>
    </w:p>
    <w:p>
      <w:pPr>
        <w:spacing w:after="0" w:line="199" w:lineRule="exact"/>
        <w:rPr>
          <w:sz w:val="20"/>
          <w:szCs w:val="20"/>
          <w:color w:val="auto"/>
        </w:rPr>
      </w:pPr>
    </w:p>
    <w:p>
      <w:pPr>
        <w:ind w:right="20" w:firstLine="441"/>
        <w:spacing w:after="0" w:line="271" w:lineRule="auto"/>
        <w:rPr>
          <w:sz w:val="20"/>
          <w:szCs w:val="20"/>
          <w:color w:val="auto"/>
        </w:rPr>
      </w:pPr>
      <w:r>
        <w:rPr>
          <w:rFonts w:ascii="Times New Roman" w:cs="Times New Roman" w:eastAsia="Times New Roman" w:hAnsi="Times New Roman"/>
          <w:sz w:val="20"/>
          <w:szCs w:val="20"/>
          <w:color w:val="auto"/>
        </w:rPr>
        <w:t>As of December 31, 2024, there was $19.7 million of unrecognized compensation expense related to outstanding stock options, which is expected to be recognized over a weighted-average period of 2.0 years.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Units</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A summary of restricted stock awards and restricted stock units (“RSUs”) activity for 2024 is presented below:</w:t>
      </w:r>
    </w:p>
    <w:p>
      <w:pPr>
        <w:spacing w:after="0" w:line="162" w:lineRule="exact"/>
        <w:rPr>
          <w:sz w:val="20"/>
          <w:szCs w:val="20"/>
          <w:color w:val="auto"/>
        </w:rPr>
      </w:pPr>
    </w:p>
    <w:tbl>
      <w:tblPr>
        <w:tblLayout w:type="fixed"/>
        <w:tblInd w:w="780" w:type="dxa"/>
        <w:tblCellMar>
          <w:top w:w="0" w:type="dxa"/>
          <w:left w:w="0" w:type="dxa"/>
          <w:bottom w:w="0" w:type="dxa"/>
          <w:right w:w="0" w:type="dxa"/>
        </w:tblCellMar>
      </w:tblPr>
      <w:tr>
        <w:trPr>
          <w:trHeight w:val="230"/>
        </w:trPr>
        <w:tc>
          <w:tcPr>
            <w:tcW w:w="60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center"/>
              <w:ind w:right="62"/>
              <w:spacing w:after="0"/>
              <w:rPr>
                <w:sz w:val="20"/>
                <w:szCs w:val="20"/>
                <w:color w:val="auto"/>
              </w:rPr>
            </w:pPr>
            <w:r>
              <w:rPr>
                <w:rFonts w:ascii="Times New Roman" w:cs="Times New Roman" w:eastAsia="Times New Roman" w:hAnsi="Times New Roman"/>
                <w:sz w:val="20"/>
                <w:szCs w:val="20"/>
                <w:b w:val="1"/>
                <w:bCs w:val="1"/>
                <w:color w:val="auto"/>
                <w:w w:val="98"/>
              </w:rPr>
              <w:t>Weighted-</w:t>
            </w:r>
          </w:p>
        </w:tc>
        <w:tc>
          <w:tcPr>
            <w:tcW w:w="0" w:type="dxa"/>
            <w:vAlign w:val="bottom"/>
          </w:tcPr>
          <w:p>
            <w:pPr>
              <w:spacing w:after="0"/>
              <w:rPr>
                <w:sz w:val="1"/>
                <w:szCs w:val="1"/>
                <w:color w:val="auto"/>
              </w:rPr>
            </w:pPr>
          </w:p>
        </w:tc>
      </w:tr>
      <w:tr>
        <w:trPr>
          <w:trHeight w:val="196"/>
        </w:trPr>
        <w:tc>
          <w:tcPr>
            <w:tcW w:w="60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center"/>
              <w:ind w:right="62"/>
              <w:spacing w:after="0" w:line="196" w:lineRule="exact"/>
              <w:rPr>
                <w:sz w:val="20"/>
                <w:szCs w:val="20"/>
                <w:color w:val="auto"/>
              </w:rPr>
            </w:pPr>
            <w:r>
              <w:rPr>
                <w:rFonts w:ascii="Times New Roman" w:cs="Times New Roman" w:eastAsia="Times New Roman" w:hAnsi="Times New Roman"/>
                <w:sz w:val="20"/>
                <w:szCs w:val="20"/>
                <w:b w:val="1"/>
                <w:bCs w:val="1"/>
                <w:color w:val="auto"/>
                <w:w w:val="96"/>
              </w:rPr>
              <w:t>Average Grant</w:t>
            </w:r>
          </w:p>
        </w:tc>
        <w:tc>
          <w:tcPr>
            <w:tcW w:w="0" w:type="dxa"/>
            <w:vAlign w:val="bottom"/>
          </w:tcPr>
          <w:p>
            <w:pPr>
              <w:spacing w:after="0"/>
              <w:rPr>
                <w:sz w:val="1"/>
                <w:szCs w:val="1"/>
                <w:color w:val="auto"/>
              </w:rPr>
            </w:pPr>
          </w:p>
        </w:tc>
      </w:tr>
      <w:tr>
        <w:trPr>
          <w:trHeight w:val="196"/>
        </w:trPr>
        <w:tc>
          <w:tcPr>
            <w:tcW w:w="6000" w:type="dxa"/>
            <w:vAlign w:val="bottom"/>
          </w:tcPr>
          <w:p>
            <w:pPr>
              <w:spacing w:after="0"/>
              <w:rPr>
                <w:sz w:val="17"/>
                <w:szCs w:val="17"/>
                <w:color w:val="auto"/>
              </w:rPr>
            </w:pPr>
          </w:p>
        </w:tc>
        <w:tc>
          <w:tcPr>
            <w:tcW w:w="1380" w:type="dxa"/>
            <w:vAlign w:val="bottom"/>
            <w:vMerge w:val="restart"/>
          </w:tcPr>
          <w:p>
            <w:pPr>
              <w:jc w:val="right"/>
              <w:ind w:right="302"/>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60" w:type="dxa"/>
            <w:vAlign w:val="bottom"/>
          </w:tcPr>
          <w:p>
            <w:pPr>
              <w:spacing w:after="0"/>
              <w:rPr>
                <w:sz w:val="17"/>
                <w:szCs w:val="17"/>
                <w:color w:val="auto"/>
              </w:rPr>
            </w:pPr>
          </w:p>
        </w:tc>
        <w:tc>
          <w:tcPr>
            <w:tcW w:w="160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20"/>
                <w:szCs w:val="20"/>
                <w:b w:val="1"/>
                <w:bCs w:val="1"/>
                <w:color w:val="auto"/>
                <w:w w:val="98"/>
              </w:rPr>
              <w:t>Date Fair Value</w:t>
            </w:r>
          </w:p>
        </w:tc>
        <w:tc>
          <w:tcPr>
            <w:tcW w:w="0" w:type="dxa"/>
            <w:vAlign w:val="bottom"/>
          </w:tcPr>
          <w:p>
            <w:pPr>
              <w:spacing w:after="0"/>
              <w:rPr>
                <w:sz w:val="1"/>
                <w:szCs w:val="1"/>
                <w:color w:val="auto"/>
              </w:rPr>
            </w:pPr>
          </w:p>
        </w:tc>
      </w:tr>
      <w:tr>
        <w:trPr>
          <w:trHeight w:val="258"/>
        </w:trPr>
        <w:tc>
          <w:tcPr>
            <w:tcW w:w="6000" w:type="dxa"/>
            <w:vAlign w:val="bottom"/>
            <w:tcBorders>
              <w:bottom w:val="single" w:sz="8" w:color="E9E9E9"/>
            </w:tcBorders>
          </w:tcPr>
          <w:p>
            <w:pPr>
              <w:spacing w:after="0"/>
              <w:rPr>
                <w:sz w:val="22"/>
                <w:szCs w:val="22"/>
                <w:color w:val="auto"/>
              </w:rPr>
            </w:pPr>
          </w:p>
        </w:tc>
        <w:tc>
          <w:tcPr>
            <w:tcW w:w="138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E9E9E9"/>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20"/>
                <w:szCs w:val="20"/>
                <w:b w:val="1"/>
                <w:bCs w:val="1"/>
                <w:color w:val="auto"/>
                <w:w w:val="98"/>
              </w:rPr>
              <w:t>Per Share</w:t>
            </w:r>
          </w:p>
        </w:tc>
        <w:tc>
          <w:tcPr>
            <w:tcW w:w="0" w:type="dxa"/>
            <w:vAlign w:val="bottom"/>
          </w:tcPr>
          <w:p>
            <w:pPr>
              <w:spacing w:after="0"/>
              <w:rPr>
                <w:sz w:val="1"/>
                <w:szCs w:val="1"/>
                <w:color w:val="auto"/>
              </w:rPr>
            </w:pPr>
          </w:p>
        </w:tc>
      </w:tr>
      <w:tr>
        <w:trPr>
          <w:trHeight w:val="284"/>
        </w:trPr>
        <w:tc>
          <w:tcPr>
            <w:tcW w:w="600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Nonvested balance at January 1, 2024</w:t>
            </w:r>
          </w:p>
        </w:tc>
        <w:tc>
          <w:tcPr>
            <w:tcW w:w="13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1,210,259</w:t>
            </w:r>
          </w:p>
        </w:tc>
        <w:tc>
          <w:tcPr>
            <w:tcW w:w="22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58.71</w:t>
            </w:r>
          </w:p>
        </w:tc>
        <w:tc>
          <w:tcPr>
            <w:tcW w:w="0" w:type="dxa"/>
            <w:vAlign w:val="bottom"/>
          </w:tcPr>
          <w:p>
            <w:pPr>
              <w:spacing w:after="0"/>
              <w:rPr>
                <w:sz w:val="1"/>
                <w:szCs w:val="1"/>
                <w:color w:val="auto"/>
              </w:rPr>
            </w:pPr>
          </w:p>
        </w:tc>
      </w:tr>
      <w:tr>
        <w:trPr>
          <w:trHeight w:val="287"/>
        </w:trPr>
        <w:tc>
          <w:tcPr>
            <w:tcW w:w="60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842,991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70.56</w:t>
            </w:r>
          </w:p>
        </w:tc>
        <w:tc>
          <w:tcPr>
            <w:tcW w:w="0" w:type="dxa"/>
            <w:vAlign w:val="bottom"/>
          </w:tcPr>
          <w:p>
            <w:pPr>
              <w:spacing w:after="0"/>
              <w:rPr>
                <w:sz w:val="1"/>
                <w:szCs w:val="1"/>
                <w:color w:val="auto"/>
              </w:rPr>
            </w:pPr>
          </w:p>
        </w:tc>
      </w:tr>
      <w:tr>
        <w:trPr>
          <w:trHeight w:val="301"/>
        </w:trPr>
        <w:tc>
          <w:tcPr>
            <w:tcW w:w="6000" w:type="dxa"/>
            <w:vAlign w:val="bottom"/>
            <w:shd w:val="clear" w:color="auto" w:fill="E9E9E9"/>
          </w:tcPr>
          <w:p>
            <w:pPr>
              <w:ind w:left="280"/>
              <w:spacing w:after="0"/>
              <w:rPr>
                <w:sz w:val="20"/>
                <w:szCs w:val="20"/>
                <w:color w:val="auto"/>
              </w:rPr>
            </w:pPr>
            <w:r>
              <w:rPr>
                <w:rFonts w:ascii="Times New Roman" w:cs="Times New Roman" w:eastAsia="Times New Roman" w:hAnsi="Times New Roman"/>
                <w:sz w:val="20"/>
                <w:szCs w:val="20"/>
                <w:color w:val="auto"/>
              </w:rPr>
              <w:t>Vested</w:t>
            </w:r>
          </w:p>
        </w:tc>
        <w:tc>
          <w:tcPr>
            <w:tcW w:w="13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(602,145)</w:t>
            </w:r>
          </w:p>
        </w:tc>
        <w:tc>
          <w:tcPr>
            <w:tcW w:w="22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49.78</w:t>
            </w:r>
          </w:p>
        </w:tc>
        <w:tc>
          <w:tcPr>
            <w:tcW w:w="0" w:type="dxa"/>
            <w:vAlign w:val="bottom"/>
          </w:tcPr>
          <w:p>
            <w:pPr>
              <w:spacing w:after="0"/>
              <w:rPr>
                <w:sz w:val="1"/>
                <w:szCs w:val="1"/>
                <w:color w:val="auto"/>
              </w:rPr>
            </w:pPr>
          </w:p>
        </w:tc>
      </w:tr>
      <w:tr>
        <w:trPr>
          <w:trHeight w:val="284"/>
        </w:trPr>
        <w:tc>
          <w:tcPr>
            <w:tcW w:w="6000" w:type="dxa"/>
            <w:vAlign w:val="bottom"/>
            <w:tcBorders>
              <w:bottom w:val="single" w:sz="8" w:color="E9E9E9"/>
            </w:tcBorders>
          </w:tcPr>
          <w:p>
            <w:pPr>
              <w:ind w:left="280"/>
              <w:spacing w:after="0"/>
              <w:rPr>
                <w:sz w:val="20"/>
                <w:szCs w:val="20"/>
                <w:color w:val="auto"/>
              </w:rPr>
            </w:pPr>
            <w:r>
              <w:rPr>
                <w:rFonts w:ascii="Times New Roman" w:cs="Times New Roman" w:eastAsia="Times New Roman" w:hAnsi="Times New Roman"/>
                <w:sz w:val="20"/>
                <w:szCs w:val="20"/>
                <w:color w:val="auto"/>
              </w:rPr>
              <w:t>Forfeited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(179,255)</w:t>
            </w:r>
          </w:p>
        </w:tc>
        <w:tc>
          <w:tcPr>
            <w:tcW w:w="60" w:type="dxa"/>
            <w:vAlign w:val="bottom"/>
            <w:tcBorders>
              <w:bottom w:val="single" w:sz="8" w:color="E9E9E9"/>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65.75</w:t>
            </w:r>
          </w:p>
        </w:tc>
        <w:tc>
          <w:tcPr>
            <w:tcW w:w="0" w:type="dxa"/>
            <w:vAlign w:val="bottom"/>
          </w:tcPr>
          <w:p>
            <w:pPr>
              <w:spacing w:after="0"/>
              <w:rPr>
                <w:sz w:val="1"/>
                <w:szCs w:val="1"/>
                <w:color w:val="auto"/>
              </w:rPr>
            </w:pPr>
          </w:p>
        </w:tc>
      </w:tr>
      <w:tr>
        <w:trPr>
          <w:trHeight w:val="294"/>
        </w:trPr>
        <w:tc>
          <w:tcPr>
            <w:tcW w:w="6000" w:type="dxa"/>
            <w:vAlign w:val="bottom"/>
            <w:tcBorders>
              <w:bottom w:val="single" w:sz="8" w:color="E9E9E9"/>
            </w:tcBorders>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Nonvested balance at December 31, 2024</w:t>
            </w:r>
          </w:p>
        </w:tc>
        <w:tc>
          <w:tcPr>
            <w:tcW w:w="13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1,271,850</w:t>
            </w:r>
          </w:p>
        </w:tc>
        <w:tc>
          <w:tcPr>
            <w:tcW w:w="60" w:type="dxa"/>
            <w:vAlign w:val="bottom"/>
            <w:tcBorders>
              <w:bottom w:val="single" w:sz="8" w:color="E9E9E9"/>
            </w:tcBorders>
            <w:shd w:val="clear" w:color="auto" w:fill="E9E9E9"/>
          </w:tcPr>
          <w:p>
            <w:pPr>
              <w:spacing w:after="0"/>
              <w:rPr>
                <w:sz w:val="24"/>
                <w:szCs w:val="24"/>
                <w:color w:val="auto"/>
              </w:rPr>
            </w:pPr>
          </w:p>
        </w:tc>
        <w:tc>
          <w:tcPr>
            <w:tcW w:w="16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69.81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4295775</wp:posOffset>
            </wp:positionH>
            <wp:positionV relativeFrom="paragraph">
              <wp:posOffset>-43180</wp:posOffset>
            </wp:positionV>
            <wp:extent cx="1948180" cy="501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948180" cy="50165"/>
                    </a:xfrm>
                    <a:prstGeom prst="rect">
                      <a:avLst/>
                    </a:prstGeom>
                    <a:noFill/>
                  </pic:spPr>
                </pic:pic>
              </a:graphicData>
            </a:graphic>
          </wp:anchor>
        </w:drawing>
      </w:r>
    </w:p>
    <w:p>
      <w:pPr>
        <w:spacing w:after="0" w:line="222" w:lineRule="exact"/>
        <w:rPr>
          <w:sz w:val="20"/>
          <w:szCs w:val="20"/>
          <w:color w:val="auto"/>
        </w:rPr>
      </w:pPr>
    </w:p>
    <w:p>
      <w:pPr>
        <w:ind w:right="100" w:firstLine="441"/>
        <w:spacing w:after="0" w:line="298" w:lineRule="auto"/>
        <w:rPr>
          <w:sz w:val="20"/>
          <w:szCs w:val="20"/>
          <w:color w:val="auto"/>
        </w:rPr>
      </w:pPr>
      <w:r>
        <w:rPr>
          <w:rFonts w:ascii="Times New Roman" w:cs="Times New Roman" w:eastAsia="Times New Roman" w:hAnsi="Times New Roman"/>
          <w:sz w:val="19"/>
          <w:szCs w:val="19"/>
          <w:color w:val="auto"/>
        </w:rPr>
        <w:t>Restricted stock generally vest over 3 years. As of December 31, 2024, there was $58.4 million of unrecognized compensation expense related to outstanding restricted stock, which is expected to be recognized over a weighted-average period of 1.9 years.</w:t>
      </w:r>
    </w:p>
    <w:p>
      <w:pPr>
        <w:spacing w:after="0" w:line="163" w:lineRule="exact"/>
        <w:rPr>
          <w:sz w:val="20"/>
          <w:szCs w:val="20"/>
          <w:color w:val="auto"/>
        </w:rPr>
      </w:pPr>
    </w:p>
    <w:p>
      <w:pPr>
        <w:jc w:val="both"/>
        <w:ind w:right="120" w:firstLine="441"/>
        <w:spacing w:after="0" w:line="258" w:lineRule="auto"/>
        <w:rPr>
          <w:sz w:val="20"/>
          <w:szCs w:val="20"/>
          <w:color w:val="auto"/>
        </w:rPr>
      </w:pPr>
      <w:r>
        <w:rPr>
          <w:rFonts w:ascii="Times New Roman" w:cs="Times New Roman" w:eastAsia="Times New Roman" w:hAnsi="Times New Roman"/>
          <w:sz w:val="20"/>
          <w:szCs w:val="20"/>
          <w:color w:val="auto"/>
        </w:rPr>
        <w:t>The weighted average grant-date fair value for restricted stock granted during the fiscal years ended December 31, 2024, 2023 and 2022 was $70.56, $74.38 and $51.51 per share, respectively. The total fair value of restricted stock vested in fiscal years 2024, 2023 and 2022 was $42.5 million, $18.3 million and $11.9 million, respectively.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Total Stockholder Return Restricted Stock Awards</w:t>
      </w:r>
    </w:p>
    <w:p>
      <w:pPr>
        <w:spacing w:after="0" w:line="131" w:lineRule="exact"/>
        <w:rPr>
          <w:sz w:val="20"/>
          <w:szCs w:val="20"/>
          <w:color w:val="auto"/>
        </w:rPr>
      </w:pPr>
    </w:p>
    <w:p>
      <w:pPr>
        <w:ind w:firstLine="441"/>
        <w:spacing w:after="0" w:line="250" w:lineRule="auto"/>
        <w:rPr>
          <w:sz w:val="20"/>
          <w:szCs w:val="20"/>
          <w:color w:val="auto"/>
        </w:rPr>
      </w:pPr>
      <w:r>
        <w:rPr>
          <w:rFonts w:ascii="Times New Roman" w:cs="Times New Roman" w:eastAsia="Times New Roman" w:hAnsi="Times New Roman"/>
          <w:sz w:val="20"/>
          <w:szCs w:val="20"/>
          <w:color w:val="auto"/>
        </w:rPr>
        <w:t>During the years ended December 31, 2024, 2023 and 2022, the Company granted total stockholder return (“TSR”) awards that include a three-year market condition where the performance measurement period is three years. Vesting of the TSR awards is based on the Company’s level of attainment of specified TSR targets relative to the percentage appreciation of a specified index of companies for the respective three-year period and is also subject to the continued employment of the grantees. The number of shares that are earned over the performance period ranges from 0% to 200% of the initial award. The fair value of these awards are based on a Monte Carlo simulation valuation model with the following assumptions:</w:t>
      </w:r>
    </w:p>
    <w:p>
      <w:pPr>
        <w:spacing w:after="0" w:line="42" w:lineRule="exact"/>
        <w:rPr>
          <w:sz w:val="20"/>
          <w:szCs w:val="20"/>
          <w:color w:val="auto"/>
        </w:rPr>
      </w:pPr>
    </w:p>
    <w:tbl>
      <w:tblPr>
        <w:tblLayout w:type="fixed"/>
        <w:tblInd w:w="440" w:type="dxa"/>
        <w:tblCellMar>
          <w:top w:w="0" w:type="dxa"/>
          <w:left w:w="0" w:type="dxa"/>
          <w:bottom w:w="0" w:type="dxa"/>
          <w:right w:w="0" w:type="dxa"/>
        </w:tblCellMar>
      </w:tblPr>
      <w:tr>
        <w:trPr>
          <w:trHeight w:val="262"/>
        </w:trPr>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3280" w:type="dxa"/>
            <w:vAlign w:val="bottom"/>
            <w:tcBorders>
              <w:bottom w:val="single" w:sz="8" w:color="auto"/>
            </w:tcBorders>
            <w:gridSpan w:val="6"/>
          </w:tcPr>
          <w:p>
            <w:pPr>
              <w:ind w:left="1060"/>
              <w:spacing w:after="0"/>
              <w:rPr>
                <w:sz w:val="20"/>
                <w:szCs w:val="20"/>
                <w:color w:val="auto"/>
              </w:rPr>
            </w:pPr>
            <w:r>
              <w:rPr>
                <w:rFonts w:ascii="Times New Roman" w:cs="Times New Roman" w:eastAsia="Times New Roman" w:hAnsi="Times New Roman"/>
                <w:sz w:val="20"/>
                <w:szCs w:val="20"/>
                <w:b w:val="1"/>
                <w:bCs w:val="1"/>
                <w:color w:val="auto"/>
                <w:w w:val="98"/>
              </w:rPr>
              <w:t>Year Ended December 31,</w:t>
            </w: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7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780" w:type="dxa"/>
            <w:vAlign w:val="bottom"/>
            <w:tcBorders>
              <w:bottom w:val="single" w:sz="8" w:color="E9E9E9"/>
            </w:tcBorders>
          </w:tcPr>
          <w:p>
            <w:pPr>
              <w:spacing w:after="0"/>
              <w:rPr>
                <w:sz w:val="23"/>
                <w:szCs w:val="23"/>
                <w:color w:val="auto"/>
              </w:rPr>
            </w:pPr>
          </w:p>
        </w:tc>
        <w:tc>
          <w:tcPr>
            <w:tcW w:w="13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20"/>
                <w:szCs w:val="20"/>
                <w:b w:val="1"/>
                <w:bCs w:val="1"/>
                <w:color w:val="auto"/>
              </w:rPr>
              <w:t>2024</w:t>
            </w:r>
          </w:p>
        </w:tc>
        <w:tc>
          <w:tcPr>
            <w:tcW w:w="120" w:type="dxa"/>
            <w:vAlign w:val="bottom"/>
            <w:tcBorders>
              <w:bottom w:val="single" w:sz="8" w:color="E9E9E9"/>
            </w:tcBorders>
          </w:tcPr>
          <w:p>
            <w:pPr>
              <w:spacing w:after="0"/>
              <w:rPr>
                <w:sz w:val="23"/>
                <w:szCs w:val="23"/>
                <w:color w:val="auto"/>
              </w:rPr>
            </w:pPr>
          </w:p>
        </w:tc>
        <w:tc>
          <w:tcPr>
            <w:tcW w:w="1360" w:type="dxa"/>
            <w:vAlign w:val="bottom"/>
            <w:tcBorders>
              <w:bottom w:val="single" w:sz="8" w:color="auto"/>
            </w:tcBorders>
            <w:gridSpan w:val="2"/>
          </w:tcPr>
          <w:p>
            <w:pPr>
              <w:jc w:val="right"/>
              <w:ind w:right="382"/>
              <w:spacing w:after="0"/>
              <w:rPr>
                <w:sz w:val="20"/>
                <w:szCs w:val="20"/>
                <w:color w:val="auto"/>
              </w:rPr>
            </w:pPr>
            <w:r>
              <w:rPr>
                <w:rFonts w:ascii="Times New Roman" w:cs="Times New Roman" w:eastAsia="Times New Roman" w:hAnsi="Times New Roman"/>
                <w:sz w:val="20"/>
                <w:szCs w:val="20"/>
                <w:b w:val="1"/>
                <w:bCs w:val="1"/>
                <w:color w:val="auto"/>
              </w:rPr>
              <w:t>2023</w:t>
            </w:r>
          </w:p>
        </w:tc>
        <w:tc>
          <w:tcPr>
            <w:tcW w:w="120" w:type="dxa"/>
            <w:vAlign w:val="bottom"/>
            <w:tcBorders>
              <w:bottom w:val="single" w:sz="8" w:color="E9E9E9"/>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3"/>
          </w:tcPr>
          <w:p>
            <w:pPr>
              <w:jc w:val="right"/>
              <w:ind w:right="382"/>
              <w:spacing w:after="0"/>
              <w:rPr>
                <w:sz w:val="20"/>
                <w:szCs w:val="20"/>
                <w:color w:val="auto"/>
              </w:rPr>
            </w:pPr>
            <w:r>
              <w:rPr>
                <w:rFonts w:ascii="Times New Roman" w:cs="Times New Roman" w:eastAsia="Times New Roman" w:hAnsi="Times New Roman"/>
                <w:sz w:val="20"/>
                <w:szCs w:val="20"/>
                <w:b w:val="1"/>
                <w:bCs w:val="1"/>
                <w:color w:val="auto"/>
              </w:rPr>
              <w:t>2022</w:t>
            </w: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78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Expected volatility</w:t>
            </w:r>
          </w:p>
        </w:tc>
        <w:tc>
          <w:tcPr>
            <w:tcW w:w="13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57.4 %</w:t>
            </w:r>
          </w:p>
        </w:tc>
        <w:tc>
          <w:tcPr>
            <w:tcW w:w="1480" w:type="dxa"/>
            <w:vAlign w:val="bottom"/>
            <w:gridSpan w:val="3"/>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52.8 %</w:t>
            </w:r>
          </w:p>
        </w:tc>
        <w:tc>
          <w:tcPr>
            <w:tcW w:w="120" w:type="dxa"/>
            <w:vAlign w:val="bottom"/>
            <w:shd w:val="clear" w:color="auto" w:fill="E9E9E9"/>
          </w:tcPr>
          <w:p>
            <w:pPr>
              <w:spacing w:after="0"/>
              <w:rPr>
                <w:sz w:val="24"/>
                <w:szCs w:val="24"/>
                <w:color w:val="auto"/>
              </w:rPr>
            </w:pPr>
          </w:p>
        </w:tc>
        <w:tc>
          <w:tcPr>
            <w:tcW w:w="320" w:type="dxa"/>
            <w:vAlign w:val="bottom"/>
            <w:shd w:val="clear" w:color="auto" w:fill="E9E9E9"/>
          </w:tcPr>
          <w:p>
            <w:pPr>
              <w:spacing w:after="0"/>
              <w:rPr>
                <w:sz w:val="24"/>
                <w:szCs w:val="24"/>
                <w:color w:val="auto"/>
              </w:rPr>
            </w:pPr>
          </w:p>
        </w:tc>
        <w:tc>
          <w:tcPr>
            <w:tcW w:w="80" w:type="dxa"/>
            <w:vAlign w:val="bottom"/>
            <w:shd w:val="clear" w:color="auto" w:fill="E9E9E9"/>
          </w:tcPr>
          <w:p>
            <w:pPr>
              <w:spacing w:after="0"/>
              <w:rPr>
                <w:sz w:val="24"/>
                <w:szCs w:val="24"/>
                <w:color w:val="auto"/>
              </w:rPr>
            </w:pPr>
          </w:p>
        </w:tc>
        <w:tc>
          <w:tcPr>
            <w:tcW w:w="160" w:type="dxa"/>
            <w:vAlign w:val="bottom"/>
            <w:shd w:val="clear" w:color="auto" w:fill="E9E9E9"/>
          </w:tcPr>
          <w:p>
            <w:pPr>
              <w:spacing w:after="0"/>
              <w:rPr>
                <w:sz w:val="24"/>
                <w:szCs w:val="24"/>
                <w:color w:val="auto"/>
              </w:rPr>
            </w:pPr>
          </w:p>
        </w:tc>
        <w:tc>
          <w:tcPr>
            <w:tcW w:w="8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56.6 %</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Risk-free interest rate</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4.3 %</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4.6 %</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1.7 %</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78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Expected life (in years)</w:t>
            </w:r>
          </w:p>
        </w:tc>
        <w:tc>
          <w:tcPr>
            <w:tcW w:w="1360" w:type="dxa"/>
            <w:vAlign w:val="bottom"/>
            <w:shd w:val="clear" w:color="auto" w:fill="E9E9E9"/>
          </w:tcPr>
          <w:p>
            <w:pPr>
              <w:ind w:left="1060"/>
              <w:spacing w:after="0"/>
              <w:rPr>
                <w:sz w:val="20"/>
                <w:szCs w:val="20"/>
                <w:color w:val="auto"/>
              </w:rPr>
            </w:pPr>
            <w:r>
              <w:rPr>
                <w:rFonts w:ascii="Times New Roman" w:cs="Times New Roman" w:eastAsia="Times New Roman" w:hAnsi="Times New Roman"/>
                <w:sz w:val="20"/>
                <w:szCs w:val="20"/>
                <w:color w:val="auto"/>
              </w:rPr>
              <w:t>2.8</w:t>
            </w:r>
          </w:p>
        </w:tc>
        <w:tc>
          <w:tcPr>
            <w:tcW w:w="1480" w:type="dxa"/>
            <w:vAlign w:val="bottom"/>
            <w:gridSpan w:val="3"/>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120" w:type="dxa"/>
            <w:vAlign w:val="bottom"/>
            <w:shd w:val="clear" w:color="auto" w:fill="E9E9E9"/>
          </w:tcPr>
          <w:p>
            <w:pPr>
              <w:spacing w:after="0"/>
              <w:rPr>
                <w:sz w:val="24"/>
                <w:szCs w:val="24"/>
                <w:color w:val="auto"/>
              </w:rPr>
            </w:pPr>
          </w:p>
        </w:tc>
        <w:tc>
          <w:tcPr>
            <w:tcW w:w="320" w:type="dxa"/>
            <w:vAlign w:val="bottom"/>
            <w:shd w:val="clear" w:color="auto" w:fill="E9E9E9"/>
          </w:tcPr>
          <w:p>
            <w:pPr>
              <w:spacing w:after="0"/>
              <w:rPr>
                <w:sz w:val="24"/>
                <w:szCs w:val="24"/>
                <w:color w:val="auto"/>
              </w:rPr>
            </w:pPr>
          </w:p>
        </w:tc>
        <w:tc>
          <w:tcPr>
            <w:tcW w:w="80" w:type="dxa"/>
            <w:vAlign w:val="bottom"/>
            <w:shd w:val="clear" w:color="auto" w:fill="E9E9E9"/>
          </w:tcPr>
          <w:p>
            <w:pPr>
              <w:spacing w:after="0"/>
              <w:rPr>
                <w:sz w:val="24"/>
                <w:szCs w:val="24"/>
                <w:color w:val="auto"/>
              </w:rPr>
            </w:pPr>
          </w:p>
        </w:tc>
        <w:tc>
          <w:tcPr>
            <w:tcW w:w="160" w:type="dxa"/>
            <w:vAlign w:val="bottom"/>
            <w:shd w:val="clear" w:color="auto" w:fill="E9E9E9"/>
          </w:tcPr>
          <w:p>
            <w:pPr>
              <w:spacing w:after="0"/>
              <w:rPr>
                <w:sz w:val="24"/>
                <w:szCs w:val="24"/>
                <w:color w:val="auto"/>
              </w:rPr>
            </w:pPr>
          </w:p>
        </w:tc>
        <w:tc>
          <w:tcPr>
            <w:tcW w:w="8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Expected dividend yield</w:t>
            </w:r>
          </w:p>
        </w:tc>
        <w:tc>
          <w:tcPr>
            <w:tcW w:w="13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gridSpan w:val="3"/>
          </w:tcPr>
          <w:p>
            <w:pPr>
              <w:jc w:val="right"/>
              <w:ind w:right="5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7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541"/>
        </w:trPr>
        <w:tc>
          <w:tcPr>
            <w:tcW w:w="5440" w:type="dxa"/>
            <w:vAlign w:val="bottom"/>
            <w:gridSpan w:val="4"/>
          </w:tcPr>
          <w:p>
            <w:pPr>
              <w:jc w:val="right"/>
              <w:ind w:right="342"/>
              <w:spacing w:after="0"/>
              <w:rPr>
                <w:sz w:val="20"/>
                <w:szCs w:val="20"/>
                <w:color w:val="auto"/>
              </w:rPr>
            </w:pPr>
            <w:r>
              <w:rPr>
                <w:rFonts w:ascii="Times New Roman" w:cs="Times New Roman" w:eastAsia="Times New Roman" w:hAnsi="Times New Roman"/>
                <w:sz w:val="20"/>
                <w:szCs w:val="20"/>
                <w:color w:val="auto"/>
                <w:w w:val="97"/>
              </w:rPr>
              <w:t>A summary of TSR award activity for 2024 is presented below:</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6"/>
              </w:rPr>
              <w:t>Weighted-</w:t>
            </w: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160"/>
              <w:spacing w:after="0" w:line="196" w:lineRule="exact"/>
              <w:rPr>
                <w:sz w:val="20"/>
                <w:szCs w:val="20"/>
                <w:color w:val="auto"/>
              </w:rPr>
            </w:pPr>
            <w:r>
              <w:rPr>
                <w:rFonts w:ascii="Times New Roman" w:cs="Times New Roman" w:eastAsia="Times New Roman" w:hAnsi="Times New Roman"/>
                <w:sz w:val="20"/>
                <w:szCs w:val="20"/>
                <w:b w:val="1"/>
                <w:bCs w:val="1"/>
                <w:color w:val="auto"/>
                <w:w w:val="98"/>
              </w:rPr>
              <w:t>Average Grant</w:t>
            </w: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80" w:type="dxa"/>
            <w:vAlign w:val="bottom"/>
          </w:tcPr>
          <w:p>
            <w:pPr>
              <w:spacing w:after="0"/>
              <w:rPr>
                <w:sz w:val="17"/>
                <w:szCs w:val="17"/>
                <w:color w:val="auto"/>
              </w:rPr>
            </w:pPr>
          </w:p>
        </w:tc>
        <w:tc>
          <w:tcPr>
            <w:tcW w:w="1580" w:type="dxa"/>
            <w:vAlign w:val="bottom"/>
            <w:gridSpan w:val="3"/>
          </w:tcPr>
          <w:p>
            <w:pPr>
              <w:jc w:val="center"/>
              <w:ind w:right="40"/>
              <w:spacing w:after="0" w:line="196" w:lineRule="exact"/>
              <w:rPr>
                <w:sz w:val="20"/>
                <w:szCs w:val="20"/>
                <w:color w:val="auto"/>
              </w:rPr>
            </w:pPr>
            <w:r>
              <w:rPr>
                <w:rFonts w:ascii="Times New Roman" w:cs="Times New Roman" w:eastAsia="Times New Roman" w:hAnsi="Times New Roman"/>
                <w:sz w:val="20"/>
                <w:szCs w:val="20"/>
                <w:b w:val="1"/>
                <w:bCs w:val="1"/>
                <w:color w:val="auto"/>
                <w:w w:val="98"/>
              </w:rPr>
              <w:t>Date Fair Value</w:t>
            </w:r>
          </w:p>
        </w:tc>
        <w:tc>
          <w:tcPr>
            <w:tcW w:w="0" w:type="dxa"/>
            <w:vAlign w:val="bottom"/>
          </w:tcPr>
          <w:p>
            <w:pPr>
              <w:spacing w:after="0"/>
              <w:rPr>
                <w:sz w:val="1"/>
                <w:szCs w:val="1"/>
                <w:color w:val="auto"/>
              </w:rPr>
            </w:pPr>
          </w:p>
        </w:tc>
      </w:tr>
      <w:tr>
        <w:trPr>
          <w:trHeight w:val="258"/>
        </w:trPr>
        <w:tc>
          <w:tcPr>
            <w:tcW w:w="700" w:type="dxa"/>
            <w:vAlign w:val="bottom"/>
          </w:tcPr>
          <w:p>
            <w:pPr>
              <w:spacing w:after="0"/>
              <w:rPr>
                <w:sz w:val="22"/>
                <w:szCs w:val="22"/>
                <w:color w:val="auto"/>
              </w:rPr>
            </w:pPr>
          </w:p>
        </w:tc>
        <w:tc>
          <w:tcPr>
            <w:tcW w:w="600" w:type="dxa"/>
            <w:vAlign w:val="bottom"/>
            <w:tcBorders>
              <w:bottom w:val="single" w:sz="8" w:color="E9E9E9"/>
            </w:tcBorders>
          </w:tcPr>
          <w:p>
            <w:pPr>
              <w:spacing w:after="0"/>
              <w:rPr>
                <w:sz w:val="22"/>
                <w:szCs w:val="22"/>
                <w:color w:val="auto"/>
              </w:rPr>
            </w:pPr>
          </w:p>
        </w:tc>
        <w:tc>
          <w:tcPr>
            <w:tcW w:w="2780" w:type="dxa"/>
            <w:vAlign w:val="bottom"/>
            <w:tcBorders>
              <w:bottom w:val="single" w:sz="8" w:color="E9E9E9"/>
            </w:tcBorders>
          </w:tcPr>
          <w:p>
            <w:pPr>
              <w:spacing w:after="0"/>
              <w:rPr>
                <w:sz w:val="22"/>
                <w:szCs w:val="22"/>
                <w:color w:val="auto"/>
              </w:rPr>
            </w:pPr>
          </w:p>
        </w:tc>
        <w:tc>
          <w:tcPr>
            <w:tcW w:w="1360" w:type="dxa"/>
            <w:vAlign w:val="bottom"/>
            <w:tcBorders>
              <w:bottom w:val="single" w:sz="8" w:color="E9E9E9"/>
            </w:tcBorders>
          </w:tcPr>
          <w:p>
            <w:pPr>
              <w:spacing w:after="0"/>
              <w:rPr>
                <w:sz w:val="22"/>
                <w:szCs w:val="22"/>
                <w:color w:val="auto"/>
              </w:rPr>
            </w:pPr>
          </w:p>
        </w:tc>
        <w:tc>
          <w:tcPr>
            <w:tcW w:w="120" w:type="dxa"/>
            <w:vAlign w:val="bottom"/>
            <w:tcBorders>
              <w:bottom w:val="single" w:sz="8" w:color="E9E9E9"/>
            </w:tcBorders>
          </w:tcPr>
          <w:p>
            <w:pPr>
              <w:spacing w:after="0"/>
              <w:rPr>
                <w:sz w:val="22"/>
                <w:szCs w:val="22"/>
                <w:color w:val="auto"/>
              </w:rPr>
            </w:pPr>
          </w:p>
        </w:tc>
        <w:tc>
          <w:tcPr>
            <w:tcW w:w="440" w:type="dxa"/>
            <w:vAlign w:val="bottom"/>
            <w:tcBorders>
              <w:bottom w:val="single" w:sz="8" w:color="E9E9E9"/>
            </w:tcBorders>
          </w:tcPr>
          <w:p>
            <w:pPr>
              <w:spacing w:after="0"/>
              <w:rPr>
                <w:sz w:val="22"/>
                <w:szCs w:val="22"/>
                <w:color w:val="auto"/>
              </w:rPr>
            </w:pPr>
          </w:p>
        </w:tc>
        <w:tc>
          <w:tcPr>
            <w:tcW w:w="1360" w:type="dxa"/>
            <w:vAlign w:val="bottom"/>
            <w:tcBorders>
              <w:bottom w:val="single" w:sz="8" w:color="auto"/>
            </w:tcBorders>
            <w:gridSpan w:val="3"/>
            <w:vMerge w:val="continue"/>
          </w:tcPr>
          <w:p>
            <w:pPr>
              <w:spacing w:after="0"/>
              <w:rPr>
                <w:sz w:val="22"/>
                <w:szCs w:val="22"/>
                <w:color w:val="auto"/>
              </w:rPr>
            </w:pPr>
          </w:p>
        </w:tc>
        <w:tc>
          <w:tcPr>
            <w:tcW w:w="80" w:type="dxa"/>
            <w:vAlign w:val="bottom"/>
            <w:tcBorders>
              <w:bottom w:val="single" w:sz="8" w:color="E9E9E9"/>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6"/>
              </w:rPr>
              <w:t>Per Share</w:t>
            </w:r>
          </w:p>
        </w:tc>
        <w:tc>
          <w:tcPr>
            <w:tcW w:w="0" w:type="dxa"/>
            <w:vAlign w:val="bottom"/>
          </w:tcPr>
          <w:p>
            <w:pPr>
              <w:spacing w:after="0"/>
              <w:rPr>
                <w:sz w:val="1"/>
                <w:szCs w:val="1"/>
                <w:color w:val="auto"/>
              </w:rPr>
            </w:pPr>
          </w:p>
        </w:tc>
      </w:tr>
      <w:tr>
        <w:trPr>
          <w:trHeight w:val="284"/>
        </w:trPr>
        <w:tc>
          <w:tcPr>
            <w:tcW w:w="700" w:type="dxa"/>
            <w:vAlign w:val="bottom"/>
          </w:tcPr>
          <w:p>
            <w:pPr>
              <w:spacing w:after="0"/>
              <w:rPr>
                <w:sz w:val="24"/>
                <w:szCs w:val="24"/>
                <w:color w:val="auto"/>
              </w:rPr>
            </w:pPr>
          </w:p>
        </w:tc>
        <w:tc>
          <w:tcPr>
            <w:tcW w:w="3380" w:type="dxa"/>
            <w:vAlign w:val="bottom"/>
            <w:gridSpan w:val="2"/>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Nonvested balance at January 1, 2024</w:t>
            </w:r>
          </w:p>
        </w:tc>
        <w:tc>
          <w:tcPr>
            <w:tcW w:w="1360" w:type="dxa"/>
            <w:vAlign w:val="bottom"/>
            <w:shd w:val="clear" w:color="auto" w:fill="E9E9E9"/>
          </w:tcPr>
          <w:p>
            <w:pPr>
              <w:spacing w:after="0"/>
              <w:rPr>
                <w:sz w:val="24"/>
                <w:szCs w:val="24"/>
                <w:color w:val="auto"/>
              </w:rPr>
            </w:pPr>
          </w:p>
        </w:tc>
        <w:tc>
          <w:tcPr>
            <w:tcW w:w="1920" w:type="dxa"/>
            <w:vAlign w:val="bottom"/>
            <w:gridSpan w:val="5"/>
            <w:shd w:val="clear" w:color="auto" w:fill="E9E9E9"/>
          </w:tcPr>
          <w:p>
            <w:pPr>
              <w:jc w:val="right"/>
              <w:ind w:right="80"/>
              <w:spacing w:after="0"/>
              <w:rPr>
                <w:sz w:val="20"/>
                <w:szCs w:val="20"/>
                <w:color w:val="auto"/>
              </w:rPr>
            </w:pPr>
            <w:r>
              <w:rPr>
                <w:rFonts w:ascii="Times New Roman" w:cs="Times New Roman" w:eastAsia="Times New Roman" w:hAnsi="Times New Roman"/>
                <w:sz w:val="20"/>
                <w:szCs w:val="20"/>
                <w:color w:val="auto"/>
              </w:rPr>
              <w:t>630,054</w:t>
            </w:r>
          </w:p>
        </w:tc>
        <w:tc>
          <w:tcPr>
            <w:tcW w:w="24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gridSpan w:val="2"/>
            <w:shd w:val="clear" w:color="auto" w:fill="E9E9E9"/>
          </w:tcPr>
          <w:p>
            <w:pPr>
              <w:jc w:val="right"/>
              <w:ind w:right="80"/>
              <w:spacing w:after="0"/>
              <w:rPr>
                <w:sz w:val="20"/>
                <w:szCs w:val="20"/>
                <w:color w:val="auto"/>
              </w:rPr>
            </w:pPr>
            <w:r>
              <w:rPr>
                <w:rFonts w:ascii="Times New Roman" w:cs="Times New Roman" w:eastAsia="Times New Roman" w:hAnsi="Times New Roman"/>
                <w:sz w:val="20"/>
                <w:szCs w:val="20"/>
                <w:color w:val="auto"/>
              </w:rPr>
              <w:t>78.91</w:t>
            </w:r>
          </w:p>
        </w:tc>
        <w:tc>
          <w:tcPr>
            <w:tcW w:w="0" w:type="dxa"/>
            <w:vAlign w:val="bottom"/>
          </w:tcPr>
          <w:p>
            <w:pPr>
              <w:spacing w:after="0"/>
              <w:rPr>
                <w:sz w:val="1"/>
                <w:szCs w:val="1"/>
                <w:color w:val="auto"/>
              </w:rPr>
            </w:pPr>
          </w:p>
        </w:tc>
      </w:tr>
      <w:tr>
        <w:trPr>
          <w:trHeight w:val="287"/>
        </w:trPr>
        <w:tc>
          <w:tcPr>
            <w:tcW w:w="700" w:type="dxa"/>
            <w:vAlign w:val="bottom"/>
          </w:tcPr>
          <w:p>
            <w:pPr>
              <w:spacing w:after="0"/>
              <w:rPr>
                <w:sz w:val="24"/>
                <w:szCs w:val="24"/>
                <w:color w:val="auto"/>
              </w:rPr>
            </w:pPr>
          </w:p>
        </w:tc>
        <w:tc>
          <w:tcPr>
            <w:tcW w:w="33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Granted</w:t>
            </w:r>
          </w:p>
        </w:tc>
        <w:tc>
          <w:tcPr>
            <w:tcW w:w="1360" w:type="dxa"/>
            <w:vAlign w:val="bottom"/>
          </w:tcPr>
          <w:p>
            <w:pPr>
              <w:spacing w:after="0"/>
              <w:rPr>
                <w:sz w:val="24"/>
                <w:szCs w:val="24"/>
                <w:color w:val="auto"/>
              </w:rPr>
            </w:pPr>
          </w:p>
        </w:tc>
        <w:tc>
          <w:tcPr>
            <w:tcW w:w="192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586,292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105.87</w:t>
            </w:r>
          </w:p>
        </w:tc>
        <w:tc>
          <w:tcPr>
            <w:tcW w:w="0" w:type="dxa"/>
            <w:vAlign w:val="bottom"/>
          </w:tcPr>
          <w:p>
            <w:pPr>
              <w:spacing w:after="0"/>
              <w:rPr>
                <w:sz w:val="1"/>
                <w:szCs w:val="1"/>
                <w:color w:val="auto"/>
              </w:rPr>
            </w:pPr>
          </w:p>
        </w:tc>
      </w:tr>
      <w:tr>
        <w:trPr>
          <w:trHeight w:val="301"/>
        </w:trPr>
        <w:tc>
          <w:tcPr>
            <w:tcW w:w="700" w:type="dxa"/>
            <w:vAlign w:val="bottom"/>
          </w:tcPr>
          <w:p>
            <w:pPr>
              <w:spacing w:after="0"/>
              <w:rPr>
                <w:sz w:val="24"/>
                <w:szCs w:val="24"/>
                <w:color w:val="auto"/>
              </w:rPr>
            </w:pPr>
          </w:p>
        </w:tc>
        <w:tc>
          <w:tcPr>
            <w:tcW w:w="3380" w:type="dxa"/>
            <w:vAlign w:val="bottom"/>
            <w:gridSpan w:val="2"/>
            <w:shd w:val="clear" w:color="auto" w:fill="E9E9E9"/>
          </w:tcPr>
          <w:p>
            <w:pPr>
              <w:ind w:left="260"/>
              <w:spacing w:after="0"/>
              <w:rPr>
                <w:sz w:val="20"/>
                <w:szCs w:val="20"/>
                <w:color w:val="auto"/>
              </w:rPr>
            </w:pPr>
            <w:r>
              <w:rPr>
                <w:rFonts w:ascii="Times New Roman" w:cs="Times New Roman" w:eastAsia="Times New Roman" w:hAnsi="Times New Roman"/>
                <w:sz w:val="20"/>
                <w:szCs w:val="20"/>
                <w:color w:val="auto"/>
              </w:rPr>
              <w:t>Vested</w:t>
            </w:r>
          </w:p>
        </w:tc>
        <w:tc>
          <w:tcPr>
            <w:tcW w:w="1360" w:type="dxa"/>
            <w:vAlign w:val="bottom"/>
            <w:shd w:val="clear" w:color="auto" w:fill="E9E9E9"/>
          </w:tcPr>
          <w:p>
            <w:pPr>
              <w:spacing w:after="0"/>
              <w:rPr>
                <w:sz w:val="24"/>
                <w:szCs w:val="24"/>
                <w:color w:val="auto"/>
              </w:rPr>
            </w:pPr>
          </w:p>
        </w:tc>
        <w:tc>
          <w:tcPr>
            <w:tcW w:w="1920" w:type="dxa"/>
            <w:vAlign w:val="bottom"/>
            <w:gridSpan w:val="5"/>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(514,192)</w:t>
            </w:r>
          </w:p>
        </w:tc>
        <w:tc>
          <w:tcPr>
            <w:tcW w:w="24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gridSpan w:val="2"/>
            <w:shd w:val="clear" w:color="auto" w:fill="E9E9E9"/>
          </w:tcPr>
          <w:p>
            <w:pPr>
              <w:jc w:val="right"/>
              <w:ind w:right="80"/>
              <w:spacing w:after="0"/>
              <w:rPr>
                <w:sz w:val="20"/>
                <w:szCs w:val="20"/>
                <w:color w:val="auto"/>
              </w:rPr>
            </w:pPr>
            <w:r>
              <w:rPr>
                <w:rFonts w:ascii="Times New Roman" w:cs="Times New Roman" w:eastAsia="Times New Roman" w:hAnsi="Times New Roman"/>
                <w:sz w:val="20"/>
                <w:szCs w:val="20"/>
                <w:color w:val="auto"/>
              </w:rPr>
              <w:t>31.25</w:t>
            </w:r>
          </w:p>
        </w:tc>
        <w:tc>
          <w:tcPr>
            <w:tcW w:w="0" w:type="dxa"/>
            <w:vAlign w:val="bottom"/>
          </w:tcPr>
          <w:p>
            <w:pPr>
              <w:spacing w:after="0"/>
              <w:rPr>
                <w:sz w:val="1"/>
                <w:szCs w:val="1"/>
                <w:color w:val="auto"/>
              </w:rPr>
            </w:pPr>
          </w:p>
        </w:tc>
      </w:tr>
      <w:tr>
        <w:trPr>
          <w:trHeight w:val="284"/>
        </w:trPr>
        <w:tc>
          <w:tcPr>
            <w:tcW w:w="700" w:type="dxa"/>
            <w:vAlign w:val="bottom"/>
          </w:tcPr>
          <w:p>
            <w:pPr>
              <w:spacing w:after="0"/>
              <w:rPr>
                <w:sz w:val="24"/>
                <w:szCs w:val="24"/>
                <w:color w:val="auto"/>
              </w:rPr>
            </w:pPr>
          </w:p>
        </w:tc>
        <w:tc>
          <w:tcPr>
            <w:tcW w:w="3380" w:type="dxa"/>
            <w:vAlign w:val="bottom"/>
            <w:tcBorders>
              <w:bottom w:val="single" w:sz="8" w:color="E9E9E9"/>
            </w:tcBorders>
            <w:gridSpan w:val="2"/>
          </w:tcPr>
          <w:p>
            <w:pPr>
              <w:ind w:left="260"/>
              <w:spacing w:after="0"/>
              <w:rPr>
                <w:sz w:val="20"/>
                <w:szCs w:val="20"/>
                <w:color w:val="auto"/>
              </w:rPr>
            </w:pPr>
            <w:r>
              <w:rPr>
                <w:rFonts w:ascii="Times New Roman" w:cs="Times New Roman" w:eastAsia="Times New Roman" w:hAnsi="Times New Roman"/>
                <w:sz w:val="20"/>
                <w:szCs w:val="20"/>
                <w:color w:val="auto"/>
              </w:rPr>
              <w:t>Forfeited</w:t>
            </w:r>
          </w:p>
        </w:tc>
        <w:tc>
          <w:tcPr>
            <w:tcW w:w="1360" w:type="dxa"/>
            <w:vAlign w:val="bottom"/>
            <w:tcBorders>
              <w:bottom w:val="single" w:sz="8" w:color="E9E9E9"/>
            </w:tcBorders>
          </w:tcPr>
          <w:p>
            <w:pPr>
              <w:spacing w:after="0"/>
              <w:rPr>
                <w:sz w:val="24"/>
                <w:szCs w:val="24"/>
                <w:color w:val="auto"/>
              </w:rPr>
            </w:pPr>
          </w:p>
        </w:tc>
        <w:tc>
          <w:tcPr>
            <w:tcW w:w="560" w:type="dxa"/>
            <w:vAlign w:val="bottom"/>
            <w:tcBorders>
              <w:bottom w:val="single" w:sz="8" w:color="E9E9E9"/>
            </w:tcBorders>
            <w:gridSpan w:val="2"/>
          </w:tcPr>
          <w:p>
            <w:pPr>
              <w:spacing w:after="0"/>
              <w:rPr>
                <w:sz w:val="24"/>
                <w:szCs w:val="2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(17,470)</w:t>
            </w:r>
          </w:p>
        </w:tc>
        <w:tc>
          <w:tcPr>
            <w:tcW w:w="80" w:type="dxa"/>
            <w:vAlign w:val="bottom"/>
            <w:tcBorders>
              <w:bottom w:val="single" w:sz="8" w:color="E9E9E9"/>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117.27</w:t>
            </w:r>
          </w:p>
        </w:tc>
        <w:tc>
          <w:tcPr>
            <w:tcW w:w="0" w:type="dxa"/>
            <w:vAlign w:val="bottom"/>
          </w:tcPr>
          <w:p>
            <w:pPr>
              <w:spacing w:after="0"/>
              <w:rPr>
                <w:sz w:val="1"/>
                <w:szCs w:val="1"/>
                <w:color w:val="auto"/>
              </w:rPr>
            </w:pPr>
          </w:p>
        </w:tc>
      </w:tr>
      <w:tr>
        <w:trPr>
          <w:trHeight w:val="294"/>
        </w:trPr>
        <w:tc>
          <w:tcPr>
            <w:tcW w:w="700" w:type="dxa"/>
            <w:vAlign w:val="bottom"/>
          </w:tcPr>
          <w:p>
            <w:pPr>
              <w:spacing w:after="0"/>
              <w:rPr>
                <w:sz w:val="24"/>
                <w:szCs w:val="24"/>
                <w:color w:val="auto"/>
              </w:rPr>
            </w:pPr>
          </w:p>
        </w:tc>
        <w:tc>
          <w:tcPr>
            <w:tcW w:w="3380" w:type="dxa"/>
            <w:vAlign w:val="bottom"/>
            <w:tcBorders>
              <w:bottom w:val="single" w:sz="8" w:color="E9E9E9"/>
            </w:tcBorders>
            <w:gridSpan w:val="2"/>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w w:val="99"/>
              </w:rPr>
              <w:t>Nonvested balance at December 31, 2024</w:t>
            </w:r>
          </w:p>
        </w:tc>
        <w:tc>
          <w:tcPr>
            <w:tcW w:w="1360" w:type="dxa"/>
            <w:vAlign w:val="bottom"/>
            <w:tcBorders>
              <w:bottom w:val="single" w:sz="8" w:color="E9E9E9"/>
            </w:tcBorders>
            <w:shd w:val="clear" w:color="auto" w:fill="E9E9E9"/>
          </w:tcPr>
          <w:p>
            <w:pPr>
              <w:spacing w:after="0"/>
              <w:rPr>
                <w:sz w:val="24"/>
                <w:szCs w:val="24"/>
                <w:color w:val="auto"/>
              </w:rPr>
            </w:pPr>
          </w:p>
        </w:tc>
        <w:tc>
          <w:tcPr>
            <w:tcW w:w="560" w:type="dxa"/>
            <w:vAlign w:val="bottom"/>
            <w:tcBorders>
              <w:bottom w:val="single" w:sz="8" w:color="E9E9E9"/>
            </w:tcBorders>
            <w:gridSpan w:val="2"/>
            <w:shd w:val="clear" w:color="auto" w:fill="E9E9E9"/>
          </w:tcPr>
          <w:p>
            <w:pPr>
              <w:spacing w:after="0"/>
              <w:rPr>
                <w:sz w:val="24"/>
                <w:szCs w:val="24"/>
                <w:color w:val="auto"/>
              </w:rPr>
            </w:pPr>
          </w:p>
        </w:tc>
        <w:tc>
          <w:tcPr>
            <w:tcW w:w="1360" w:type="dxa"/>
            <w:vAlign w:val="bottom"/>
            <w:tcBorders>
              <w:bottom w:val="single" w:sz="8" w:color="auto"/>
            </w:tcBorders>
            <w:gridSpan w:val="3"/>
            <w:shd w:val="clear" w:color="auto" w:fill="E9E9E9"/>
          </w:tcPr>
          <w:p>
            <w:pPr>
              <w:jc w:val="right"/>
              <w:ind w:right="80"/>
              <w:spacing w:after="0"/>
              <w:rPr>
                <w:sz w:val="20"/>
                <w:szCs w:val="20"/>
                <w:color w:val="auto"/>
              </w:rPr>
            </w:pPr>
            <w:r>
              <w:rPr>
                <w:rFonts w:ascii="Times New Roman" w:cs="Times New Roman" w:eastAsia="Times New Roman" w:hAnsi="Times New Roman"/>
                <w:sz w:val="20"/>
                <w:szCs w:val="20"/>
                <w:color w:val="auto"/>
              </w:rPr>
              <w:t>684,684</w:t>
            </w:r>
          </w:p>
        </w:tc>
        <w:tc>
          <w:tcPr>
            <w:tcW w:w="80" w:type="dxa"/>
            <w:vAlign w:val="bottom"/>
            <w:tcBorders>
              <w:bottom w:val="single" w:sz="8" w:color="E9E9E9"/>
            </w:tcBorders>
            <w:shd w:val="clear" w:color="auto" w:fill="E9E9E9"/>
          </w:tcPr>
          <w:p>
            <w:pPr>
              <w:spacing w:after="0"/>
              <w:rPr>
                <w:sz w:val="24"/>
                <w:szCs w:val="24"/>
                <w:color w:val="auto"/>
              </w:rPr>
            </w:pPr>
          </w:p>
        </w:tc>
        <w:tc>
          <w:tcPr>
            <w:tcW w:w="16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Borders>
              <w:bottom w:val="single" w:sz="8" w:color="auto"/>
            </w:tcBorders>
            <w:gridSpan w:val="2"/>
            <w:shd w:val="clear" w:color="auto" w:fill="E9E9E9"/>
          </w:tcPr>
          <w:p>
            <w:pPr>
              <w:jc w:val="right"/>
              <w:ind w:right="80"/>
              <w:spacing w:after="0"/>
              <w:rPr>
                <w:sz w:val="20"/>
                <w:szCs w:val="20"/>
                <w:color w:val="auto"/>
              </w:rPr>
            </w:pPr>
            <w:r>
              <w:rPr>
                <w:rFonts w:ascii="Times New Roman" w:cs="Times New Roman" w:eastAsia="Times New Roman" w:hAnsi="Times New Roman"/>
                <w:sz w:val="20"/>
                <w:szCs w:val="20"/>
                <w:color w:val="auto"/>
              </w:rPr>
              <w:t>109.38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4076065</wp:posOffset>
            </wp:positionH>
            <wp:positionV relativeFrom="paragraph">
              <wp:posOffset>-43180</wp:posOffset>
            </wp:positionV>
            <wp:extent cx="1948180" cy="501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48180" cy="50165"/>
                    </a:xfrm>
                    <a:prstGeom prst="rect">
                      <a:avLst/>
                    </a:prstGeom>
                    <a:noFill/>
                  </pic:spPr>
                </pic:pic>
              </a:graphicData>
            </a:graphic>
          </wp:anchor>
        </w:drawing>
      </w:r>
    </w:p>
    <w:p>
      <w:pPr>
        <w:spacing w:after="0" w:line="222" w:lineRule="exact"/>
        <w:rPr>
          <w:sz w:val="20"/>
          <w:szCs w:val="20"/>
          <w:color w:val="auto"/>
        </w:rPr>
      </w:pPr>
    </w:p>
    <w:p>
      <w:pPr>
        <w:ind w:right="120" w:firstLine="441"/>
        <w:spacing w:after="0" w:line="271" w:lineRule="auto"/>
        <w:rPr>
          <w:sz w:val="20"/>
          <w:szCs w:val="20"/>
          <w:color w:val="auto"/>
        </w:rPr>
      </w:pPr>
      <w:r>
        <w:rPr>
          <w:rFonts w:ascii="Times New Roman" w:cs="Times New Roman" w:eastAsia="Times New Roman" w:hAnsi="Times New Roman"/>
          <w:sz w:val="20"/>
          <w:szCs w:val="20"/>
          <w:color w:val="auto"/>
        </w:rPr>
        <w:t>As of December 31, 2024, there was $35.4 million of unrecognized compensation expense related to outstanding performance restricted stock which is expected to be recognized over a weighted-average period of 1.9 years.</w:t>
      </w:r>
    </w:p>
    <w:p>
      <w:pPr>
        <w:sectPr>
          <w:pgSz w:w="11880" w:h="15480" w:orient="portrait"/>
          <w:cols w:equalWidth="0" w:num="1">
            <w:col w:w="10460"/>
          </w:cols>
          <w:pgMar w:left="640" w:top="622" w:right="780" w:bottom="0" w:gutter="0" w:footer="0" w:header="0"/>
        </w:sectPr>
      </w:pPr>
    </w:p>
    <w:p>
      <w:pPr>
        <w:spacing w:after="0" w:line="3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112</w:t>
      </w:r>
    </w:p>
    <w:p>
      <w:pPr>
        <w:sectPr>
          <w:pgSz w:w="11880" w:h="15480" w:orient="portrait"/>
          <w:cols w:equalWidth="0" w:num="1">
            <w:col w:w="10460"/>
          </w:cols>
          <w:pgMar w:left="640" w:top="622" w:right="780" w:bottom="0" w:gutter="0" w:footer="0" w:header="0"/>
          <w:type w:val="continuous"/>
        </w:sectPr>
      </w:pPr>
    </w:p>
    <w:bookmarkStart w:id="118" w:name="page119"/>
    <w:bookmarkEnd w:id="118"/>
    <w:p>
      <w:pPr>
        <w:ind w:right="120" w:firstLine="441"/>
        <w:spacing w:after="0" w:line="258" w:lineRule="auto"/>
        <w:rPr>
          <w:sz w:val="20"/>
          <w:szCs w:val="20"/>
          <w:color w:val="auto"/>
        </w:rPr>
      </w:pPr>
      <w:r>
        <w:rPr>
          <w:rFonts w:ascii="Times New Roman" w:cs="Times New Roman" w:eastAsia="Times New Roman" w:hAnsi="Times New Roman"/>
          <w:sz w:val="20"/>
          <w:szCs w:val="20"/>
          <w:color w:val="auto"/>
        </w:rPr>
        <w:t>The weighted average grant-date fair value for TSR awards granted during the fiscal years ended December 31, 2024, 2023 and 2022 was $105.87, $127.75 and $95.31 per share, respectively. The total fair value of TSR awards vested in fiscal years 2024, 2023 and 2022 was $33.6 million, $8.2 million and $8.8 million, respectively.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Modification of equity awards</w:t>
      </w:r>
    </w:p>
    <w:p>
      <w:pPr>
        <w:spacing w:after="0" w:line="131" w:lineRule="exact"/>
        <w:rPr>
          <w:sz w:val="20"/>
          <w:szCs w:val="20"/>
          <w:color w:val="auto"/>
        </w:rPr>
      </w:pPr>
    </w:p>
    <w:p>
      <w:pPr>
        <w:ind w:firstLine="441"/>
        <w:spacing w:after="0" w:line="248" w:lineRule="auto"/>
        <w:rPr>
          <w:sz w:val="20"/>
          <w:szCs w:val="20"/>
          <w:color w:val="auto"/>
        </w:rPr>
      </w:pPr>
      <w:r>
        <w:rPr>
          <w:rFonts w:ascii="Times New Roman" w:cs="Times New Roman" w:eastAsia="Times New Roman" w:hAnsi="Times New Roman"/>
          <w:sz w:val="20"/>
          <w:szCs w:val="20"/>
          <w:color w:val="auto"/>
        </w:rPr>
        <w:t>In the fourth quarter of 2024, as part of the Company’s evolution into a fully integrated radiopharmaceutical company, the Company reviewed its current capabilities and skillsets and began implementing organizational changes deemed necessary to best position the Company to execute on its long-term strategy. These changes include transitioning approximately 60 employees out of the Company. In connection with these changes, the Company approved equity modifications that allowed grants of stock options and RSUs issued to those impacted by this event to continue to vest in 2024 and 2025 with any unvested stock option and RSU grants as of December 31, 2025 to be cancelled. TSR awards granted to these individuals will continue to vest on their original vesting schedule but any shares issued will be issued in a pro-rated amount based on the time served during the performance period. The incremental stock-based compensation expense resulting from these modifications recognized in 2024 was $2.7 million. Total costs related to these organizational changes through December 31, 2024 were approximately $9.4 million. Remaining costs expected to be incurred are not material.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Common Stock Repurchases</w:t>
      </w:r>
    </w:p>
    <w:p>
      <w:pPr>
        <w:spacing w:after="0" w:line="131" w:lineRule="exact"/>
        <w:rPr>
          <w:sz w:val="20"/>
          <w:szCs w:val="20"/>
          <w:color w:val="auto"/>
        </w:rPr>
      </w:pPr>
    </w:p>
    <w:p>
      <w:pPr>
        <w:ind w:right="40" w:firstLine="441"/>
        <w:spacing w:after="0" w:line="248" w:lineRule="auto"/>
        <w:rPr>
          <w:sz w:val="20"/>
          <w:szCs w:val="20"/>
          <w:color w:val="auto"/>
        </w:rPr>
      </w:pPr>
      <w:r>
        <w:rPr>
          <w:rFonts w:ascii="Times New Roman" w:cs="Times New Roman" w:eastAsia="Times New Roman" w:hAnsi="Times New Roman"/>
          <w:sz w:val="20"/>
          <w:szCs w:val="20"/>
          <w:color w:val="auto"/>
        </w:rPr>
        <w:t>In November 2024, the Board authorized a program to repurchase up to $250 million of the Company’s common stock over the next twelve months (the “2024 Program”). Such repurchases may be made from time to time via open market purchases at prevailing market prices, in privately negotiated transactions, block trades, or pursuant to trades intending to comply with Rule 10b5-1 under the Securities Exchange Act of 1934, as amended or through other legally permissible means, depending on market conditions and in accordance with applicable rules and regulations. The actual timing, number and dollar amount of repurchase transactions will be determined by our management, in its discretion and will depend on a number of factors, including but not limited to, the market price of the Company’s common stock. In the year ended December 31, 2024, the Company repurchased approximately 1.1 million shares of its outstanding common stock under the 2024 Program for an aggregate purchase price of approximately $100.0 million at an average stock price of $89.59 per share.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Leases</w:t>
      </w:r>
    </w:p>
    <w:p>
      <w:pPr>
        <w:spacing w:after="0" w:line="130" w:lineRule="exact"/>
        <w:rPr>
          <w:sz w:val="20"/>
          <w:szCs w:val="20"/>
          <w:color w:val="auto"/>
        </w:rPr>
      </w:pPr>
    </w:p>
    <w:p>
      <w:pPr>
        <w:ind w:right="160" w:firstLine="441"/>
        <w:spacing w:after="0" w:line="271" w:lineRule="auto"/>
        <w:rPr>
          <w:sz w:val="20"/>
          <w:szCs w:val="20"/>
          <w:color w:val="auto"/>
        </w:rPr>
      </w:pPr>
      <w:r>
        <w:rPr>
          <w:rFonts w:ascii="Times New Roman" w:cs="Times New Roman" w:eastAsia="Times New Roman" w:hAnsi="Times New Roman"/>
          <w:sz w:val="20"/>
          <w:szCs w:val="20"/>
          <w:color w:val="auto"/>
        </w:rPr>
        <w:t>The Company determines if an arrangement is a lease at inception. The Company has operating and finance leases for vehicles, corporate offices and certain equipment.</w:t>
      </w:r>
    </w:p>
    <w:p>
      <w:pPr>
        <w:spacing w:after="0" w:line="186" w:lineRule="exact"/>
        <w:rPr>
          <w:sz w:val="20"/>
          <w:szCs w:val="20"/>
          <w:color w:val="auto"/>
        </w:rPr>
      </w:pPr>
    </w:p>
    <w:p>
      <w:pPr>
        <w:ind w:firstLine="441"/>
        <w:spacing w:after="0" w:line="249" w:lineRule="auto"/>
        <w:rPr>
          <w:sz w:val="20"/>
          <w:szCs w:val="20"/>
          <w:color w:val="auto"/>
        </w:rPr>
      </w:pPr>
      <w:r>
        <w:rPr>
          <w:rFonts w:ascii="Times New Roman" w:cs="Times New Roman" w:eastAsia="Times New Roman" w:hAnsi="Times New Roman"/>
          <w:sz w:val="20"/>
          <w:szCs w:val="20"/>
          <w:color w:val="auto"/>
        </w:rPr>
        <w:t>Operating lease right-of-use (“ROU”) assets and operating lease liabilities are recognized based on the present value of the future minimum lease payments over the lease term at commencement date. Lease agreements with lease and non-lease components are accounted for separately. As the Company’s leases do not provide an implicit rate, the Company used the incremental borrowing rate based on the information available at commencement date in determining the present value of future payments. The operating lease ROU asset also includes any lease payments made and excludes lease incentives and initial direct costs incurred. The lease terms may include options to extend or terminate the lease when it is reasonably certain that the Company will exercise that option. Lease expense for minimum lease payments is recognized on a straight-line basis over the lease term.</w:t>
      </w:r>
    </w:p>
    <w:p>
      <w:pPr>
        <w:spacing w:after="0" w:line="211" w:lineRule="exact"/>
        <w:rPr>
          <w:sz w:val="20"/>
          <w:szCs w:val="20"/>
          <w:color w:val="auto"/>
        </w:rPr>
      </w:pPr>
    </w:p>
    <w:p>
      <w:pPr>
        <w:ind w:right="40" w:firstLine="441"/>
        <w:spacing w:after="0" w:line="249" w:lineRule="auto"/>
        <w:rPr>
          <w:sz w:val="20"/>
          <w:szCs w:val="20"/>
          <w:color w:val="auto"/>
        </w:rPr>
      </w:pPr>
      <w:r>
        <w:rPr>
          <w:rFonts w:ascii="Times New Roman" w:cs="Times New Roman" w:eastAsia="Times New Roman" w:hAnsi="Times New Roman"/>
          <w:sz w:val="20"/>
          <w:szCs w:val="20"/>
          <w:color w:val="auto"/>
        </w:rPr>
        <w:t>The Company assumed two operating leases as a result of the Progenics acquisition related to office space at the World Trade Center in New York City, pursuant to a lease agreement expiring in September 2030 (the “WTC Lease”), and a radiopharmaceutical manufacturing facility in Somerset, New Jersey, under a sublease agreement expiring in November 2028, which were recorded as of June 19, 2020, for $18.6 million and $0.6 million, respectively. The Company entered into an operating lease related to office space in Somerset, New Jersey, under a lease agreement expiring in August 2026, which was recorded in October 2021 for $0.7 million. The Company entered into an operating lease agreement in February 2022 to lease office space in Bedford, Massachusetts (“Existing Premises”), under a lease agreement expiring in June 2031, which commenced and was recorded in December 2022 for $11.0 million (the “Existing Premises Lease”).</w:t>
      </w:r>
    </w:p>
    <w:p>
      <w:pPr>
        <w:spacing w:after="0" w:line="2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On May 4, 2023, the Company entered into a modification to the Existing Premises Lease. The lease modification includes 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lease of additional office and laboratory space at the Bedford location (the “Additional Premises”) for a term of 15 years and 4 months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extends the term of the lease for the Existing Premises to be coterminous with the term of the lease for the Additional Premises.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result of the extended term for the Existing Premises, the Company recorded an additional right-of-use asset and liability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$6.0 million in May 2023. The modification also contains a provision to convert the rent schedule of the Existing Premises from gross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triple net in 2025, which may result in an additional adjustment to the right-of-use asset and liability. In September 2023,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landlord provided notice to the Company that its renovations of the Additional Premises were completed. As a result of the notice,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recorded an additional right-of-use asset and liability of $23.5 million as of September 1, 2023. To determine the value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additional right-of-use asset and liability, the Company was required to calculate the discount rate of the lease modification.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discount rate was determined based on the expected lease term and by comparing interest rates in the market for similar borrowings</w:t>
      </w:r>
    </w:p>
    <w:p>
      <w:pPr>
        <w:sectPr>
          <w:pgSz w:w="11880" w:h="15480" w:orient="portrait"/>
          <w:cols w:equalWidth="0" w:num="1">
            <w:col w:w="10580"/>
          </w:cols>
          <w:pgMar w:left="640" w:top="622" w:right="660" w:bottom="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113</w:t>
      </w:r>
    </w:p>
    <w:p>
      <w:pPr>
        <w:sectPr>
          <w:pgSz w:w="11880" w:h="15480" w:orient="portrait"/>
          <w:cols w:equalWidth="0" w:num="1">
            <w:col w:w="10580"/>
          </w:cols>
          <w:pgMar w:left="640" w:top="622" w:right="660" w:bottom="0" w:gutter="0" w:footer="0" w:header="0"/>
          <w:type w:val="continuous"/>
        </w:sectPr>
      </w:pPr>
    </w:p>
    <w:bookmarkStart w:id="119" w:name="page120"/>
    <w:bookmarkEnd w:id="119"/>
    <w:p>
      <w:pPr>
        <w:spacing w:after="0" w:line="252" w:lineRule="auto"/>
        <w:rPr>
          <w:sz w:val="20"/>
          <w:szCs w:val="20"/>
          <w:color w:val="auto"/>
        </w:rPr>
      </w:pPr>
      <w:r>
        <w:rPr>
          <w:rFonts w:ascii="Times New Roman" w:cs="Times New Roman" w:eastAsia="Times New Roman" w:hAnsi="Times New Roman"/>
          <w:sz w:val="20"/>
          <w:szCs w:val="20"/>
          <w:color w:val="auto"/>
        </w:rPr>
        <w:t>with comparable credit quality of the Company. The lease for the Additional Premises allows for the extension of five years to begin immediately upon the expiration of the original term. On October 7, 2024, the Company executed a second amendment to the Bedford Lease for additional space resulting in one additional operating lease. As of December 31, 2024, the additional operating lease has not yet commenced. The future lease payments for this lease are approximately $17.0 million. The lease is expected to commence in 2026 and has a noncancellable lease term of 13.3 years.</w:t>
      </w:r>
    </w:p>
    <w:p>
      <w:pPr>
        <w:spacing w:after="0" w:line="204" w:lineRule="exact"/>
        <w:rPr>
          <w:sz w:val="20"/>
          <w:szCs w:val="20"/>
          <w:color w:val="auto"/>
        </w:rPr>
      </w:pPr>
    </w:p>
    <w:p>
      <w:pPr>
        <w:ind w:right="420" w:firstLine="441"/>
        <w:spacing w:after="0" w:line="299" w:lineRule="auto"/>
        <w:rPr>
          <w:sz w:val="20"/>
          <w:szCs w:val="20"/>
          <w:color w:val="auto"/>
        </w:rPr>
      </w:pPr>
      <w:r>
        <w:rPr>
          <w:rFonts w:ascii="Times New Roman" w:cs="Times New Roman" w:eastAsia="Times New Roman" w:hAnsi="Times New Roman"/>
          <w:sz w:val="19"/>
          <w:szCs w:val="19"/>
          <w:color w:val="auto"/>
        </w:rPr>
        <w:t xml:space="preserve">On March 1, 2024, the Company transferred the sublease and completed the asset sale of the Somerset Facility. See Note 7, </w:t>
      </w:r>
      <w:r>
        <w:rPr>
          <w:rFonts w:ascii="Times New Roman" w:cs="Times New Roman" w:eastAsia="Times New Roman" w:hAnsi="Times New Roman"/>
          <w:sz w:val="19"/>
          <w:szCs w:val="19"/>
          <w:i w:val="1"/>
          <w:iCs w:val="1"/>
          <w:color w:val="auto"/>
        </w:rPr>
        <w:t xml:space="preserve">“Property, Plan and Equipment, Net” </w:t>
      </w:r>
      <w:r>
        <w:rPr>
          <w:rFonts w:ascii="Times New Roman" w:cs="Times New Roman" w:eastAsia="Times New Roman" w:hAnsi="Times New Roman"/>
          <w:sz w:val="19"/>
          <w:szCs w:val="19"/>
          <w:color w:val="auto"/>
        </w:rPr>
        <w:t>to these consolidated financial statements for further discussion on the sublease transfer.</w:t>
      </w:r>
    </w:p>
    <w:p>
      <w:pPr>
        <w:spacing w:after="0" w:line="161" w:lineRule="exact"/>
        <w:rPr>
          <w:sz w:val="20"/>
          <w:szCs w:val="20"/>
          <w:color w:val="auto"/>
        </w:rPr>
      </w:pPr>
    </w:p>
    <w:p>
      <w:pPr>
        <w:ind w:right="220" w:firstLine="441"/>
        <w:spacing w:after="0" w:line="298" w:lineRule="auto"/>
        <w:rPr>
          <w:sz w:val="20"/>
          <w:szCs w:val="20"/>
          <w:color w:val="auto"/>
        </w:rPr>
      </w:pPr>
      <w:r>
        <w:rPr>
          <w:rFonts w:ascii="Times New Roman" w:cs="Times New Roman" w:eastAsia="Times New Roman" w:hAnsi="Times New Roman"/>
          <w:sz w:val="19"/>
          <w:szCs w:val="19"/>
          <w:color w:val="auto"/>
        </w:rPr>
        <w:t>Leases with an initial term of 12 months or less are not recorded on the balance sheet as the Company has elected to apply the short-term lease exemption. The Company recognizes lease expense for these leases on a straight-line basis over the lease term.</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Operating and finance lease assets and liabilities are as follows:</w:t>
      </w:r>
    </w:p>
    <w:p>
      <w:pPr>
        <w:spacing w:after="0" w:line="73" w:lineRule="exact"/>
        <w:rPr>
          <w:sz w:val="20"/>
          <w:szCs w:val="20"/>
          <w:color w:val="auto"/>
        </w:rPr>
      </w:pPr>
    </w:p>
    <w:tbl>
      <w:tblPr>
        <w:tblLayout w:type="fixed"/>
        <w:tblInd w:w="100" w:type="dxa"/>
        <w:tblCellMar>
          <w:top w:w="0" w:type="dxa"/>
          <w:left w:w="0" w:type="dxa"/>
          <w:bottom w:w="0" w:type="dxa"/>
          <w:right w:w="0" w:type="dxa"/>
        </w:tblCellMar>
      </w:tblPr>
      <w:tr>
        <w:trPr>
          <w:trHeight w:val="262"/>
        </w:trPr>
        <w:tc>
          <w:tcPr>
            <w:tcW w:w="2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Classification</w:t>
            </w:r>
          </w:p>
        </w:tc>
        <w:tc>
          <w:tcPr>
            <w:tcW w:w="20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80" w:type="dxa"/>
            <w:vAlign w:val="bottom"/>
            <w:tcBorders>
              <w:bottom w:val="single" w:sz="8" w:color="E9E9E9"/>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0" w:type="dxa"/>
            <w:vAlign w:val="bottom"/>
          </w:tcPr>
          <w:p>
            <w:pPr>
              <w:spacing w:after="0"/>
              <w:rPr>
                <w:sz w:val="1"/>
                <w:szCs w:val="1"/>
                <w:color w:val="auto"/>
              </w:rPr>
            </w:pPr>
          </w:p>
        </w:tc>
      </w:tr>
      <w:tr>
        <w:trPr>
          <w:trHeight w:val="269"/>
        </w:trPr>
        <w:tc>
          <w:tcPr>
            <w:tcW w:w="266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3520" w:type="dxa"/>
            <w:vAlign w:val="bottom"/>
            <w:shd w:val="clear" w:color="auto" w:fill="E9E9E9"/>
          </w:tcPr>
          <w:p>
            <w:pPr>
              <w:spacing w:after="0"/>
              <w:rPr>
                <w:sz w:val="23"/>
                <w:szCs w:val="23"/>
                <w:color w:val="auto"/>
              </w:rPr>
            </w:pPr>
          </w:p>
        </w:tc>
        <w:tc>
          <w:tcPr>
            <w:tcW w:w="200" w:type="dxa"/>
            <w:vAlign w:val="bottom"/>
            <w:shd w:val="clear" w:color="auto" w:fill="E9E9E9"/>
          </w:tcPr>
          <w:p>
            <w:pPr>
              <w:spacing w:after="0"/>
              <w:rPr>
                <w:sz w:val="23"/>
                <w:szCs w:val="23"/>
                <w:color w:val="auto"/>
              </w:rPr>
            </w:pPr>
          </w:p>
        </w:tc>
        <w:tc>
          <w:tcPr>
            <w:tcW w:w="1880" w:type="dxa"/>
            <w:vAlign w:val="bottom"/>
            <w:shd w:val="clear" w:color="auto" w:fill="E9E9E9"/>
          </w:tcPr>
          <w:p>
            <w:pPr>
              <w:spacing w:after="0"/>
              <w:rPr>
                <w:sz w:val="23"/>
                <w:szCs w:val="23"/>
                <w:color w:val="auto"/>
              </w:rPr>
            </w:pPr>
          </w:p>
        </w:tc>
        <w:tc>
          <w:tcPr>
            <w:tcW w:w="80" w:type="dxa"/>
            <w:vAlign w:val="bottom"/>
            <w:shd w:val="clear" w:color="auto" w:fill="E9E9E9"/>
          </w:tcPr>
          <w:p>
            <w:pPr>
              <w:spacing w:after="0"/>
              <w:rPr>
                <w:sz w:val="23"/>
                <w:szCs w:val="23"/>
                <w:color w:val="auto"/>
              </w:rPr>
            </w:pPr>
          </w:p>
        </w:tc>
        <w:tc>
          <w:tcPr>
            <w:tcW w:w="180" w:type="dxa"/>
            <w:vAlign w:val="bottom"/>
            <w:shd w:val="clear" w:color="auto" w:fill="E9E9E9"/>
          </w:tcPr>
          <w:p>
            <w:pPr>
              <w:spacing w:after="0"/>
              <w:rPr>
                <w:sz w:val="23"/>
                <w:szCs w:val="23"/>
                <w:color w:val="auto"/>
              </w:rPr>
            </w:pPr>
          </w:p>
        </w:tc>
        <w:tc>
          <w:tcPr>
            <w:tcW w:w="1880" w:type="dxa"/>
            <w:vAlign w:val="bottom"/>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2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Operating</w:t>
            </w:r>
          </w:p>
        </w:tc>
        <w:tc>
          <w:tcPr>
            <w:tcW w:w="3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Other long-term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36,083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45,325</w:t>
            </w:r>
          </w:p>
        </w:tc>
        <w:tc>
          <w:tcPr>
            <w:tcW w:w="0" w:type="dxa"/>
            <w:vAlign w:val="bottom"/>
          </w:tcPr>
          <w:p>
            <w:pPr>
              <w:spacing w:after="0"/>
              <w:rPr>
                <w:sz w:val="1"/>
                <w:szCs w:val="1"/>
                <w:color w:val="auto"/>
              </w:rPr>
            </w:pPr>
          </w:p>
        </w:tc>
      </w:tr>
      <w:tr>
        <w:trPr>
          <w:trHeight w:val="291"/>
        </w:trPr>
        <w:tc>
          <w:tcPr>
            <w:tcW w:w="2660" w:type="dxa"/>
            <w:vAlign w:val="bottom"/>
            <w:tcBorders>
              <w:bottom w:val="single" w:sz="8" w:color="E9E9E9"/>
            </w:tcBorders>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Finance</w:t>
            </w:r>
          </w:p>
        </w:tc>
        <w:tc>
          <w:tcPr>
            <w:tcW w:w="3520" w:type="dxa"/>
            <w:vAlign w:val="bottom"/>
            <w:tcBorders>
              <w:bottom w:val="single" w:sz="8" w:color="E9E9E9"/>
            </w:tcBorders>
            <w:shd w:val="clear" w:color="auto" w:fill="E9E9E9"/>
          </w:tcPr>
          <w:p>
            <w:pPr>
              <w:jc w:val="center"/>
              <w:spacing w:after="0"/>
              <w:rPr>
                <w:sz w:val="20"/>
                <w:szCs w:val="20"/>
                <w:color w:val="auto"/>
              </w:rPr>
            </w:pPr>
            <w:r>
              <w:rPr>
                <w:rFonts w:ascii="Times New Roman" w:cs="Times New Roman" w:eastAsia="Times New Roman" w:hAnsi="Times New Roman"/>
                <w:sz w:val="20"/>
                <w:szCs w:val="20"/>
                <w:color w:val="auto"/>
                <w:w w:val="98"/>
              </w:rPr>
              <w:t>Property, plant and equipment, net</w:t>
            </w:r>
          </w:p>
        </w:tc>
        <w:tc>
          <w:tcPr>
            <w:tcW w:w="200" w:type="dxa"/>
            <w:vAlign w:val="bottom"/>
            <w:tcBorders>
              <w:bottom w:val="single" w:sz="8" w:color="auto"/>
            </w:tcBorders>
            <w:shd w:val="clear" w:color="auto" w:fill="E9E9E9"/>
          </w:tcPr>
          <w:p>
            <w:pPr>
              <w:spacing w:after="0"/>
              <w:rPr>
                <w:sz w:val="24"/>
                <w:szCs w:val="24"/>
                <w:color w:val="auto"/>
              </w:rPr>
            </w:pPr>
          </w:p>
        </w:tc>
        <w:tc>
          <w:tcPr>
            <w:tcW w:w="18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1,564</w:t>
            </w:r>
          </w:p>
        </w:tc>
        <w:tc>
          <w:tcPr>
            <w:tcW w:w="80" w:type="dxa"/>
            <w:vAlign w:val="bottom"/>
            <w:tcBorders>
              <w:bottom w:val="single" w:sz="8" w:color="E9E9E9"/>
            </w:tcBorders>
            <w:shd w:val="clear" w:color="auto" w:fill="E9E9E9"/>
          </w:tcPr>
          <w:p>
            <w:pPr>
              <w:spacing w:after="0"/>
              <w:rPr>
                <w:sz w:val="24"/>
                <w:szCs w:val="24"/>
                <w:color w:val="auto"/>
              </w:rPr>
            </w:pPr>
          </w:p>
        </w:tc>
        <w:tc>
          <w:tcPr>
            <w:tcW w:w="180" w:type="dxa"/>
            <w:vAlign w:val="bottom"/>
            <w:tcBorders>
              <w:bottom w:val="single" w:sz="8" w:color="auto"/>
            </w:tcBorders>
            <w:shd w:val="clear" w:color="auto" w:fill="E9E9E9"/>
          </w:tcPr>
          <w:p>
            <w:pPr>
              <w:spacing w:after="0"/>
              <w:rPr>
                <w:sz w:val="24"/>
                <w:szCs w:val="24"/>
                <w:color w:val="auto"/>
              </w:rPr>
            </w:pPr>
          </w:p>
        </w:tc>
        <w:tc>
          <w:tcPr>
            <w:tcW w:w="18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1,438</w:t>
            </w:r>
          </w:p>
        </w:tc>
        <w:tc>
          <w:tcPr>
            <w:tcW w:w="0" w:type="dxa"/>
            <w:vAlign w:val="bottom"/>
          </w:tcPr>
          <w:p>
            <w:pPr>
              <w:spacing w:after="0"/>
              <w:rPr>
                <w:sz w:val="1"/>
                <w:szCs w:val="1"/>
                <w:color w:val="auto"/>
              </w:rPr>
            </w:pPr>
          </w:p>
        </w:tc>
      </w:tr>
      <w:tr>
        <w:trPr>
          <w:trHeight w:val="294"/>
        </w:trPr>
        <w:tc>
          <w:tcPr>
            <w:tcW w:w="2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leased assets</w:t>
            </w:r>
          </w:p>
        </w:tc>
        <w:tc>
          <w:tcPr>
            <w:tcW w:w="35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37,647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46,763</w:t>
            </w:r>
          </w:p>
        </w:tc>
        <w:tc>
          <w:tcPr>
            <w:tcW w:w="0" w:type="dxa"/>
            <w:vAlign w:val="bottom"/>
          </w:tcPr>
          <w:p>
            <w:pPr>
              <w:spacing w:after="0"/>
              <w:rPr>
                <w:sz w:val="1"/>
                <w:szCs w:val="1"/>
                <w:color w:val="auto"/>
              </w:rPr>
            </w:pPr>
          </w:p>
        </w:tc>
      </w:tr>
      <w:tr>
        <w:trPr>
          <w:trHeight w:val="250"/>
        </w:trPr>
        <w:tc>
          <w:tcPr>
            <w:tcW w:w="2660" w:type="dxa"/>
            <w:vAlign w:val="bottom"/>
            <w:tcBorders>
              <w:top w:val="single" w:sz="8" w:color="E9E9E9"/>
            </w:tcBorders>
            <w:shd w:val="clear" w:color="auto" w:fill="E9E9E9"/>
          </w:tcPr>
          <w:p>
            <w:pPr>
              <w:ind w:left="40"/>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3520" w:type="dxa"/>
            <w:vAlign w:val="bottom"/>
            <w:tcBorders>
              <w:top w:val="single" w:sz="8" w:color="E9E9E9"/>
            </w:tcBorders>
            <w:shd w:val="clear" w:color="auto" w:fill="E9E9E9"/>
          </w:tcPr>
          <w:p>
            <w:pPr>
              <w:spacing w:after="0"/>
              <w:rPr>
                <w:sz w:val="21"/>
                <w:szCs w:val="21"/>
                <w:color w:val="auto"/>
              </w:rPr>
            </w:pPr>
          </w:p>
        </w:tc>
        <w:tc>
          <w:tcPr>
            <w:tcW w:w="200" w:type="dxa"/>
            <w:vAlign w:val="bottom"/>
            <w:tcBorders>
              <w:top w:val="single" w:sz="8" w:color="auto"/>
            </w:tcBorders>
            <w:shd w:val="clear" w:color="auto" w:fill="E9E9E9"/>
          </w:tcPr>
          <w:p>
            <w:pPr>
              <w:spacing w:after="0"/>
              <w:rPr>
                <w:sz w:val="21"/>
                <w:szCs w:val="21"/>
                <w:color w:val="auto"/>
              </w:rPr>
            </w:pPr>
          </w:p>
        </w:tc>
        <w:tc>
          <w:tcPr>
            <w:tcW w:w="1880" w:type="dxa"/>
            <w:vAlign w:val="bottom"/>
            <w:tcBorders>
              <w:top w:val="single" w:sz="8" w:color="auto"/>
            </w:tcBorders>
            <w:shd w:val="clear" w:color="auto" w:fill="E9E9E9"/>
          </w:tcPr>
          <w:p>
            <w:pPr>
              <w:spacing w:after="0"/>
              <w:rPr>
                <w:sz w:val="21"/>
                <w:szCs w:val="21"/>
                <w:color w:val="auto"/>
              </w:rPr>
            </w:pPr>
          </w:p>
        </w:tc>
        <w:tc>
          <w:tcPr>
            <w:tcW w:w="80" w:type="dxa"/>
            <w:vAlign w:val="bottom"/>
            <w:tcBorders>
              <w:top w:val="single" w:sz="8" w:color="E9E9E9"/>
            </w:tcBorders>
            <w:shd w:val="clear" w:color="auto" w:fill="E9E9E9"/>
          </w:tcPr>
          <w:p>
            <w:pPr>
              <w:spacing w:after="0"/>
              <w:rPr>
                <w:sz w:val="21"/>
                <w:szCs w:val="21"/>
                <w:color w:val="auto"/>
              </w:rPr>
            </w:pPr>
          </w:p>
        </w:tc>
        <w:tc>
          <w:tcPr>
            <w:tcW w:w="180" w:type="dxa"/>
            <w:vAlign w:val="bottom"/>
            <w:tcBorders>
              <w:top w:val="single" w:sz="8" w:color="auto"/>
            </w:tcBorders>
            <w:shd w:val="clear" w:color="auto" w:fill="E9E9E9"/>
          </w:tcPr>
          <w:p>
            <w:pPr>
              <w:spacing w:after="0"/>
              <w:rPr>
                <w:sz w:val="21"/>
                <w:szCs w:val="21"/>
                <w:color w:val="auto"/>
              </w:rPr>
            </w:pPr>
          </w:p>
        </w:tc>
        <w:tc>
          <w:tcPr>
            <w:tcW w:w="1880" w:type="dxa"/>
            <w:vAlign w:val="bottom"/>
            <w:tcBorders>
              <w:top w:val="single" w:sz="8" w:color="auto"/>
            </w:tcBorders>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2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Current</w:t>
            </w:r>
          </w:p>
        </w:tc>
        <w:tc>
          <w:tcPr>
            <w:tcW w:w="3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660" w:type="dxa"/>
            <w:vAlign w:val="bottom"/>
            <w:shd w:val="clear" w:color="auto" w:fill="E9E9E9"/>
          </w:tcPr>
          <w:p>
            <w:pPr>
              <w:ind w:left="300"/>
              <w:spacing w:after="0"/>
              <w:rPr>
                <w:sz w:val="20"/>
                <w:szCs w:val="20"/>
                <w:color w:val="auto"/>
              </w:rPr>
            </w:pPr>
            <w:r>
              <w:rPr>
                <w:rFonts w:ascii="Times New Roman" w:cs="Times New Roman" w:eastAsia="Times New Roman" w:hAnsi="Times New Roman"/>
                <w:sz w:val="20"/>
                <w:szCs w:val="20"/>
                <w:color w:val="auto"/>
              </w:rPr>
              <w:t>Operating</w:t>
            </w:r>
          </w:p>
        </w:tc>
        <w:tc>
          <w:tcPr>
            <w:tcW w:w="352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20"/>
                <w:szCs w:val="20"/>
                <w:color w:val="auto"/>
                <w:w w:val="97"/>
              </w:rPr>
              <w:t>Accrued expenses and other liabilities</w:t>
            </w:r>
          </w:p>
        </w:tc>
        <w:tc>
          <w:tcPr>
            <w:tcW w:w="2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1,867</w:t>
            </w:r>
          </w:p>
        </w:tc>
        <w:tc>
          <w:tcPr>
            <w:tcW w:w="260" w:type="dxa"/>
            <w:vAlign w:val="bottom"/>
            <w:gridSpan w:val="2"/>
            <w:shd w:val="clear" w:color="auto" w:fill="E9E9E9"/>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8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1,904</w:t>
            </w:r>
          </w:p>
        </w:tc>
        <w:tc>
          <w:tcPr>
            <w:tcW w:w="0" w:type="dxa"/>
            <w:vAlign w:val="bottom"/>
          </w:tcPr>
          <w:p>
            <w:pPr>
              <w:spacing w:after="0"/>
              <w:rPr>
                <w:sz w:val="1"/>
                <w:szCs w:val="1"/>
                <w:color w:val="auto"/>
              </w:rPr>
            </w:pPr>
          </w:p>
        </w:tc>
      </w:tr>
      <w:tr>
        <w:trPr>
          <w:trHeight w:val="218"/>
        </w:trPr>
        <w:tc>
          <w:tcPr>
            <w:tcW w:w="2660" w:type="dxa"/>
            <w:vAlign w:val="bottom"/>
            <w:vMerge w:val="restart"/>
          </w:tcPr>
          <w:p>
            <w:pPr>
              <w:ind w:left="300"/>
              <w:spacing w:after="0"/>
              <w:rPr>
                <w:sz w:val="20"/>
                <w:szCs w:val="20"/>
                <w:color w:val="auto"/>
              </w:rPr>
            </w:pPr>
            <w:r>
              <w:rPr>
                <w:rFonts w:ascii="Times New Roman" w:cs="Times New Roman" w:eastAsia="Times New Roman" w:hAnsi="Times New Roman"/>
                <w:sz w:val="20"/>
                <w:szCs w:val="20"/>
                <w:color w:val="auto"/>
              </w:rPr>
              <w:t>Finance</w:t>
            </w:r>
          </w:p>
        </w:tc>
        <w:tc>
          <w:tcPr>
            <w:tcW w:w="3520" w:type="dxa"/>
            <w:vAlign w:val="bottom"/>
          </w:tcPr>
          <w:p>
            <w:pPr>
              <w:jc w:val="center"/>
              <w:spacing w:after="0" w:line="218" w:lineRule="exact"/>
              <w:rPr>
                <w:sz w:val="20"/>
                <w:szCs w:val="20"/>
                <w:color w:val="auto"/>
              </w:rPr>
            </w:pPr>
            <w:r>
              <w:rPr>
                <w:rFonts w:ascii="Times New Roman" w:cs="Times New Roman" w:eastAsia="Times New Roman" w:hAnsi="Times New Roman"/>
                <w:sz w:val="20"/>
                <w:szCs w:val="20"/>
                <w:color w:val="auto"/>
                <w:w w:val="97"/>
              </w:rPr>
              <w:t>Current portion of long-term debt and other</w:t>
            </w: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660" w:type="dxa"/>
            <w:vAlign w:val="bottom"/>
            <w:vMerge w:val="continue"/>
          </w:tcPr>
          <w:p>
            <w:pPr>
              <w:spacing w:after="0"/>
              <w:rPr>
                <w:sz w:val="13"/>
                <w:szCs w:val="13"/>
                <w:color w:val="auto"/>
              </w:rPr>
            </w:pPr>
          </w:p>
        </w:tc>
        <w:tc>
          <w:tcPr>
            <w:tcW w:w="35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borrowings</w:t>
            </w:r>
          </w:p>
        </w:tc>
        <w:tc>
          <w:tcPr>
            <w:tcW w:w="200" w:type="dxa"/>
            <w:vAlign w:val="bottom"/>
          </w:tcPr>
          <w:p>
            <w:pPr>
              <w:spacing w:after="0"/>
              <w:rPr>
                <w:sz w:val="13"/>
                <w:szCs w:val="13"/>
                <w:color w:val="auto"/>
              </w:rPr>
            </w:pPr>
          </w:p>
        </w:tc>
        <w:tc>
          <w:tcPr>
            <w:tcW w:w="1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974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823</w:t>
            </w:r>
          </w:p>
        </w:tc>
        <w:tc>
          <w:tcPr>
            <w:tcW w:w="0" w:type="dxa"/>
            <w:vAlign w:val="bottom"/>
          </w:tcPr>
          <w:p>
            <w:pPr>
              <w:spacing w:after="0"/>
              <w:rPr>
                <w:sz w:val="1"/>
                <w:szCs w:val="1"/>
                <w:color w:val="auto"/>
              </w:rPr>
            </w:pPr>
          </w:p>
        </w:tc>
      </w:tr>
      <w:tr>
        <w:trPr>
          <w:trHeight w:val="110"/>
        </w:trPr>
        <w:tc>
          <w:tcPr>
            <w:tcW w:w="2660" w:type="dxa"/>
            <w:vAlign w:val="bottom"/>
          </w:tcPr>
          <w:p>
            <w:pPr>
              <w:spacing w:after="0"/>
              <w:rPr>
                <w:sz w:val="9"/>
                <w:szCs w:val="9"/>
                <w:color w:val="auto"/>
              </w:rPr>
            </w:pPr>
          </w:p>
        </w:tc>
        <w:tc>
          <w:tcPr>
            <w:tcW w:w="35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8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266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Noncurrent</w:t>
            </w:r>
          </w:p>
        </w:tc>
        <w:tc>
          <w:tcPr>
            <w:tcW w:w="3520" w:type="dxa"/>
            <w:vAlign w:val="bottom"/>
            <w:shd w:val="clear" w:color="auto" w:fill="E9E9E9"/>
          </w:tcPr>
          <w:p>
            <w:pPr>
              <w:spacing w:after="0"/>
              <w:rPr>
                <w:sz w:val="24"/>
                <w:szCs w:val="24"/>
                <w:color w:val="auto"/>
              </w:rPr>
            </w:pPr>
          </w:p>
        </w:tc>
        <w:tc>
          <w:tcPr>
            <w:tcW w:w="200" w:type="dxa"/>
            <w:vAlign w:val="bottom"/>
            <w:shd w:val="clear" w:color="auto" w:fill="E9E9E9"/>
          </w:tcPr>
          <w:p>
            <w:pPr>
              <w:spacing w:after="0"/>
              <w:rPr>
                <w:sz w:val="24"/>
                <w:szCs w:val="24"/>
                <w:color w:val="auto"/>
              </w:rPr>
            </w:pPr>
          </w:p>
        </w:tc>
        <w:tc>
          <w:tcPr>
            <w:tcW w:w="1880" w:type="dxa"/>
            <w:vAlign w:val="bottom"/>
            <w:shd w:val="clear" w:color="auto" w:fill="E9E9E9"/>
          </w:tcPr>
          <w:p>
            <w:pPr>
              <w:spacing w:after="0"/>
              <w:rPr>
                <w:sz w:val="24"/>
                <w:szCs w:val="24"/>
                <w:color w:val="auto"/>
              </w:rPr>
            </w:pPr>
          </w:p>
        </w:tc>
        <w:tc>
          <w:tcPr>
            <w:tcW w:w="80" w:type="dxa"/>
            <w:vAlign w:val="bottom"/>
            <w:shd w:val="clear" w:color="auto" w:fill="E9E9E9"/>
          </w:tcPr>
          <w:p>
            <w:pPr>
              <w:spacing w:after="0"/>
              <w:rPr>
                <w:sz w:val="24"/>
                <w:szCs w:val="24"/>
                <w:color w:val="auto"/>
              </w:rPr>
            </w:pPr>
          </w:p>
        </w:tc>
        <w:tc>
          <w:tcPr>
            <w:tcW w:w="180" w:type="dxa"/>
            <w:vAlign w:val="bottom"/>
            <w:shd w:val="clear" w:color="auto" w:fill="E9E9E9"/>
          </w:tcPr>
          <w:p>
            <w:pPr>
              <w:spacing w:after="0"/>
              <w:rPr>
                <w:sz w:val="24"/>
                <w:szCs w:val="24"/>
                <w:color w:val="auto"/>
              </w:rPr>
            </w:pPr>
          </w:p>
        </w:tc>
        <w:tc>
          <w:tcPr>
            <w:tcW w:w="1880" w:type="dxa"/>
            <w:vAlign w:val="bottom"/>
            <w:shd w:val="clear" w:color="auto" w:fill="E9E9E9"/>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66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Operating</w:t>
            </w:r>
          </w:p>
        </w:tc>
        <w:tc>
          <w:tcPr>
            <w:tcW w:w="3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Other long-term liabilities</w:t>
            </w:r>
          </w:p>
        </w:tc>
        <w:tc>
          <w:tcPr>
            <w:tcW w:w="2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53,185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54,453</w:t>
            </w:r>
          </w:p>
        </w:tc>
        <w:tc>
          <w:tcPr>
            <w:tcW w:w="0" w:type="dxa"/>
            <w:vAlign w:val="bottom"/>
          </w:tcPr>
          <w:p>
            <w:pPr>
              <w:spacing w:after="0"/>
              <w:rPr>
                <w:sz w:val="1"/>
                <w:szCs w:val="1"/>
                <w:color w:val="auto"/>
              </w:rPr>
            </w:pPr>
          </w:p>
        </w:tc>
      </w:tr>
      <w:tr>
        <w:trPr>
          <w:trHeight w:val="291"/>
        </w:trPr>
        <w:tc>
          <w:tcPr>
            <w:tcW w:w="2660" w:type="dxa"/>
            <w:vAlign w:val="bottom"/>
            <w:tcBorders>
              <w:bottom w:val="single" w:sz="8" w:color="E7E7E7"/>
            </w:tcBorders>
            <w:shd w:val="clear" w:color="auto" w:fill="E7E7E7"/>
          </w:tcPr>
          <w:p>
            <w:pPr>
              <w:ind w:left="300"/>
              <w:spacing w:after="0"/>
              <w:rPr>
                <w:sz w:val="20"/>
                <w:szCs w:val="20"/>
                <w:color w:val="auto"/>
              </w:rPr>
            </w:pPr>
            <w:r>
              <w:rPr>
                <w:rFonts w:ascii="Times New Roman" w:cs="Times New Roman" w:eastAsia="Times New Roman" w:hAnsi="Times New Roman"/>
                <w:sz w:val="20"/>
                <w:szCs w:val="20"/>
                <w:color w:val="auto"/>
              </w:rPr>
              <w:t>Finance</w:t>
            </w:r>
          </w:p>
        </w:tc>
        <w:tc>
          <w:tcPr>
            <w:tcW w:w="3520" w:type="dxa"/>
            <w:vAlign w:val="bottom"/>
            <w:tcBorders>
              <w:bottom w:val="single" w:sz="8" w:color="E9E9E9"/>
            </w:tcBorders>
            <w:shd w:val="clear" w:color="auto" w:fill="E9E9E9"/>
          </w:tcPr>
          <w:p>
            <w:pPr>
              <w:jc w:val="center"/>
              <w:spacing w:after="0"/>
              <w:rPr>
                <w:sz w:val="20"/>
                <w:szCs w:val="20"/>
                <w:color w:val="auto"/>
              </w:rPr>
            </w:pPr>
            <w:r>
              <w:rPr>
                <w:rFonts w:ascii="Times New Roman" w:cs="Times New Roman" w:eastAsia="Times New Roman" w:hAnsi="Times New Roman"/>
                <w:sz w:val="20"/>
                <w:szCs w:val="20"/>
                <w:color w:val="auto"/>
                <w:w w:val="97"/>
              </w:rPr>
              <w:t>Long-term debt, net and other borrowings</w:t>
            </w:r>
          </w:p>
        </w:tc>
        <w:tc>
          <w:tcPr>
            <w:tcW w:w="200" w:type="dxa"/>
            <w:vAlign w:val="bottom"/>
            <w:tcBorders>
              <w:bottom w:val="single" w:sz="8" w:color="auto"/>
            </w:tcBorders>
            <w:shd w:val="clear" w:color="auto" w:fill="E7E7E7"/>
          </w:tcPr>
          <w:p>
            <w:pPr>
              <w:spacing w:after="0"/>
              <w:rPr>
                <w:sz w:val="24"/>
                <w:szCs w:val="24"/>
                <w:color w:val="auto"/>
              </w:rPr>
            </w:pPr>
          </w:p>
        </w:tc>
        <w:tc>
          <w:tcPr>
            <w:tcW w:w="188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671</w:t>
            </w:r>
          </w:p>
        </w:tc>
        <w:tc>
          <w:tcPr>
            <w:tcW w:w="80" w:type="dxa"/>
            <w:vAlign w:val="bottom"/>
            <w:tcBorders>
              <w:bottom w:val="single" w:sz="8" w:color="E7E7E7"/>
            </w:tcBorders>
            <w:shd w:val="clear" w:color="auto" w:fill="E7E7E7"/>
          </w:tcPr>
          <w:p>
            <w:pPr>
              <w:spacing w:after="0"/>
              <w:rPr>
                <w:sz w:val="24"/>
                <w:szCs w:val="24"/>
                <w:color w:val="auto"/>
              </w:rPr>
            </w:pPr>
          </w:p>
        </w:tc>
        <w:tc>
          <w:tcPr>
            <w:tcW w:w="180" w:type="dxa"/>
            <w:vAlign w:val="bottom"/>
            <w:tcBorders>
              <w:bottom w:val="single" w:sz="8" w:color="auto"/>
            </w:tcBorders>
            <w:shd w:val="clear" w:color="auto" w:fill="E7E7E7"/>
          </w:tcPr>
          <w:p>
            <w:pPr>
              <w:spacing w:after="0"/>
              <w:rPr>
                <w:sz w:val="24"/>
                <w:szCs w:val="24"/>
                <w:color w:val="auto"/>
              </w:rPr>
            </w:pPr>
          </w:p>
        </w:tc>
        <w:tc>
          <w:tcPr>
            <w:tcW w:w="1880" w:type="dxa"/>
            <w:vAlign w:val="bottom"/>
            <w:tcBorders>
              <w:bottom w:val="single" w:sz="8" w:color="auto"/>
            </w:tcBorders>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625</w:t>
            </w:r>
          </w:p>
        </w:tc>
        <w:tc>
          <w:tcPr>
            <w:tcW w:w="0" w:type="dxa"/>
            <w:vAlign w:val="bottom"/>
          </w:tcPr>
          <w:p>
            <w:pPr>
              <w:spacing w:after="0"/>
              <w:rPr>
                <w:sz w:val="1"/>
                <w:szCs w:val="1"/>
                <w:color w:val="auto"/>
              </w:rPr>
            </w:pPr>
          </w:p>
        </w:tc>
      </w:tr>
      <w:tr>
        <w:trPr>
          <w:trHeight w:val="255"/>
        </w:trPr>
        <w:tc>
          <w:tcPr>
            <w:tcW w:w="2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leased liabilities</w:t>
            </w:r>
          </w:p>
        </w:tc>
        <w:tc>
          <w:tcPr>
            <w:tcW w:w="35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56,697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57,805</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3978275</wp:posOffset>
            </wp:positionH>
            <wp:positionV relativeFrom="paragraph">
              <wp:posOffset>-1648460</wp:posOffset>
            </wp:positionV>
            <wp:extent cx="2704465" cy="501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704465" cy="50165"/>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-43180</wp:posOffset>
            </wp:positionV>
            <wp:extent cx="2704465" cy="501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704465" cy="50165"/>
                    </a:xfrm>
                    <a:prstGeom prst="rect">
                      <a:avLst/>
                    </a:prstGeom>
                    <a:noFill/>
                  </pic:spPr>
                </pic:pic>
              </a:graphicData>
            </a:graphic>
          </wp:anchor>
        </w:drawing>
      </w:r>
    </w:p>
    <w:p>
      <w:pPr>
        <w:spacing w:after="0" w:line="222" w:lineRule="exact"/>
        <w:rPr>
          <w:sz w:val="20"/>
          <w:szCs w:val="20"/>
          <w:color w:val="auto"/>
        </w:rPr>
      </w:pPr>
    </w:p>
    <w:tbl>
      <w:tblPr>
        <w:tblLayout w:type="fixed"/>
        <w:tblInd w:w="440" w:type="dxa"/>
        <w:tblCellMar>
          <w:top w:w="0" w:type="dxa"/>
          <w:left w:w="0" w:type="dxa"/>
          <w:bottom w:w="0" w:type="dxa"/>
          <w:right w:w="0" w:type="dxa"/>
        </w:tblCellMar>
      </w:tblPr>
      <w:tr>
        <w:trPr>
          <w:trHeight w:val="255"/>
        </w:trPr>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components of lease expense were as follows:</w:t>
            </w:r>
          </w:p>
        </w:tc>
        <w:tc>
          <w:tcPr>
            <w:tcW w:w="2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342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220" w:type="dxa"/>
            <w:vAlign w:val="bottom"/>
          </w:tcPr>
          <w:p>
            <w:pPr>
              <w:spacing w:after="0"/>
              <w:rPr>
                <w:sz w:val="19"/>
                <w:szCs w:val="19"/>
                <w:color w:val="auto"/>
              </w:rPr>
            </w:pPr>
          </w:p>
        </w:tc>
        <w:tc>
          <w:tcPr>
            <w:tcW w:w="2000" w:type="dxa"/>
            <w:vAlign w:val="bottom"/>
          </w:tcPr>
          <w:p>
            <w:pPr>
              <w:jc w:val="right"/>
              <w:ind w:right="522"/>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jc w:val="right"/>
              <w:ind w:right="502"/>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0" w:type="dxa"/>
            <w:vAlign w:val="bottom"/>
          </w:tcPr>
          <w:p>
            <w:pPr>
              <w:spacing w:after="0"/>
              <w:rPr>
                <w:sz w:val="1"/>
                <w:szCs w:val="1"/>
                <w:color w:val="auto"/>
              </w:rPr>
            </w:pPr>
          </w:p>
        </w:tc>
      </w:tr>
      <w:tr>
        <w:trPr>
          <w:trHeight w:val="258"/>
        </w:trPr>
        <w:tc>
          <w:tcPr>
            <w:tcW w:w="920" w:type="dxa"/>
            <w:vAlign w:val="bottom"/>
          </w:tcPr>
          <w:p>
            <w:pPr>
              <w:spacing w:after="0"/>
              <w:rPr>
                <w:sz w:val="22"/>
                <w:szCs w:val="22"/>
                <w:color w:val="auto"/>
              </w:rPr>
            </w:pPr>
          </w:p>
        </w:tc>
        <w:tc>
          <w:tcPr>
            <w:tcW w:w="3420" w:type="dxa"/>
            <w:vAlign w:val="bottom"/>
            <w:tcBorders>
              <w:bottom w:val="single" w:sz="8" w:color="E9E9E9"/>
            </w:tcBorders>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60" w:type="dxa"/>
            <w:vAlign w:val="bottom"/>
            <w:tcBorders>
              <w:bottom w:val="single" w:sz="8" w:color="E9E9E9"/>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0" w:type="dxa"/>
            <w:vAlign w:val="bottom"/>
          </w:tcPr>
          <w:p>
            <w:pPr>
              <w:spacing w:after="0"/>
              <w:rPr>
                <w:sz w:val="1"/>
                <w:szCs w:val="1"/>
                <w:color w:val="auto"/>
              </w:rPr>
            </w:pPr>
          </w:p>
        </w:tc>
      </w:tr>
      <w:tr>
        <w:trPr>
          <w:trHeight w:val="269"/>
        </w:trPr>
        <w:tc>
          <w:tcPr>
            <w:tcW w:w="920" w:type="dxa"/>
            <w:vAlign w:val="bottom"/>
          </w:tcPr>
          <w:p>
            <w:pPr>
              <w:spacing w:after="0"/>
              <w:rPr>
                <w:sz w:val="23"/>
                <w:szCs w:val="23"/>
                <w:color w:val="auto"/>
              </w:rPr>
            </w:pPr>
          </w:p>
        </w:tc>
        <w:tc>
          <w:tcPr>
            <w:tcW w:w="342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Operating lease expense</w:t>
            </w:r>
          </w:p>
        </w:tc>
        <w:tc>
          <w:tcPr>
            <w:tcW w:w="2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6,391</w:t>
            </w:r>
          </w:p>
        </w:tc>
        <w:tc>
          <w:tcPr>
            <w:tcW w:w="300" w:type="dxa"/>
            <w:vAlign w:val="bottom"/>
            <w:gridSpan w:val="2"/>
            <w:shd w:val="clear" w:color="auto" w:fill="E9E9E9"/>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4,627</w:t>
            </w:r>
          </w:p>
        </w:tc>
        <w:tc>
          <w:tcPr>
            <w:tcW w:w="0" w:type="dxa"/>
            <w:vAlign w:val="bottom"/>
          </w:tcPr>
          <w:p>
            <w:pPr>
              <w:spacing w:after="0"/>
              <w:rPr>
                <w:sz w:val="1"/>
                <w:szCs w:val="1"/>
                <w:color w:val="auto"/>
              </w:rPr>
            </w:pPr>
          </w:p>
        </w:tc>
      </w:tr>
      <w:tr>
        <w:trPr>
          <w:trHeight w:val="273"/>
        </w:trPr>
        <w:tc>
          <w:tcPr>
            <w:tcW w:w="920" w:type="dxa"/>
            <w:vAlign w:val="bottom"/>
          </w:tcPr>
          <w:p>
            <w:pPr>
              <w:spacing w:after="0"/>
              <w:rPr>
                <w:sz w:val="23"/>
                <w:szCs w:val="23"/>
                <w:color w:val="auto"/>
              </w:rPr>
            </w:pPr>
          </w:p>
        </w:tc>
        <w:tc>
          <w:tcPr>
            <w:tcW w:w="3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Finance lease expense</w:t>
            </w:r>
          </w:p>
        </w:tc>
        <w:tc>
          <w:tcPr>
            <w:tcW w:w="2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920" w:type="dxa"/>
            <w:vAlign w:val="bottom"/>
          </w:tcPr>
          <w:p>
            <w:pPr>
              <w:spacing w:after="0"/>
              <w:rPr>
                <w:sz w:val="24"/>
                <w:szCs w:val="24"/>
                <w:color w:val="auto"/>
              </w:rPr>
            </w:pPr>
          </w:p>
        </w:tc>
        <w:tc>
          <w:tcPr>
            <w:tcW w:w="3420" w:type="dxa"/>
            <w:vAlign w:val="bottom"/>
            <w:shd w:val="clear" w:color="auto" w:fill="E9E9E9"/>
          </w:tcPr>
          <w:p>
            <w:pPr>
              <w:ind w:left="340"/>
              <w:spacing w:after="0"/>
              <w:rPr>
                <w:sz w:val="20"/>
                <w:szCs w:val="20"/>
                <w:color w:val="auto"/>
              </w:rPr>
            </w:pPr>
            <w:r>
              <w:rPr>
                <w:rFonts w:ascii="Times New Roman" w:cs="Times New Roman" w:eastAsia="Times New Roman" w:hAnsi="Times New Roman"/>
                <w:sz w:val="20"/>
                <w:szCs w:val="20"/>
                <w:color w:val="auto"/>
              </w:rPr>
              <w:t>Amortization of ROU assets</w:t>
            </w:r>
          </w:p>
        </w:tc>
        <w:tc>
          <w:tcPr>
            <w:tcW w:w="2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962</w:t>
            </w:r>
          </w:p>
        </w:tc>
        <w:tc>
          <w:tcPr>
            <w:tcW w:w="60" w:type="dxa"/>
            <w:vAlign w:val="bottom"/>
            <w:shd w:val="clear" w:color="auto" w:fill="E9E9E9"/>
          </w:tcPr>
          <w:p>
            <w:pPr>
              <w:spacing w:after="0"/>
              <w:rPr>
                <w:sz w:val="24"/>
                <w:szCs w:val="24"/>
                <w:color w:val="auto"/>
              </w:rPr>
            </w:pPr>
          </w:p>
        </w:tc>
        <w:tc>
          <w:tcPr>
            <w:tcW w:w="240" w:type="dxa"/>
            <w:vAlign w:val="bottom"/>
            <w:shd w:val="clear" w:color="auto" w:fill="E9E9E9"/>
          </w:tcPr>
          <w:p>
            <w:pPr>
              <w:spacing w:after="0"/>
              <w:rPr>
                <w:sz w:val="24"/>
                <w:szCs w:val="24"/>
                <w:color w:val="auto"/>
              </w:rPr>
            </w:pPr>
          </w:p>
        </w:tc>
        <w:tc>
          <w:tcPr>
            <w:tcW w:w="1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795</w:t>
            </w:r>
          </w:p>
        </w:tc>
        <w:tc>
          <w:tcPr>
            <w:tcW w:w="0" w:type="dxa"/>
            <w:vAlign w:val="bottom"/>
          </w:tcPr>
          <w:p>
            <w:pPr>
              <w:spacing w:after="0"/>
              <w:rPr>
                <w:sz w:val="1"/>
                <w:szCs w:val="1"/>
                <w:color w:val="auto"/>
              </w:rPr>
            </w:pPr>
          </w:p>
        </w:tc>
      </w:tr>
      <w:tr>
        <w:trPr>
          <w:trHeight w:val="269"/>
        </w:trPr>
        <w:tc>
          <w:tcPr>
            <w:tcW w:w="920" w:type="dxa"/>
            <w:vAlign w:val="bottom"/>
          </w:tcPr>
          <w:p>
            <w:pPr>
              <w:spacing w:after="0"/>
              <w:rPr>
                <w:sz w:val="23"/>
                <w:szCs w:val="23"/>
                <w:color w:val="auto"/>
              </w:rPr>
            </w:pPr>
          </w:p>
        </w:tc>
        <w:tc>
          <w:tcPr>
            <w:tcW w:w="34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Interest on lease liabilities</w:t>
            </w:r>
          </w:p>
        </w:tc>
        <w:tc>
          <w:tcPr>
            <w:tcW w:w="220" w:type="dxa"/>
            <w:vAlign w:val="bottom"/>
            <w:tcBorders>
              <w:bottom w:val="single" w:sz="8" w:color="auto"/>
            </w:tcBorders>
          </w:tcPr>
          <w:p>
            <w:pPr>
              <w:spacing w:after="0"/>
              <w:rPr>
                <w:sz w:val="23"/>
                <w:szCs w:val="23"/>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0" w:type="dxa"/>
            <w:vAlign w:val="bottom"/>
          </w:tcPr>
          <w:p>
            <w:pPr>
              <w:spacing w:after="0"/>
              <w:rPr>
                <w:sz w:val="1"/>
                <w:szCs w:val="1"/>
                <w:color w:val="auto"/>
              </w:rPr>
            </w:pPr>
          </w:p>
        </w:tc>
      </w:tr>
      <w:tr>
        <w:trPr>
          <w:trHeight w:val="240"/>
        </w:trPr>
        <w:tc>
          <w:tcPr>
            <w:tcW w:w="920" w:type="dxa"/>
            <w:vAlign w:val="bottom"/>
          </w:tcPr>
          <w:p>
            <w:pPr>
              <w:spacing w:after="0"/>
              <w:rPr>
                <w:sz w:val="20"/>
                <w:szCs w:val="20"/>
                <w:color w:val="auto"/>
              </w:rPr>
            </w:pPr>
          </w:p>
        </w:tc>
        <w:tc>
          <w:tcPr>
            <w:tcW w:w="3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Total lease expense</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7,449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5,503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3018155</wp:posOffset>
            </wp:positionH>
            <wp:positionV relativeFrom="paragraph">
              <wp:posOffset>-43180</wp:posOffset>
            </wp:positionV>
            <wp:extent cx="2891155" cy="501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91155" cy="50165"/>
                    </a:xfrm>
                    <a:prstGeom prst="rect">
                      <a:avLst/>
                    </a:prstGeom>
                    <a:noFill/>
                  </pic:spPr>
                </pic:pic>
              </a:graphicData>
            </a:graphic>
          </wp:anchor>
        </w:drawing>
      </w:r>
    </w:p>
    <w:p>
      <w:pPr>
        <w:sectPr>
          <w:pgSz w:w="11880" w:h="15480" w:orient="portrait"/>
          <w:cols w:equalWidth="0" w:num="1">
            <w:col w:w="10540"/>
          </w:cols>
          <w:pgMar w:left="640" w:top="622"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114</w:t>
      </w:r>
    </w:p>
    <w:p>
      <w:pPr>
        <w:sectPr>
          <w:pgSz w:w="11880" w:h="15480" w:orient="portrait"/>
          <w:cols w:equalWidth="0" w:num="1">
            <w:col w:w="10540"/>
          </w:cols>
          <w:pgMar w:left="640" w:top="622" w:right="700" w:bottom="0" w:gutter="0" w:footer="0" w:header="0"/>
          <w:type w:val="continuous"/>
        </w:sectPr>
      </w:pPr>
    </w:p>
    <w:bookmarkStart w:id="120" w:name="page121"/>
    <w:bookmarkEnd w:id="120"/>
    <w:tbl>
      <w:tblPr>
        <w:tblLayout w:type="fixed"/>
        <w:tblInd w:w="260" w:type="dxa"/>
        <w:tblCellMar>
          <w:top w:w="0" w:type="dxa"/>
          <w:left w:w="0" w:type="dxa"/>
          <w:bottom w:w="0" w:type="dxa"/>
          <w:right w:w="0" w:type="dxa"/>
        </w:tblCellMar>
      </w:tblPr>
      <w:tr>
        <w:trPr>
          <w:trHeight w:val="255"/>
        </w:trPr>
        <w:tc>
          <w:tcPr>
            <w:tcW w:w="4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Other information related to leases were as follows:</w:t>
            </w:r>
          </w:p>
        </w:tc>
        <w:tc>
          <w:tcPr>
            <w:tcW w:w="2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80" w:type="dxa"/>
            <w:vAlign w:val="bottom"/>
          </w:tcPr>
          <w:p>
            <w:pPr>
              <w:spacing w:after="0"/>
              <w:rPr>
                <w:sz w:val="22"/>
                <w:szCs w:val="22"/>
                <w:color w:val="auto"/>
              </w:rPr>
            </w:pPr>
          </w:p>
        </w:tc>
      </w:tr>
      <w:tr>
        <w:trPr>
          <w:trHeight w:val="310"/>
        </w:trPr>
        <w:tc>
          <w:tcPr>
            <w:tcW w:w="46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20"/>
                <w:szCs w:val="20"/>
                <w:b w:val="1"/>
                <w:bCs w:val="1"/>
                <w:color w:val="auto"/>
                <w:w w:val="98"/>
              </w:rPr>
              <w:t>December 31, 2024</w:t>
            </w:r>
          </w:p>
        </w:tc>
        <w:tc>
          <w:tcPr>
            <w:tcW w:w="60" w:type="dxa"/>
            <w:vAlign w:val="bottom"/>
          </w:tcPr>
          <w:p>
            <w:pPr>
              <w:spacing w:after="0"/>
              <w:rPr>
                <w:sz w:val="24"/>
                <w:szCs w:val="24"/>
                <w:color w:val="auto"/>
              </w:rPr>
            </w:pPr>
          </w:p>
        </w:tc>
        <w:tc>
          <w:tcPr>
            <w:tcW w:w="2880" w:type="dxa"/>
            <w:vAlign w:val="bottom"/>
            <w:tcBorders>
              <w:bottom w:val="single" w:sz="8" w:color="auto"/>
            </w:tcBorders>
          </w:tcPr>
          <w:p>
            <w:pPr>
              <w:jc w:val="center"/>
              <w:ind w:left="162"/>
              <w:spacing w:after="0"/>
              <w:rPr>
                <w:sz w:val="20"/>
                <w:szCs w:val="20"/>
                <w:color w:val="auto"/>
              </w:rPr>
            </w:pPr>
            <w:r>
              <w:rPr>
                <w:rFonts w:ascii="Times New Roman" w:cs="Times New Roman" w:eastAsia="Times New Roman" w:hAnsi="Times New Roman"/>
                <w:sz w:val="20"/>
                <w:szCs w:val="20"/>
                <w:b w:val="1"/>
                <w:bCs w:val="1"/>
                <w:color w:val="auto"/>
                <w:w w:val="97"/>
              </w:rPr>
              <w:t>December 31, 2023</w:t>
            </w:r>
          </w:p>
        </w:tc>
      </w:tr>
      <w:tr>
        <w:trPr>
          <w:trHeight w:val="277"/>
        </w:trPr>
        <w:tc>
          <w:tcPr>
            <w:tcW w:w="46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Weighted-average remaining lease term (Years):</w:t>
            </w:r>
          </w:p>
        </w:tc>
        <w:tc>
          <w:tcPr>
            <w:tcW w:w="2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86"/>
        </w:trPr>
        <w:tc>
          <w:tcPr>
            <w:tcW w:w="4640" w:type="dxa"/>
            <w:vAlign w:val="bottom"/>
            <w:shd w:val="clear" w:color="auto" w:fill="E9E9E9"/>
          </w:tcPr>
          <w:p>
            <w:pPr>
              <w:ind w:left="340"/>
              <w:spacing w:after="0"/>
              <w:rPr>
                <w:sz w:val="20"/>
                <w:szCs w:val="20"/>
                <w:color w:val="auto"/>
              </w:rPr>
            </w:pPr>
            <w:r>
              <w:rPr>
                <w:rFonts w:ascii="Times New Roman" w:cs="Times New Roman" w:eastAsia="Times New Roman" w:hAnsi="Times New Roman"/>
                <w:sz w:val="20"/>
                <w:szCs w:val="20"/>
                <w:color w:val="auto"/>
              </w:rPr>
              <w:t>Operating leases</w:t>
            </w:r>
          </w:p>
        </w:tc>
        <w:tc>
          <w:tcPr>
            <w:tcW w:w="2500" w:type="dxa"/>
            <w:vAlign w:val="bottom"/>
            <w:shd w:val="clear" w:color="auto" w:fill="E9E9E9"/>
          </w:tcPr>
          <w:p>
            <w:pPr>
              <w:jc w:val="right"/>
              <w:ind w:right="1042"/>
              <w:spacing w:after="0"/>
              <w:rPr>
                <w:sz w:val="20"/>
                <w:szCs w:val="20"/>
                <w:color w:val="auto"/>
              </w:rPr>
            </w:pPr>
            <w:r>
              <w:rPr>
                <w:rFonts w:ascii="Times New Roman" w:cs="Times New Roman" w:eastAsia="Times New Roman" w:hAnsi="Times New Roman"/>
                <w:sz w:val="20"/>
                <w:szCs w:val="20"/>
                <w:color w:val="auto"/>
              </w:rPr>
              <w:t>13.1</w:t>
            </w:r>
          </w:p>
        </w:tc>
        <w:tc>
          <w:tcPr>
            <w:tcW w:w="2940" w:type="dxa"/>
            <w:vAlign w:val="bottom"/>
            <w:gridSpan w:val="2"/>
            <w:shd w:val="clear" w:color="auto" w:fill="E9E9E9"/>
          </w:tcPr>
          <w:p>
            <w:pPr>
              <w:jc w:val="right"/>
              <w:ind w:right="1042"/>
              <w:spacing w:after="0"/>
              <w:rPr>
                <w:sz w:val="20"/>
                <w:szCs w:val="20"/>
                <w:color w:val="auto"/>
              </w:rPr>
            </w:pPr>
            <w:r>
              <w:rPr>
                <w:rFonts w:ascii="Times New Roman" w:cs="Times New Roman" w:eastAsia="Times New Roman" w:hAnsi="Times New Roman"/>
                <w:sz w:val="20"/>
                <w:szCs w:val="20"/>
                <w:color w:val="auto"/>
              </w:rPr>
              <w:t>13.5</w:t>
            </w:r>
          </w:p>
        </w:tc>
      </w:tr>
      <w:tr>
        <w:trPr>
          <w:trHeight w:val="273"/>
        </w:trPr>
        <w:tc>
          <w:tcPr>
            <w:tcW w:w="46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Finance leases</w:t>
            </w:r>
          </w:p>
        </w:tc>
        <w:tc>
          <w:tcPr>
            <w:tcW w:w="2500" w:type="dxa"/>
            <w:vAlign w:val="bottom"/>
          </w:tcPr>
          <w:p>
            <w:pPr>
              <w:jc w:val="right"/>
              <w:ind w:right="1102"/>
              <w:spacing w:after="0"/>
              <w:rPr>
                <w:sz w:val="20"/>
                <w:szCs w:val="20"/>
                <w:color w:val="auto"/>
              </w:rPr>
            </w:pPr>
            <w:r>
              <w:rPr>
                <w:rFonts w:ascii="Times New Roman" w:cs="Times New Roman" w:eastAsia="Times New Roman" w:hAnsi="Times New Roman"/>
                <w:sz w:val="20"/>
                <w:szCs w:val="20"/>
                <w:color w:val="auto"/>
              </w:rPr>
              <w:t>1.9</w:t>
            </w:r>
          </w:p>
        </w:tc>
        <w:tc>
          <w:tcPr>
            <w:tcW w:w="2940" w:type="dxa"/>
            <w:vAlign w:val="bottom"/>
            <w:gridSpan w:val="2"/>
          </w:tcPr>
          <w:p>
            <w:pPr>
              <w:jc w:val="right"/>
              <w:ind w:right="1082"/>
              <w:spacing w:after="0"/>
              <w:rPr>
                <w:sz w:val="20"/>
                <w:szCs w:val="20"/>
                <w:color w:val="auto"/>
              </w:rPr>
            </w:pPr>
            <w:r>
              <w:rPr>
                <w:rFonts w:ascii="Times New Roman" w:cs="Times New Roman" w:eastAsia="Times New Roman" w:hAnsi="Times New Roman"/>
                <w:sz w:val="20"/>
                <w:szCs w:val="20"/>
                <w:color w:val="auto"/>
              </w:rPr>
              <w:t>2.3</w:t>
            </w:r>
          </w:p>
        </w:tc>
      </w:tr>
      <w:tr>
        <w:trPr>
          <w:trHeight w:val="286"/>
        </w:trPr>
        <w:tc>
          <w:tcPr>
            <w:tcW w:w="4640" w:type="dxa"/>
            <w:vAlign w:val="bottom"/>
            <w:shd w:val="clear" w:color="auto" w:fill="E9E9E9"/>
          </w:tcPr>
          <w:p>
            <w:pPr>
              <w:ind w:left="40"/>
              <w:spacing w:after="0"/>
              <w:rPr>
                <w:sz w:val="20"/>
                <w:szCs w:val="20"/>
                <w:color w:val="auto"/>
              </w:rPr>
            </w:pPr>
            <w:r>
              <w:rPr>
                <w:rFonts w:ascii="Times New Roman" w:cs="Times New Roman" w:eastAsia="Times New Roman" w:hAnsi="Times New Roman"/>
                <w:sz w:val="20"/>
                <w:szCs w:val="20"/>
                <w:color w:val="auto"/>
              </w:rPr>
              <w:t>Weighted-average discount rate:</w:t>
            </w:r>
          </w:p>
        </w:tc>
        <w:tc>
          <w:tcPr>
            <w:tcW w:w="2500" w:type="dxa"/>
            <w:vAlign w:val="bottom"/>
            <w:shd w:val="clear" w:color="auto" w:fill="E9E9E9"/>
          </w:tcPr>
          <w:p>
            <w:pPr>
              <w:spacing w:after="0"/>
              <w:rPr>
                <w:sz w:val="24"/>
                <w:szCs w:val="24"/>
                <w:color w:val="auto"/>
              </w:rPr>
            </w:pPr>
          </w:p>
        </w:tc>
        <w:tc>
          <w:tcPr>
            <w:tcW w:w="60" w:type="dxa"/>
            <w:vAlign w:val="bottom"/>
            <w:shd w:val="clear" w:color="auto" w:fill="E9E9E9"/>
          </w:tcPr>
          <w:p>
            <w:pPr>
              <w:spacing w:after="0"/>
              <w:rPr>
                <w:sz w:val="24"/>
                <w:szCs w:val="24"/>
                <w:color w:val="auto"/>
              </w:rPr>
            </w:pPr>
          </w:p>
        </w:tc>
        <w:tc>
          <w:tcPr>
            <w:tcW w:w="2880" w:type="dxa"/>
            <w:vAlign w:val="bottom"/>
            <w:shd w:val="clear" w:color="auto" w:fill="E9E9E9"/>
          </w:tcPr>
          <w:p>
            <w:pPr>
              <w:spacing w:after="0"/>
              <w:rPr>
                <w:sz w:val="24"/>
                <w:szCs w:val="24"/>
                <w:color w:val="auto"/>
              </w:rPr>
            </w:pPr>
          </w:p>
        </w:tc>
      </w:tr>
      <w:tr>
        <w:trPr>
          <w:trHeight w:val="273"/>
        </w:trPr>
        <w:tc>
          <w:tcPr>
            <w:tcW w:w="46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Operating leases</w:t>
            </w:r>
          </w:p>
        </w:tc>
        <w:tc>
          <w:tcPr>
            <w:tcW w:w="2500" w:type="dxa"/>
            <w:vAlign w:val="bottom"/>
          </w:tcPr>
          <w:p>
            <w:pPr>
              <w:jc w:val="center"/>
              <w:ind w:right="2"/>
              <w:spacing w:after="0"/>
              <w:rPr>
                <w:sz w:val="20"/>
                <w:szCs w:val="20"/>
                <w:color w:val="auto"/>
              </w:rPr>
            </w:pPr>
            <w:r>
              <w:rPr>
                <w:rFonts w:ascii="Times New Roman" w:cs="Times New Roman" w:eastAsia="Times New Roman" w:hAnsi="Times New Roman"/>
                <w:sz w:val="20"/>
                <w:szCs w:val="20"/>
                <w:color w:val="auto"/>
                <w:w w:val="95"/>
              </w:rPr>
              <w:t>7.5%</w:t>
            </w:r>
          </w:p>
        </w:tc>
        <w:tc>
          <w:tcPr>
            <w:tcW w:w="2940" w:type="dxa"/>
            <w:vAlign w:val="bottom"/>
            <w:gridSpan w:val="2"/>
          </w:tcPr>
          <w:p>
            <w:pPr>
              <w:jc w:val="center"/>
              <w:ind w:left="262"/>
              <w:spacing w:after="0"/>
              <w:rPr>
                <w:sz w:val="20"/>
                <w:szCs w:val="20"/>
                <w:color w:val="auto"/>
              </w:rPr>
            </w:pPr>
            <w:r>
              <w:rPr>
                <w:rFonts w:ascii="Times New Roman" w:cs="Times New Roman" w:eastAsia="Times New Roman" w:hAnsi="Times New Roman"/>
                <w:sz w:val="20"/>
                <w:szCs w:val="20"/>
                <w:color w:val="auto"/>
              </w:rPr>
              <w:t>7.3%</w:t>
            </w:r>
          </w:p>
        </w:tc>
      </w:tr>
      <w:tr>
        <w:trPr>
          <w:trHeight w:val="286"/>
        </w:trPr>
        <w:tc>
          <w:tcPr>
            <w:tcW w:w="4640" w:type="dxa"/>
            <w:vAlign w:val="bottom"/>
            <w:shd w:val="clear" w:color="auto" w:fill="E9E9E9"/>
          </w:tcPr>
          <w:p>
            <w:pPr>
              <w:ind w:left="340"/>
              <w:spacing w:after="0"/>
              <w:rPr>
                <w:sz w:val="20"/>
                <w:szCs w:val="20"/>
                <w:color w:val="auto"/>
              </w:rPr>
            </w:pPr>
            <w:r>
              <w:rPr>
                <w:rFonts w:ascii="Times New Roman" w:cs="Times New Roman" w:eastAsia="Times New Roman" w:hAnsi="Times New Roman"/>
                <w:sz w:val="20"/>
                <w:szCs w:val="20"/>
                <w:color w:val="auto"/>
              </w:rPr>
              <w:t>Finance leases</w:t>
            </w:r>
          </w:p>
        </w:tc>
        <w:tc>
          <w:tcPr>
            <w:tcW w:w="2500" w:type="dxa"/>
            <w:vAlign w:val="bottom"/>
            <w:shd w:val="clear" w:color="auto" w:fill="E9E9E9"/>
          </w:tcPr>
          <w:p>
            <w:pPr>
              <w:jc w:val="center"/>
              <w:ind w:right="2"/>
              <w:spacing w:after="0"/>
              <w:rPr>
                <w:sz w:val="20"/>
                <w:szCs w:val="20"/>
                <w:color w:val="auto"/>
              </w:rPr>
            </w:pPr>
            <w:r>
              <w:rPr>
                <w:rFonts w:ascii="Times New Roman" w:cs="Times New Roman" w:eastAsia="Times New Roman" w:hAnsi="Times New Roman"/>
                <w:sz w:val="20"/>
                <w:szCs w:val="20"/>
                <w:color w:val="auto"/>
                <w:w w:val="95"/>
              </w:rPr>
              <w:t>6.0%</w:t>
            </w:r>
          </w:p>
        </w:tc>
        <w:tc>
          <w:tcPr>
            <w:tcW w:w="2940" w:type="dxa"/>
            <w:vAlign w:val="bottom"/>
            <w:gridSpan w:val="2"/>
            <w:shd w:val="clear" w:color="auto" w:fill="E9E9E9"/>
          </w:tcPr>
          <w:p>
            <w:pPr>
              <w:jc w:val="center"/>
              <w:ind w:left="262"/>
              <w:spacing w:after="0"/>
              <w:rPr>
                <w:sz w:val="20"/>
                <w:szCs w:val="20"/>
                <w:color w:val="auto"/>
              </w:rPr>
            </w:pPr>
            <w:r>
              <w:rPr>
                <w:rFonts w:ascii="Times New Roman" w:cs="Times New Roman" w:eastAsia="Times New Roman" w:hAnsi="Times New Roman"/>
                <w:sz w:val="20"/>
                <w:szCs w:val="20"/>
                <w:color w:val="auto"/>
              </w:rPr>
              <w:t>6.2%</w:t>
            </w: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spacing w:after="0"/>
              <w:rPr>
                <w:sz w:val="19"/>
                <w:szCs w:val="19"/>
                <w:color w:val="auto"/>
              </w:rPr>
            </w:pPr>
          </w:p>
        </w:tc>
        <w:tc>
          <w:tcPr>
            <w:tcW w:w="4480" w:type="dxa"/>
            <w:vAlign w:val="bottom"/>
            <w:gridSpan w:val="3"/>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360" w:type="dxa"/>
            <w:vAlign w:val="bottom"/>
          </w:tcPr>
          <w:p>
            <w:pPr>
              <w:spacing w:after="0"/>
              <w:rPr>
                <w:sz w:val="19"/>
                <w:szCs w:val="19"/>
                <w:color w:val="auto"/>
              </w:rPr>
            </w:pPr>
          </w:p>
        </w:tc>
        <w:tc>
          <w:tcPr>
            <w:tcW w:w="1780" w:type="dxa"/>
            <w:vAlign w:val="bottom"/>
            <w:gridSpan w:val="4"/>
          </w:tcPr>
          <w:p>
            <w:pPr>
              <w:jc w:val="right"/>
              <w:ind w:right="202"/>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00" w:type="dxa"/>
            <w:vAlign w:val="bottom"/>
            <w:gridSpan w:val="2"/>
          </w:tcPr>
          <w:p>
            <w:pPr>
              <w:jc w:val="right"/>
              <w:ind w:right="80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0" w:type="dxa"/>
            <w:vAlign w:val="bottom"/>
          </w:tcPr>
          <w:p>
            <w:pPr>
              <w:spacing w:after="0"/>
              <w:rPr>
                <w:sz w:val="1"/>
                <w:szCs w:val="1"/>
                <w:color w:val="auto"/>
              </w:rPr>
            </w:pPr>
          </w:p>
        </w:tc>
      </w:tr>
      <w:tr>
        <w:trPr>
          <w:trHeight w:val="258"/>
        </w:trPr>
        <w:tc>
          <w:tcPr>
            <w:tcW w:w="260" w:type="dxa"/>
            <w:vAlign w:val="bottom"/>
          </w:tcPr>
          <w:p>
            <w:pPr>
              <w:spacing w:after="0"/>
              <w:rPr>
                <w:sz w:val="22"/>
                <w:szCs w:val="22"/>
                <w:color w:val="auto"/>
              </w:rPr>
            </w:pPr>
          </w:p>
        </w:tc>
        <w:tc>
          <w:tcPr>
            <w:tcW w:w="4480" w:type="dxa"/>
            <w:vAlign w:val="bottom"/>
            <w:tcBorders>
              <w:bottom w:val="single" w:sz="8" w:color="auto"/>
            </w:tcBorders>
            <w:gridSpan w:val="3"/>
            <w:vMerge w:val="continue"/>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w w:val="96"/>
              </w:rPr>
              <w:t>December 31, 2023</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4480" w:type="dxa"/>
            <w:vAlign w:val="bottom"/>
            <w:gridSpan w:val="3"/>
          </w:tcPr>
          <w:p>
            <w:pPr>
              <w:ind w:left="40"/>
              <w:spacing w:after="0" w:line="193" w:lineRule="exact"/>
              <w:rPr>
                <w:sz w:val="20"/>
                <w:szCs w:val="20"/>
                <w:color w:val="auto"/>
              </w:rPr>
            </w:pPr>
            <w:r>
              <w:rPr>
                <w:rFonts w:ascii="Times New Roman" w:cs="Times New Roman" w:eastAsia="Times New Roman" w:hAnsi="Times New Roman"/>
                <w:sz w:val="20"/>
                <w:szCs w:val="20"/>
                <w:color w:val="auto"/>
              </w:rPr>
              <w:t>Cash paid for amounts included in the measurement</w:t>
            </w: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260" w:type="dxa"/>
            <w:vAlign w:val="bottom"/>
          </w:tcPr>
          <w:p>
            <w:pPr>
              <w:spacing w:after="0"/>
              <w:rPr>
                <w:sz w:val="22"/>
                <w:szCs w:val="22"/>
                <w:color w:val="auto"/>
              </w:rPr>
            </w:pPr>
          </w:p>
        </w:tc>
        <w:tc>
          <w:tcPr>
            <w:tcW w:w="44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of lease liabilities:</w:t>
            </w: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260" w:type="dxa"/>
            <w:vAlign w:val="bottom"/>
          </w:tcPr>
          <w:p>
            <w:pPr>
              <w:spacing w:after="0"/>
              <w:rPr>
                <w:sz w:val="24"/>
                <w:szCs w:val="24"/>
                <w:color w:val="auto"/>
              </w:rPr>
            </w:pPr>
          </w:p>
        </w:tc>
        <w:tc>
          <w:tcPr>
            <w:tcW w:w="4480" w:type="dxa"/>
            <w:vAlign w:val="bottom"/>
            <w:gridSpan w:val="3"/>
            <w:shd w:val="clear" w:color="auto" w:fill="E7E7E7"/>
          </w:tcPr>
          <w:p>
            <w:pPr>
              <w:ind w:left="340"/>
              <w:spacing w:after="0"/>
              <w:rPr>
                <w:sz w:val="20"/>
                <w:szCs w:val="20"/>
                <w:color w:val="auto"/>
              </w:rPr>
            </w:pPr>
            <w:r>
              <w:rPr>
                <w:rFonts w:ascii="Times New Roman" w:cs="Times New Roman" w:eastAsia="Times New Roman" w:hAnsi="Times New Roman"/>
                <w:sz w:val="20"/>
                <w:szCs w:val="20"/>
                <w:color w:val="auto"/>
              </w:rPr>
              <w:t>Operating cash flows from operating leases</w:t>
            </w:r>
          </w:p>
        </w:tc>
        <w:tc>
          <w:tcPr>
            <w:tcW w:w="360" w:type="dxa"/>
            <w:vAlign w:val="bottom"/>
            <w:shd w:val="clear" w:color="auto" w:fill="E7E7E7"/>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shd w:val="clear" w:color="auto" w:fill="E7E7E7"/>
          </w:tcPr>
          <w:p>
            <w:pPr>
              <w:spacing w:after="0"/>
              <w:rPr>
                <w:sz w:val="24"/>
                <w:szCs w:val="24"/>
                <w:color w:val="auto"/>
              </w:rPr>
            </w:pPr>
          </w:p>
        </w:tc>
        <w:tc>
          <w:tcPr>
            <w:tcW w:w="220" w:type="dxa"/>
            <w:vAlign w:val="bottom"/>
            <w:shd w:val="clear" w:color="auto" w:fill="E7E7E7"/>
          </w:tcPr>
          <w:p>
            <w:pPr>
              <w:spacing w:after="0"/>
              <w:rPr>
                <w:sz w:val="24"/>
                <w:szCs w:val="24"/>
                <w:color w:val="auto"/>
              </w:rPr>
            </w:pPr>
          </w:p>
        </w:tc>
        <w:tc>
          <w:tcPr>
            <w:tcW w:w="260" w:type="dxa"/>
            <w:vAlign w:val="bottom"/>
            <w:shd w:val="clear" w:color="auto" w:fill="E7E7E7"/>
          </w:tcPr>
          <w:p>
            <w:pPr>
              <w:spacing w:after="0"/>
              <w:rPr>
                <w:sz w:val="24"/>
                <w:szCs w:val="24"/>
                <w:color w:val="auto"/>
              </w:rPr>
            </w:pPr>
          </w:p>
        </w:tc>
        <w:tc>
          <w:tcPr>
            <w:tcW w:w="700" w:type="dxa"/>
            <w:vAlign w:val="bottom"/>
            <w:shd w:val="clear" w:color="auto" w:fill="E7E7E7"/>
          </w:tcPr>
          <w:p>
            <w:pPr>
              <w:spacing w:after="0"/>
              <w:rPr>
                <w:sz w:val="24"/>
                <w:szCs w:val="24"/>
                <w:color w:val="auto"/>
              </w:rPr>
            </w:pPr>
          </w:p>
        </w:tc>
        <w:tc>
          <w:tcPr>
            <w:tcW w:w="440" w:type="dxa"/>
            <w:vAlign w:val="bottom"/>
            <w:gridSpan w:val="5"/>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w w:val="93"/>
              </w:rPr>
              <w:t>4,540</w:t>
            </w:r>
          </w:p>
        </w:tc>
        <w:tc>
          <w:tcPr>
            <w:tcW w:w="540" w:type="dxa"/>
            <w:vAlign w:val="bottom"/>
            <w:gridSpan w:val="3"/>
            <w:shd w:val="clear" w:color="auto" w:fill="E7E7E7"/>
          </w:tcPr>
          <w:p>
            <w:pPr>
              <w:ind w:left="440"/>
              <w:spacing w:after="0"/>
              <w:rPr>
                <w:sz w:val="20"/>
                <w:szCs w:val="20"/>
                <w:color w:val="auto"/>
              </w:rPr>
            </w:pPr>
            <w:r>
              <w:rPr>
                <w:rFonts w:ascii="Times New Roman" w:cs="Times New Roman" w:eastAsia="Times New Roman" w:hAnsi="Times New Roman"/>
                <w:sz w:val="20"/>
                <w:szCs w:val="20"/>
                <w:color w:val="auto"/>
                <w:w w:val="79"/>
              </w:rPr>
              <w:t>$</w:t>
            </w:r>
          </w:p>
        </w:tc>
        <w:tc>
          <w:tcPr>
            <w:tcW w:w="2480" w:type="dxa"/>
            <w:vAlign w:val="bottom"/>
            <w:gridSpan w:val="3"/>
            <w:shd w:val="clear" w:color="auto" w:fill="E7E7E7"/>
          </w:tcPr>
          <w:p>
            <w:pPr>
              <w:jc w:val="right"/>
              <w:ind w:right="80"/>
              <w:spacing w:after="0"/>
              <w:rPr>
                <w:sz w:val="20"/>
                <w:szCs w:val="20"/>
                <w:color w:val="auto"/>
              </w:rPr>
            </w:pPr>
            <w:r>
              <w:rPr>
                <w:rFonts w:ascii="Times New Roman" w:cs="Times New Roman" w:eastAsia="Times New Roman" w:hAnsi="Times New Roman"/>
                <w:sz w:val="20"/>
                <w:szCs w:val="20"/>
                <w:color w:val="auto"/>
              </w:rPr>
              <w:t>3,462</w:t>
            </w:r>
          </w:p>
        </w:tc>
        <w:tc>
          <w:tcPr>
            <w:tcW w:w="0" w:type="dxa"/>
            <w:vAlign w:val="bottom"/>
          </w:tcPr>
          <w:p>
            <w:pPr>
              <w:spacing w:after="0"/>
              <w:rPr>
                <w:sz w:val="1"/>
                <w:szCs w:val="1"/>
                <w:color w:val="auto"/>
              </w:rPr>
            </w:pPr>
          </w:p>
        </w:tc>
      </w:tr>
      <w:tr>
        <w:trPr>
          <w:trHeight w:val="273"/>
        </w:trPr>
        <w:tc>
          <w:tcPr>
            <w:tcW w:w="260" w:type="dxa"/>
            <w:vAlign w:val="bottom"/>
          </w:tcPr>
          <w:p>
            <w:pPr>
              <w:spacing w:after="0"/>
              <w:rPr>
                <w:sz w:val="23"/>
                <w:szCs w:val="23"/>
                <w:color w:val="auto"/>
              </w:rPr>
            </w:pPr>
          </w:p>
        </w:tc>
        <w:tc>
          <w:tcPr>
            <w:tcW w:w="448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rPr>
              <w:t>Operating cash flows from finance leases</w:t>
            </w: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81</w:t>
            </w:r>
          </w:p>
        </w:tc>
        <w:tc>
          <w:tcPr>
            <w:tcW w:w="0" w:type="dxa"/>
            <w:vAlign w:val="bottom"/>
          </w:tcPr>
          <w:p>
            <w:pPr>
              <w:spacing w:after="0"/>
              <w:rPr>
                <w:sz w:val="1"/>
                <w:szCs w:val="1"/>
                <w:color w:val="auto"/>
              </w:rPr>
            </w:pPr>
          </w:p>
        </w:tc>
      </w:tr>
      <w:tr>
        <w:trPr>
          <w:trHeight w:val="286"/>
        </w:trPr>
        <w:tc>
          <w:tcPr>
            <w:tcW w:w="260" w:type="dxa"/>
            <w:vAlign w:val="bottom"/>
          </w:tcPr>
          <w:p>
            <w:pPr>
              <w:spacing w:after="0"/>
              <w:rPr>
                <w:sz w:val="24"/>
                <w:szCs w:val="24"/>
                <w:color w:val="auto"/>
              </w:rPr>
            </w:pPr>
          </w:p>
        </w:tc>
        <w:tc>
          <w:tcPr>
            <w:tcW w:w="4480" w:type="dxa"/>
            <w:vAlign w:val="bottom"/>
            <w:gridSpan w:val="3"/>
            <w:shd w:val="clear" w:color="auto" w:fill="E7E7E7"/>
          </w:tcPr>
          <w:p>
            <w:pPr>
              <w:ind w:left="340"/>
              <w:spacing w:after="0"/>
              <w:rPr>
                <w:sz w:val="20"/>
                <w:szCs w:val="20"/>
                <w:color w:val="auto"/>
              </w:rPr>
            </w:pPr>
            <w:r>
              <w:rPr>
                <w:rFonts w:ascii="Times New Roman" w:cs="Times New Roman" w:eastAsia="Times New Roman" w:hAnsi="Times New Roman"/>
                <w:sz w:val="20"/>
                <w:szCs w:val="20"/>
                <w:color w:val="auto"/>
              </w:rPr>
              <w:t>Financing cash flows from finance leases</w:t>
            </w:r>
          </w:p>
        </w:tc>
        <w:tc>
          <w:tcPr>
            <w:tcW w:w="360" w:type="dxa"/>
            <w:vAlign w:val="bottom"/>
            <w:shd w:val="clear" w:color="auto" w:fill="E7E7E7"/>
          </w:tcPr>
          <w:p>
            <w:pPr>
              <w:spacing w:after="0"/>
              <w:rPr>
                <w:sz w:val="24"/>
                <w:szCs w:val="24"/>
                <w:color w:val="auto"/>
              </w:rPr>
            </w:pPr>
          </w:p>
        </w:tc>
        <w:tc>
          <w:tcPr>
            <w:tcW w:w="600" w:type="dxa"/>
            <w:vAlign w:val="bottom"/>
            <w:shd w:val="clear" w:color="auto" w:fill="E7E7E7"/>
          </w:tcPr>
          <w:p>
            <w:pPr>
              <w:spacing w:after="0"/>
              <w:rPr>
                <w:sz w:val="24"/>
                <w:szCs w:val="24"/>
                <w:color w:val="auto"/>
              </w:rPr>
            </w:pPr>
          </w:p>
        </w:tc>
        <w:tc>
          <w:tcPr>
            <w:tcW w:w="220" w:type="dxa"/>
            <w:vAlign w:val="bottom"/>
            <w:shd w:val="clear" w:color="auto" w:fill="E7E7E7"/>
          </w:tcPr>
          <w:p>
            <w:pPr>
              <w:spacing w:after="0"/>
              <w:rPr>
                <w:sz w:val="24"/>
                <w:szCs w:val="24"/>
                <w:color w:val="auto"/>
              </w:rPr>
            </w:pPr>
          </w:p>
        </w:tc>
        <w:tc>
          <w:tcPr>
            <w:tcW w:w="260" w:type="dxa"/>
            <w:vAlign w:val="bottom"/>
            <w:shd w:val="clear" w:color="auto" w:fill="E7E7E7"/>
          </w:tcPr>
          <w:p>
            <w:pPr>
              <w:spacing w:after="0"/>
              <w:rPr>
                <w:sz w:val="24"/>
                <w:szCs w:val="24"/>
                <w:color w:val="auto"/>
              </w:rPr>
            </w:pPr>
          </w:p>
        </w:tc>
        <w:tc>
          <w:tcPr>
            <w:tcW w:w="700" w:type="dxa"/>
            <w:vAlign w:val="bottom"/>
            <w:shd w:val="clear" w:color="auto" w:fill="E7E7E7"/>
          </w:tcPr>
          <w:p>
            <w:pPr>
              <w:spacing w:after="0"/>
              <w:rPr>
                <w:sz w:val="24"/>
                <w:szCs w:val="24"/>
                <w:color w:val="auto"/>
              </w:rPr>
            </w:pPr>
          </w:p>
        </w:tc>
        <w:tc>
          <w:tcPr>
            <w:tcW w:w="440" w:type="dxa"/>
            <w:vAlign w:val="bottom"/>
            <w:gridSpan w:val="5"/>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318</w:t>
            </w:r>
          </w:p>
        </w:tc>
        <w:tc>
          <w:tcPr>
            <w:tcW w:w="80" w:type="dxa"/>
            <w:vAlign w:val="bottom"/>
            <w:shd w:val="clear" w:color="auto" w:fill="E7E7E7"/>
          </w:tcPr>
          <w:p>
            <w:pPr>
              <w:spacing w:after="0"/>
              <w:rPr>
                <w:sz w:val="24"/>
                <w:szCs w:val="24"/>
                <w:color w:val="auto"/>
              </w:rPr>
            </w:pPr>
          </w:p>
        </w:tc>
        <w:tc>
          <w:tcPr>
            <w:tcW w:w="60" w:type="dxa"/>
            <w:vAlign w:val="bottom"/>
            <w:shd w:val="clear" w:color="auto" w:fill="E7E7E7"/>
          </w:tcPr>
          <w:p>
            <w:pPr>
              <w:spacing w:after="0"/>
              <w:rPr>
                <w:sz w:val="24"/>
                <w:szCs w:val="24"/>
                <w:color w:val="auto"/>
              </w:rPr>
            </w:pPr>
          </w:p>
        </w:tc>
        <w:tc>
          <w:tcPr>
            <w:tcW w:w="400" w:type="dxa"/>
            <w:vAlign w:val="bottom"/>
            <w:shd w:val="clear" w:color="auto" w:fill="E7E7E7"/>
          </w:tcPr>
          <w:p>
            <w:pPr>
              <w:spacing w:after="0"/>
              <w:rPr>
                <w:sz w:val="24"/>
                <w:szCs w:val="24"/>
                <w:color w:val="auto"/>
              </w:rPr>
            </w:pPr>
          </w:p>
        </w:tc>
        <w:tc>
          <w:tcPr>
            <w:tcW w:w="2480" w:type="dxa"/>
            <w:vAlign w:val="bottom"/>
            <w:gridSpan w:val="3"/>
            <w:shd w:val="clear" w:color="auto" w:fill="E7E7E7"/>
          </w:tcPr>
          <w:p>
            <w:pPr>
              <w:jc w:val="right"/>
              <w:ind w:right="80"/>
              <w:spacing w:after="0"/>
              <w:rPr>
                <w:sz w:val="20"/>
                <w:szCs w:val="20"/>
                <w:color w:val="auto"/>
              </w:rPr>
            </w:pPr>
            <w:r>
              <w:rPr>
                <w:rFonts w:ascii="Times New Roman" w:cs="Times New Roman" w:eastAsia="Times New Roman" w:hAnsi="Times New Roman"/>
                <w:sz w:val="20"/>
                <w:szCs w:val="20"/>
                <w:color w:val="auto"/>
              </w:rPr>
              <w:t>504</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4480" w:type="dxa"/>
            <w:vAlign w:val="bottom"/>
            <w:gridSpan w:val="3"/>
          </w:tcPr>
          <w:p>
            <w:pPr>
              <w:ind w:left="40"/>
              <w:spacing w:after="0" w:line="203" w:lineRule="exact"/>
              <w:rPr>
                <w:sz w:val="20"/>
                <w:szCs w:val="20"/>
                <w:color w:val="auto"/>
              </w:rPr>
            </w:pPr>
            <w:r>
              <w:rPr>
                <w:rFonts w:ascii="Times New Roman" w:cs="Times New Roman" w:eastAsia="Times New Roman" w:hAnsi="Times New Roman"/>
                <w:sz w:val="20"/>
                <w:szCs w:val="20"/>
                <w:color w:val="auto"/>
              </w:rPr>
              <w:t>ROU assets obtained in exchange for lease</w:t>
            </w: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60" w:type="dxa"/>
            <w:vAlign w:val="bottom"/>
          </w:tcPr>
          <w:p>
            <w:pPr>
              <w:spacing w:after="0"/>
              <w:rPr>
                <w:sz w:val="22"/>
                <w:szCs w:val="22"/>
                <w:color w:val="auto"/>
              </w:rPr>
            </w:pPr>
          </w:p>
        </w:tc>
        <w:tc>
          <w:tcPr>
            <w:tcW w:w="44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obligations:</w:t>
            </w: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260" w:type="dxa"/>
            <w:vAlign w:val="bottom"/>
          </w:tcPr>
          <w:p>
            <w:pPr>
              <w:spacing w:after="0"/>
              <w:rPr>
                <w:sz w:val="24"/>
                <w:szCs w:val="24"/>
                <w:color w:val="auto"/>
              </w:rPr>
            </w:pPr>
          </w:p>
        </w:tc>
        <w:tc>
          <w:tcPr>
            <w:tcW w:w="4480" w:type="dxa"/>
            <w:vAlign w:val="bottom"/>
            <w:gridSpan w:val="3"/>
            <w:shd w:val="clear" w:color="auto" w:fill="E7E7E7"/>
          </w:tcPr>
          <w:p>
            <w:pPr>
              <w:ind w:left="340"/>
              <w:spacing w:after="0"/>
              <w:rPr>
                <w:sz w:val="20"/>
                <w:szCs w:val="20"/>
                <w:color w:val="auto"/>
              </w:rPr>
            </w:pPr>
            <w:r>
              <w:rPr>
                <w:rFonts w:ascii="Times New Roman" w:cs="Times New Roman" w:eastAsia="Times New Roman" w:hAnsi="Times New Roman"/>
                <w:sz w:val="20"/>
                <w:szCs w:val="20"/>
                <w:color w:val="auto"/>
              </w:rPr>
              <w:t>Operating leases</w:t>
            </w:r>
          </w:p>
        </w:tc>
        <w:tc>
          <w:tcPr>
            <w:tcW w:w="360" w:type="dxa"/>
            <w:vAlign w:val="bottom"/>
            <w:shd w:val="clear" w:color="auto" w:fill="E7E7E7"/>
          </w:tcPr>
          <w:p>
            <w:pPr>
              <w:spacing w:after="0"/>
              <w:rPr>
                <w:sz w:val="24"/>
                <w:szCs w:val="24"/>
                <w:color w:val="auto"/>
              </w:rPr>
            </w:pPr>
          </w:p>
        </w:tc>
        <w:tc>
          <w:tcPr>
            <w:tcW w:w="600" w:type="dxa"/>
            <w:vAlign w:val="bottom"/>
            <w:shd w:val="clear" w:color="auto" w:fill="E7E7E7"/>
          </w:tcPr>
          <w:p>
            <w:pPr>
              <w:spacing w:after="0"/>
              <w:rPr>
                <w:sz w:val="24"/>
                <w:szCs w:val="24"/>
                <w:color w:val="auto"/>
              </w:rPr>
            </w:pPr>
          </w:p>
        </w:tc>
        <w:tc>
          <w:tcPr>
            <w:tcW w:w="220" w:type="dxa"/>
            <w:vAlign w:val="bottom"/>
            <w:shd w:val="clear" w:color="auto" w:fill="E7E7E7"/>
          </w:tcPr>
          <w:p>
            <w:pPr>
              <w:spacing w:after="0"/>
              <w:rPr>
                <w:sz w:val="24"/>
                <w:szCs w:val="24"/>
                <w:color w:val="auto"/>
              </w:rPr>
            </w:pPr>
          </w:p>
        </w:tc>
        <w:tc>
          <w:tcPr>
            <w:tcW w:w="260" w:type="dxa"/>
            <w:vAlign w:val="bottom"/>
            <w:shd w:val="clear" w:color="auto" w:fill="E7E7E7"/>
          </w:tcPr>
          <w:p>
            <w:pPr>
              <w:spacing w:after="0"/>
              <w:rPr>
                <w:sz w:val="24"/>
                <w:szCs w:val="24"/>
                <w:color w:val="auto"/>
              </w:rPr>
            </w:pPr>
          </w:p>
        </w:tc>
        <w:tc>
          <w:tcPr>
            <w:tcW w:w="700" w:type="dxa"/>
            <w:vAlign w:val="bottom"/>
            <w:shd w:val="clear" w:color="auto" w:fill="E7E7E7"/>
          </w:tcPr>
          <w:p>
            <w:pPr>
              <w:spacing w:after="0"/>
              <w:rPr>
                <w:sz w:val="24"/>
                <w:szCs w:val="24"/>
                <w:color w:val="auto"/>
              </w:rPr>
            </w:pPr>
          </w:p>
        </w:tc>
        <w:tc>
          <w:tcPr>
            <w:tcW w:w="440" w:type="dxa"/>
            <w:vAlign w:val="bottom"/>
            <w:gridSpan w:val="5"/>
            <w:shd w:val="clear" w:color="auto" w:fill="E7E7E7"/>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80" w:type="dxa"/>
            <w:vAlign w:val="bottom"/>
            <w:shd w:val="clear" w:color="auto" w:fill="E7E7E7"/>
          </w:tcPr>
          <w:p>
            <w:pPr>
              <w:spacing w:after="0"/>
              <w:rPr>
                <w:sz w:val="24"/>
                <w:szCs w:val="24"/>
                <w:color w:val="auto"/>
              </w:rPr>
            </w:pPr>
          </w:p>
        </w:tc>
        <w:tc>
          <w:tcPr>
            <w:tcW w:w="60" w:type="dxa"/>
            <w:vAlign w:val="bottom"/>
            <w:shd w:val="clear" w:color="auto" w:fill="E7E7E7"/>
          </w:tcPr>
          <w:p>
            <w:pPr>
              <w:spacing w:after="0"/>
              <w:rPr>
                <w:sz w:val="24"/>
                <w:szCs w:val="24"/>
                <w:color w:val="auto"/>
              </w:rPr>
            </w:pPr>
          </w:p>
        </w:tc>
        <w:tc>
          <w:tcPr>
            <w:tcW w:w="400" w:type="dxa"/>
            <w:vAlign w:val="bottom"/>
            <w:shd w:val="clear" w:color="auto" w:fill="E7E7E7"/>
          </w:tcPr>
          <w:p>
            <w:pPr>
              <w:spacing w:after="0"/>
              <w:rPr>
                <w:sz w:val="24"/>
                <w:szCs w:val="24"/>
                <w:color w:val="auto"/>
              </w:rPr>
            </w:pPr>
          </w:p>
        </w:tc>
        <w:tc>
          <w:tcPr>
            <w:tcW w:w="2480" w:type="dxa"/>
            <w:vAlign w:val="bottom"/>
            <w:gridSpan w:val="3"/>
            <w:shd w:val="clear" w:color="auto" w:fill="E7E7E7"/>
          </w:tcPr>
          <w:p>
            <w:pPr>
              <w:jc w:val="right"/>
              <w:ind w:right="80"/>
              <w:spacing w:after="0"/>
              <w:rPr>
                <w:sz w:val="20"/>
                <w:szCs w:val="20"/>
                <w:color w:val="auto"/>
              </w:rPr>
            </w:pPr>
            <w:r>
              <w:rPr>
                <w:rFonts w:ascii="Times New Roman" w:cs="Times New Roman" w:eastAsia="Times New Roman" w:hAnsi="Times New Roman"/>
                <w:sz w:val="20"/>
                <w:szCs w:val="20"/>
                <w:color w:val="auto"/>
              </w:rPr>
              <w:t>29,396</w:t>
            </w:r>
          </w:p>
        </w:tc>
        <w:tc>
          <w:tcPr>
            <w:tcW w:w="0" w:type="dxa"/>
            <w:vAlign w:val="bottom"/>
          </w:tcPr>
          <w:p>
            <w:pPr>
              <w:spacing w:after="0"/>
              <w:rPr>
                <w:sz w:val="1"/>
                <w:szCs w:val="1"/>
                <w:color w:val="auto"/>
              </w:rPr>
            </w:pPr>
          </w:p>
        </w:tc>
      </w:tr>
      <w:tr>
        <w:trPr>
          <w:trHeight w:val="266"/>
        </w:trPr>
        <w:tc>
          <w:tcPr>
            <w:tcW w:w="260" w:type="dxa"/>
            <w:vAlign w:val="bottom"/>
          </w:tcPr>
          <w:p>
            <w:pPr>
              <w:spacing w:after="0"/>
              <w:rPr>
                <w:sz w:val="23"/>
                <w:szCs w:val="23"/>
                <w:color w:val="auto"/>
              </w:rPr>
            </w:pPr>
          </w:p>
        </w:tc>
        <w:tc>
          <w:tcPr>
            <w:tcW w:w="448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rPr>
              <w:t>Finance leases</w:t>
            </w:r>
          </w:p>
        </w:tc>
        <w:tc>
          <w:tcPr>
            <w:tcW w:w="3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w w:val="93"/>
              </w:rPr>
              <w:t>1,564</w:t>
            </w:r>
          </w:p>
        </w:tc>
        <w:tc>
          <w:tcPr>
            <w:tcW w:w="540" w:type="dxa"/>
            <w:vAlign w:val="bottom"/>
            <w:gridSpan w:val="3"/>
          </w:tcPr>
          <w:p>
            <w:pPr>
              <w:ind w:left="440"/>
              <w:spacing w:after="0"/>
              <w:rPr>
                <w:sz w:val="20"/>
                <w:szCs w:val="20"/>
                <w:color w:val="auto"/>
              </w:rPr>
            </w:pPr>
            <w:r>
              <w:rPr>
                <w:rFonts w:ascii="Times New Roman" w:cs="Times New Roman" w:eastAsia="Times New Roman" w:hAnsi="Times New Roman"/>
                <w:sz w:val="20"/>
                <w:szCs w:val="20"/>
                <w:color w:val="auto"/>
                <w:w w:val="79"/>
              </w:rPr>
              <w:t>$</w:t>
            </w:r>
          </w:p>
        </w:tc>
        <w:tc>
          <w:tcPr>
            <w:tcW w:w="24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1,437</w:t>
            </w:r>
          </w:p>
        </w:tc>
        <w:tc>
          <w:tcPr>
            <w:tcW w:w="0" w:type="dxa"/>
            <w:vAlign w:val="bottom"/>
          </w:tcPr>
          <w:p>
            <w:pPr>
              <w:spacing w:after="0"/>
              <w:rPr>
                <w:sz w:val="1"/>
                <w:szCs w:val="1"/>
                <w:color w:val="auto"/>
              </w:rPr>
            </w:pPr>
          </w:p>
        </w:tc>
      </w:tr>
      <w:tr>
        <w:trPr>
          <w:trHeight w:val="541"/>
        </w:trPr>
        <w:tc>
          <w:tcPr>
            <w:tcW w:w="260" w:type="dxa"/>
            <w:vAlign w:val="bottom"/>
          </w:tcPr>
          <w:p>
            <w:pPr>
              <w:spacing w:after="0"/>
              <w:rPr>
                <w:sz w:val="24"/>
                <w:szCs w:val="24"/>
                <w:color w:val="auto"/>
              </w:rPr>
            </w:pPr>
          </w:p>
        </w:tc>
        <w:tc>
          <w:tcPr>
            <w:tcW w:w="10080" w:type="dxa"/>
            <w:vAlign w:val="bottom"/>
            <w:gridSpan w:val="19"/>
          </w:tcPr>
          <w:p>
            <w:pPr>
              <w:ind w:left="180"/>
              <w:spacing w:after="0"/>
              <w:rPr>
                <w:sz w:val="20"/>
                <w:szCs w:val="20"/>
                <w:color w:val="auto"/>
              </w:rPr>
            </w:pPr>
            <w:r>
              <w:rPr>
                <w:rFonts w:ascii="Times New Roman" w:cs="Times New Roman" w:eastAsia="Times New Roman" w:hAnsi="Times New Roman"/>
                <w:sz w:val="20"/>
                <w:szCs w:val="20"/>
                <w:color w:val="auto"/>
              </w:rPr>
              <w:t>Future minimum lease payments under non-cancellable leases as of December 31, 2024 were as follows:</w:t>
            </w:r>
          </w:p>
        </w:tc>
        <w:tc>
          <w:tcPr>
            <w:tcW w:w="0" w:type="dxa"/>
            <w:vAlign w:val="bottom"/>
          </w:tcPr>
          <w:p>
            <w:pPr>
              <w:spacing w:after="0"/>
              <w:rPr>
                <w:sz w:val="1"/>
                <w:szCs w:val="1"/>
                <w:color w:val="auto"/>
              </w:rPr>
            </w:pPr>
          </w:p>
        </w:tc>
      </w:tr>
      <w:tr>
        <w:trPr>
          <w:trHeight w:val="244"/>
        </w:trPr>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80" w:type="dxa"/>
            <w:vAlign w:val="bottom"/>
            <w:gridSpan w:val="3"/>
          </w:tcPr>
          <w:p>
            <w:pPr>
              <w:jc w:val="right"/>
              <w:ind w:right="42"/>
              <w:spacing w:after="0"/>
              <w:rPr>
                <w:sz w:val="20"/>
                <w:szCs w:val="20"/>
                <w:color w:val="auto"/>
              </w:rPr>
            </w:pPr>
            <w:r>
              <w:rPr>
                <w:rFonts w:ascii="Times New Roman" w:cs="Times New Roman" w:eastAsia="Times New Roman" w:hAnsi="Times New Roman"/>
                <w:sz w:val="20"/>
                <w:szCs w:val="20"/>
                <w:b w:val="1"/>
                <w:bCs w:val="1"/>
                <w:color w:val="auto"/>
              </w:rPr>
              <w:t>Operating</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80" w:type="dxa"/>
            <w:vAlign w:val="bottom"/>
            <w:gridSpan w:val="7"/>
          </w:tcPr>
          <w:p>
            <w:pPr>
              <w:jc w:val="right"/>
              <w:ind w:right="2380"/>
              <w:spacing w:after="0"/>
              <w:rPr>
                <w:sz w:val="20"/>
                <w:szCs w:val="20"/>
                <w:color w:val="auto"/>
              </w:rPr>
            </w:pPr>
            <w:r>
              <w:rPr>
                <w:rFonts w:ascii="Times New Roman" w:cs="Times New Roman" w:eastAsia="Times New Roman" w:hAnsi="Times New Roman"/>
                <w:sz w:val="20"/>
                <w:szCs w:val="20"/>
                <w:b w:val="1"/>
                <w:bCs w:val="1"/>
                <w:color w:val="auto"/>
              </w:rPr>
              <w:t>Finance</w:t>
            </w:r>
          </w:p>
        </w:tc>
        <w:tc>
          <w:tcPr>
            <w:tcW w:w="0" w:type="dxa"/>
            <w:vAlign w:val="bottom"/>
          </w:tcPr>
          <w:p>
            <w:pPr>
              <w:spacing w:after="0"/>
              <w:rPr>
                <w:sz w:val="1"/>
                <w:szCs w:val="1"/>
                <w:color w:val="auto"/>
              </w:rPr>
            </w:pPr>
          </w:p>
        </w:tc>
      </w:tr>
      <w:tr>
        <w:trPr>
          <w:trHeight w:val="258"/>
        </w:trPr>
        <w:tc>
          <w:tcPr>
            <w:tcW w:w="2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38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jc w:val="right"/>
              <w:ind w:right="182"/>
              <w:spacing w:after="0"/>
              <w:rPr>
                <w:sz w:val="20"/>
                <w:szCs w:val="20"/>
                <w:color w:val="auto"/>
              </w:rPr>
            </w:pPr>
            <w:r>
              <w:rPr>
                <w:rFonts w:ascii="Times New Roman" w:cs="Times New Roman" w:eastAsia="Times New Roman" w:hAnsi="Times New Roman"/>
                <w:sz w:val="20"/>
                <w:szCs w:val="20"/>
                <w:b w:val="1"/>
                <w:bCs w:val="1"/>
                <w:color w:val="auto"/>
              </w:rPr>
              <w:t>Leases</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20" w:type="dxa"/>
            <w:vAlign w:val="bottom"/>
            <w:gridSpan w:val="6"/>
          </w:tcPr>
          <w:p>
            <w:pPr>
              <w:ind w:left="20"/>
              <w:spacing w:after="0"/>
              <w:rPr>
                <w:sz w:val="20"/>
                <w:szCs w:val="20"/>
                <w:color w:val="auto"/>
              </w:rPr>
            </w:pPr>
            <w:r>
              <w:rPr>
                <w:rFonts w:ascii="Times New Roman" w:cs="Times New Roman" w:eastAsia="Times New Roman" w:hAnsi="Times New Roman"/>
                <w:sz w:val="20"/>
                <w:szCs w:val="20"/>
                <w:b w:val="1"/>
                <w:bCs w:val="1"/>
                <w:color w:val="auto"/>
              </w:rPr>
              <w:t>Leases</w:t>
            </w:r>
          </w:p>
        </w:tc>
        <w:tc>
          <w:tcPr>
            <w:tcW w:w="0" w:type="dxa"/>
            <w:vAlign w:val="bottom"/>
          </w:tcPr>
          <w:p>
            <w:pPr>
              <w:spacing w:after="0"/>
              <w:rPr>
                <w:sz w:val="1"/>
                <w:szCs w:val="1"/>
                <w:color w:val="auto"/>
              </w:rPr>
            </w:pPr>
          </w:p>
        </w:tc>
      </w:tr>
      <w:tr>
        <w:trPr>
          <w:trHeight w:val="284"/>
        </w:trPr>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tcBorders>
              <w:top w:val="single" w:sz="8" w:color="auto"/>
            </w:tcBorders>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2025</w:t>
            </w:r>
          </w:p>
        </w:tc>
        <w:tc>
          <w:tcPr>
            <w:tcW w:w="360" w:type="dxa"/>
            <w:vAlign w:val="bottom"/>
            <w:tcBorders>
              <w:top w:val="single" w:sz="8" w:color="auto"/>
            </w:tcBorders>
            <w:shd w:val="clear" w:color="auto" w:fill="E9E9E9"/>
          </w:tcPr>
          <w:p>
            <w:pPr>
              <w:spacing w:after="0"/>
              <w:rPr>
                <w:sz w:val="24"/>
                <w:szCs w:val="24"/>
                <w:color w:val="auto"/>
              </w:rPr>
            </w:pPr>
          </w:p>
        </w:tc>
        <w:tc>
          <w:tcPr>
            <w:tcW w:w="820" w:type="dxa"/>
            <w:vAlign w:val="bottom"/>
            <w:tcBorders>
              <w:top w:val="single" w:sz="8" w:color="auto"/>
            </w:tcBorders>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top w:val="single" w:sz="8" w:color="auto"/>
            </w:tcBorders>
            <w:shd w:val="clear" w:color="auto" w:fill="E9E9E9"/>
          </w:tcPr>
          <w:p>
            <w:pPr>
              <w:spacing w:after="0"/>
              <w:rPr>
                <w:sz w:val="24"/>
                <w:szCs w:val="24"/>
                <w:color w:val="auto"/>
              </w:rPr>
            </w:pPr>
          </w:p>
        </w:tc>
        <w:tc>
          <w:tcPr>
            <w:tcW w:w="700" w:type="dxa"/>
            <w:vAlign w:val="bottom"/>
            <w:tcBorders>
              <w:top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5,368</w:t>
            </w:r>
          </w:p>
        </w:tc>
        <w:tc>
          <w:tcPr>
            <w:tcW w:w="320" w:type="dxa"/>
            <w:vAlign w:val="bottom"/>
            <w:tcBorders>
              <w:top w:val="single" w:sz="8" w:color="auto"/>
            </w:tcBorders>
            <w:gridSpan w:val="3"/>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top w:val="single" w:sz="8" w:color="auto"/>
            </w:tcBorders>
            <w:shd w:val="clear" w:color="auto" w:fill="E9E9E9"/>
          </w:tcPr>
          <w:p>
            <w:pPr>
              <w:spacing w:after="0"/>
              <w:rPr>
                <w:sz w:val="24"/>
                <w:szCs w:val="24"/>
                <w:color w:val="auto"/>
              </w:rPr>
            </w:pPr>
          </w:p>
        </w:tc>
        <w:tc>
          <w:tcPr>
            <w:tcW w:w="60" w:type="dxa"/>
            <w:vAlign w:val="bottom"/>
            <w:tcBorders>
              <w:top w:val="single" w:sz="8" w:color="auto"/>
            </w:tcBorders>
            <w:shd w:val="clear" w:color="auto" w:fill="E9E9E9"/>
          </w:tcPr>
          <w:p>
            <w:pPr>
              <w:spacing w:after="0"/>
              <w:rPr>
                <w:sz w:val="24"/>
                <w:szCs w:val="24"/>
                <w:color w:val="auto"/>
              </w:rPr>
            </w:pPr>
          </w:p>
        </w:tc>
        <w:tc>
          <w:tcPr>
            <w:tcW w:w="920" w:type="dxa"/>
            <w:vAlign w:val="bottom"/>
            <w:tcBorders>
              <w:top w:val="single" w:sz="8" w:color="auto"/>
            </w:tcBorders>
            <w:gridSpan w:val="4"/>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1,045</w:t>
            </w: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740" w:type="dxa"/>
            <w:vAlign w:val="bottom"/>
            <w:gridSpan w:val="4"/>
          </w:tcPr>
          <w:p>
            <w:pPr>
              <w:ind w:left="2420"/>
              <w:spacing w:after="0"/>
              <w:rPr>
                <w:sz w:val="20"/>
                <w:szCs w:val="20"/>
                <w:color w:val="auto"/>
              </w:rPr>
            </w:pPr>
            <w:r>
              <w:rPr>
                <w:rFonts w:ascii="Times New Roman" w:cs="Times New Roman" w:eastAsia="Times New Roman" w:hAnsi="Times New Roman"/>
                <w:sz w:val="20"/>
                <w:szCs w:val="20"/>
                <w:color w:val="auto"/>
              </w:rPr>
              <w:t>2026</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6,341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529</w:t>
            </w: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06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2027</w:t>
            </w:r>
          </w:p>
        </w:tc>
        <w:tc>
          <w:tcPr>
            <w:tcW w:w="360" w:type="dxa"/>
            <w:vAlign w:val="bottom"/>
            <w:shd w:val="clear" w:color="auto" w:fill="E9E9E9"/>
          </w:tcPr>
          <w:p>
            <w:pPr>
              <w:spacing w:after="0"/>
              <w:rPr>
                <w:sz w:val="24"/>
                <w:szCs w:val="24"/>
                <w:color w:val="auto"/>
              </w:rPr>
            </w:pPr>
          </w:p>
        </w:tc>
        <w:tc>
          <w:tcPr>
            <w:tcW w:w="600" w:type="dxa"/>
            <w:vAlign w:val="bottom"/>
            <w:shd w:val="clear" w:color="auto" w:fill="E9E9E9"/>
          </w:tcPr>
          <w:p>
            <w:pPr>
              <w:spacing w:after="0"/>
              <w:rPr>
                <w:sz w:val="24"/>
                <w:szCs w:val="24"/>
                <w:color w:val="auto"/>
              </w:rPr>
            </w:pPr>
          </w:p>
        </w:tc>
        <w:tc>
          <w:tcPr>
            <w:tcW w:w="220" w:type="dxa"/>
            <w:vAlign w:val="bottom"/>
            <w:shd w:val="clear" w:color="auto" w:fill="E9E9E9"/>
          </w:tcPr>
          <w:p>
            <w:pPr>
              <w:spacing w:after="0"/>
              <w:rPr>
                <w:sz w:val="24"/>
                <w:szCs w:val="24"/>
                <w:color w:val="auto"/>
              </w:rPr>
            </w:pPr>
          </w:p>
        </w:tc>
        <w:tc>
          <w:tcPr>
            <w:tcW w:w="260" w:type="dxa"/>
            <w:vAlign w:val="bottom"/>
            <w:shd w:val="clear" w:color="auto" w:fill="E9E9E9"/>
          </w:tcPr>
          <w:p>
            <w:pPr>
              <w:spacing w:after="0"/>
              <w:rPr>
                <w:sz w:val="24"/>
                <w:szCs w:val="24"/>
                <w:color w:val="auto"/>
              </w:rPr>
            </w:pPr>
          </w:p>
        </w:tc>
        <w:tc>
          <w:tcPr>
            <w:tcW w:w="7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7,147</w:t>
            </w:r>
          </w:p>
        </w:tc>
        <w:tc>
          <w:tcPr>
            <w:tcW w:w="60" w:type="dxa"/>
            <w:vAlign w:val="bottom"/>
            <w:shd w:val="clear" w:color="auto" w:fill="E9E9E9"/>
          </w:tcPr>
          <w:p>
            <w:pPr>
              <w:spacing w:after="0"/>
              <w:rPr>
                <w:sz w:val="24"/>
                <w:szCs w:val="24"/>
                <w:color w:val="auto"/>
              </w:rPr>
            </w:pPr>
          </w:p>
        </w:tc>
        <w:tc>
          <w:tcPr>
            <w:tcW w:w="60" w:type="dxa"/>
            <w:vAlign w:val="bottom"/>
            <w:shd w:val="clear" w:color="auto" w:fill="E9E9E9"/>
          </w:tcPr>
          <w:p>
            <w:pPr>
              <w:spacing w:after="0"/>
              <w:rPr>
                <w:sz w:val="24"/>
                <w:szCs w:val="24"/>
                <w:color w:val="auto"/>
              </w:rPr>
            </w:pPr>
          </w:p>
        </w:tc>
        <w:tc>
          <w:tcPr>
            <w:tcW w:w="200" w:type="dxa"/>
            <w:vAlign w:val="bottom"/>
            <w:shd w:val="clear" w:color="auto" w:fill="E9E9E9"/>
          </w:tcPr>
          <w:p>
            <w:pPr>
              <w:spacing w:after="0"/>
              <w:rPr>
                <w:sz w:val="24"/>
                <w:szCs w:val="24"/>
                <w:color w:val="auto"/>
              </w:rPr>
            </w:pPr>
          </w:p>
        </w:tc>
        <w:tc>
          <w:tcPr>
            <w:tcW w:w="60" w:type="dxa"/>
            <w:vAlign w:val="bottom"/>
            <w:shd w:val="clear" w:color="auto" w:fill="E9E9E9"/>
          </w:tcPr>
          <w:p>
            <w:pPr>
              <w:spacing w:after="0"/>
              <w:rPr>
                <w:sz w:val="24"/>
                <w:szCs w:val="24"/>
                <w:color w:val="auto"/>
              </w:rPr>
            </w:pPr>
          </w:p>
        </w:tc>
        <w:tc>
          <w:tcPr>
            <w:tcW w:w="60" w:type="dxa"/>
            <w:vAlign w:val="bottom"/>
            <w:shd w:val="clear" w:color="auto" w:fill="E9E9E9"/>
          </w:tcPr>
          <w:p>
            <w:pPr>
              <w:spacing w:after="0"/>
              <w:rPr>
                <w:sz w:val="24"/>
                <w:szCs w:val="24"/>
                <w:color w:val="auto"/>
              </w:rPr>
            </w:pPr>
          </w:p>
        </w:tc>
        <w:tc>
          <w:tcPr>
            <w:tcW w:w="80" w:type="dxa"/>
            <w:vAlign w:val="bottom"/>
            <w:shd w:val="clear" w:color="auto" w:fill="E9E9E9"/>
          </w:tcPr>
          <w:p>
            <w:pPr>
              <w:spacing w:after="0"/>
              <w:rPr>
                <w:sz w:val="24"/>
                <w:szCs w:val="24"/>
                <w:color w:val="auto"/>
              </w:rPr>
            </w:pPr>
          </w:p>
        </w:tc>
        <w:tc>
          <w:tcPr>
            <w:tcW w:w="60" w:type="dxa"/>
            <w:vAlign w:val="bottom"/>
            <w:shd w:val="clear" w:color="auto" w:fill="E9E9E9"/>
          </w:tcPr>
          <w:p>
            <w:pPr>
              <w:spacing w:after="0"/>
              <w:rPr>
                <w:sz w:val="24"/>
                <w:szCs w:val="24"/>
                <w:color w:val="auto"/>
              </w:rPr>
            </w:pPr>
          </w:p>
        </w:tc>
        <w:tc>
          <w:tcPr>
            <w:tcW w:w="400" w:type="dxa"/>
            <w:vAlign w:val="bottom"/>
            <w:shd w:val="clear" w:color="auto" w:fill="E9E9E9"/>
          </w:tcPr>
          <w:p>
            <w:pPr>
              <w:spacing w:after="0"/>
              <w:rPr>
                <w:sz w:val="24"/>
                <w:szCs w:val="24"/>
                <w:color w:val="auto"/>
              </w:rPr>
            </w:pPr>
          </w:p>
        </w:tc>
        <w:tc>
          <w:tcPr>
            <w:tcW w:w="3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w w:val="93"/>
              </w:rPr>
              <w:t>170</w:t>
            </w: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740" w:type="dxa"/>
            <w:vAlign w:val="bottom"/>
            <w:gridSpan w:val="4"/>
          </w:tcPr>
          <w:p>
            <w:pPr>
              <w:ind w:left="2420"/>
              <w:spacing w:after="0"/>
              <w:rPr>
                <w:sz w:val="20"/>
                <w:szCs w:val="20"/>
                <w:color w:val="auto"/>
              </w:rPr>
            </w:pPr>
            <w:r>
              <w:rPr>
                <w:rFonts w:ascii="Times New Roman" w:cs="Times New Roman" w:eastAsia="Times New Roman" w:hAnsi="Times New Roman"/>
                <w:sz w:val="20"/>
                <w:szCs w:val="20"/>
                <w:color w:val="auto"/>
              </w:rPr>
              <w:t>2028</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7,332</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06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2029</w:t>
            </w:r>
          </w:p>
        </w:tc>
        <w:tc>
          <w:tcPr>
            <w:tcW w:w="360" w:type="dxa"/>
            <w:vAlign w:val="bottom"/>
            <w:shd w:val="clear" w:color="auto" w:fill="E9E9E9"/>
          </w:tcPr>
          <w:p>
            <w:pPr>
              <w:spacing w:after="0"/>
              <w:rPr>
                <w:sz w:val="24"/>
                <w:szCs w:val="24"/>
                <w:color w:val="auto"/>
              </w:rPr>
            </w:pPr>
          </w:p>
        </w:tc>
        <w:tc>
          <w:tcPr>
            <w:tcW w:w="600" w:type="dxa"/>
            <w:vAlign w:val="bottom"/>
            <w:shd w:val="clear" w:color="auto" w:fill="E9E9E9"/>
          </w:tcPr>
          <w:p>
            <w:pPr>
              <w:spacing w:after="0"/>
              <w:rPr>
                <w:sz w:val="24"/>
                <w:szCs w:val="24"/>
                <w:color w:val="auto"/>
              </w:rPr>
            </w:pPr>
          </w:p>
        </w:tc>
        <w:tc>
          <w:tcPr>
            <w:tcW w:w="220" w:type="dxa"/>
            <w:vAlign w:val="bottom"/>
            <w:shd w:val="clear" w:color="auto" w:fill="E9E9E9"/>
          </w:tcPr>
          <w:p>
            <w:pPr>
              <w:spacing w:after="0"/>
              <w:rPr>
                <w:sz w:val="24"/>
                <w:szCs w:val="24"/>
                <w:color w:val="auto"/>
              </w:rPr>
            </w:pPr>
          </w:p>
        </w:tc>
        <w:tc>
          <w:tcPr>
            <w:tcW w:w="260" w:type="dxa"/>
            <w:vAlign w:val="bottom"/>
            <w:shd w:val="clear" w:color="auto" w:fill="E9E9E9"/>
          </w:tcPr>
          <w:p>
            <w:pPr>
              <w:spacing w:after="0"/>
              <w:rPr>
                <w:sz w:val="24"/>
                <w:szCs w:val="24"/>
                <w:color w:val="auto"/>
              </w:rPr>
            </w:pPr>
          </w:p>
        </w:tc>
        <w:tc>
          <w:tcPr>
            <w:tcW w:w="7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7,523</w:t>
            </w:r>
          </w:p>
        </w:tc>
        <w:tc>
          <w:tcPr>
            <w:tcW w:w="60" w:type="dxa"/>
            <w:vAlign w:val="bottom"/>
            <w:shd w:val="clear" w:color="auto" w:fill="E9E9E9"/>
          </w:tcPr>
          <w:p>
            <w:pPr>
              <w:spacing w:after="0"/>
              <w:rPr>
                <w:sz w:val="24"/>
                <w:szCs w:val="24"/>
                <w:color w:val="auto"/>
              </w:rPr>
            </w:pPr>
          </w:p>
        </w:tc>
        <w:tc>
          <w:tcPr>
            <w:tcW w:w="60" w:type="dxa"/>
            <w:vAlign w:val="bottom"/>
            <w:shd w:val="clear" w:color="auto" w:fill="E9E9E9"/>
          </w:tcPr>
          <w:p>
            <w:pPr>
              <w:spacing w:after="0"/>
              <w:rPr>
                <w:sz w:val="24"/>
                <w:szCs w:val="24"/>
                <w:color w:val="auto"/>
              </w:rPr>
            </w:pPr>
          </w:p>
        </w:tc>
        <w:tc>
          <w:tcPr>
            <w:tcW w:w="200" w:type="dxa"/>
            <w:vAlign w:val="bottom"/>
            <w:shd w:val="clear" w:color="auto" w:fill="E9E9E9"/>
          </w:tcPr>
          <w:p>
            <w:pPr>
              <w:spacing w:after="0"/>
              <w:rPr>
                <w:sz w:val="24"/>
                <w:szCs w:val="24"/>
                <w:color w:val="auto"/>
              </w:rPr>
            </w:pPr>
          </w:p>
        </w:tc>
        <w:tc>
          <w:tcPr>
            <w:tcW w:w="60" w:type="dxa"/>
            <w:vAlign w:val="bottom"/>
            <w:shd w:val="clear" w:color="auto" w:fill="E9E9E9"/>
          </w:tcPr>
          <w:p>
            <w:pPr>
              <w:spacing w:after="0"/>
              <w:rPr>
                <w:sz w:val="24"/>
                <w:szCs w:val="24"/>
                <w:color w:val="auto"/>
              </w:rPr>
            </w:pPr>
          </w:p>
        </w:tc>
        <w:tc>
          <w:tcPr>
            <w:tcW w:w="60" w:type="dxa"/>
            <w:vAlign w:val="bottom"/>
            <w:shd w:val="clear" w:color="auto" w:fill="E9E9E9"/>
          </w:tcPr>
          <w:p>
            <w:pPr>
              <w:spacing w:after="0"/>
              <w:rPr>
                <w:sz w:val="24"/>
                <w:szCs w:val="24"/>
                <w:color w:val="auto"/>
              </w:rPr>
            </w:pPr>
          </w:p>
        </w:tc>
        <w:tc>
          <w:tcPr>
            <w:tcW w:w="80" w:type="dxa"/>
            <w:vAlign w:val="bottom"/>
            <w:shd w:val="clear" w:color="auto" w:fill="E9E9E9"/>
          </w:tcPr>
          <w:p>
            <w:pPr>
              <w:spacing w:after="0"/>
              <w:rPr>
                <w:sz w:val="24"/>
                <w:szCs w:val="24"/>
                <w:color w:val="auto"/>
              </w:rPr>
            </w:pPr>
          </w:p>
        </w:tc>
        <w:tc>
          <w:tcPr>
            <w:tcW w:w="60" w:type="dxa"/>
            <w:vAlign w:val="bottom"/>
            <w:shd w:val="clear" w:color="auto" w:fill="E9E9E9"/>
          </w:tcPr>
          <w:p>
            <w:pPr>
              <w:spacing w:after="0"/>
              <w:rPr>
                <w:sz w:val="24"/>
                <w:szCs w:val="24"/>
                <w:color w:val="auto"/>
              </w:rPr>
            </w:pPr>
          </w:p>
        </w:tc>
        <w:tc>
          <w:tcPr>
            <w:tcW w:w="400" w:type="dxa"/>
            <w:vAlign w:val="bottom"/>
            <w:shd w:val="clear" w:color="auto" w:fill="E9E9E9"/>
          </w:tcPr>
          <w:p>
            <w:pPr>
              <w:spacing w:after="0"/>
              <w:rPr>
                <w:sz w:val="24"/>
                <w:szCs w:val="24"/>
                <w:color w:val="auto"/>
              </w:rPr>
            </w:pPr>
          </w:p>
        </w:tc>
        <w:tc>
          <w:tcPr>
            <w:tcW w:w="3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tcBorders>
              <w:bottom w:val="single" w:sz="8" w:color="E9E9E9"/>
            </w:tcBorders>
          </w:tcPr>
          <w:p>
            <w:pPr>
              <w:ind w:left="60"/>
              <w:spacing w:after="0"/>
              <w:rPr>
                <w:sz w:val="20"/>
                <w:szCs w:val="20"/>
                <w:color w:val="auto"/>
              </w:rPr>
            </w:pPr>
            <w:r>
              <w:rPr>
                <w:rFonts w:ascii="Times New Roman" w:cs="Times New Roman" w:eastAsia="Times New Roman" w:hAnsi="Times New Roman"/>
                <w:sz w:val="20"/>
                <w:szCs w:val="20"/>
                <w:color w:val="auto"/>
              </w:rPr>
              <w:t>Thereafter</w:t>
            </w:r>
          </w:p>
        </w:tc>
        <w:tc>
          <w:tcPr>
            <w:tcW w:w="360" w:type="dxa"/>
            <w:vAlign w:val="bottom"/>
            <w:tcBorders>
              <w:bottom w:val="single" w:sz="8" w:color="E9E9E9"/>
            </w:tcBorders>
          </w:tcPr>
          <w:p>
            <w:pPr>
              <w:spacing w:after="0"/>
              <w:rPr>
                <w:sz w:val="24"/>
                <w:szCs w:val="24"/>
                <w:color w:val="auto"/>
              </w:rPr>
            </w:pPr>
          </w:p>
        </w:tc>
        <w:tc>
          <w:tcPr>
            <w:tcW w:w="600" w:type="dxa"/>
            <w:vAlign w:val="bottom"/>
            <w:tcBorders>
              <w:bottom w:val="single" w:sz="8" w:color="E9E9E9"/>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61,193</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E9E9E9"/>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20" w:type="dxa"/>
            <w:vAlign w:val="bottom"/>
            <w:gridSpan w:val="5"/>
            <w:shd w:val="clear" w:color="auto" w:fill="E9E9E9"/>
          </w:tcPr>
          <w:p>
            <w:pPr>
              <w:ind w:left="140"/>
              <w:spacing w:after="0"/>
              <w:rPr>
                <w:sz w:val="20"/>
                <w:szCs w:val="20"/>
                <w:color w:val="auto"/>
              </w:rPr>
            </w:pPr>
            <w:r>
              <w:rPr>
                <w:rFonts w:ascii="Times New Roman" w:cs="Times New Roman" w:eastAsia="Times New Roman" w:hAnsi="Times New Roman"/>
                <w:sz w:val="20"/>
                <w:szCs w:val="20"/>
                <w:color w:val="auto"/>
              </w:rPr>
              <w:t>Total future minimum lease payments</w:t>
            </w:r>
          </w:p>
        </w:tc>
        <w:tc>
          <w:tcPr>
            <w:tcW w:w="70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94,904</w:t>
            </w:r>
          </w:p>
        </w:tc>
        <w:tc>
          <w:tcPr>
            <w:tcW w:w="60" w:type="dxa"/>
            <w:vAlign w:val="bottom"/>
            <w:shd w:val="clear" w:color="auto" w:fill="E9E9E9"/>
          </w:tcPr>
          <w:p>
            <w:pPr>
              <w:spacing w:after="0"/>
              <w:rPr>
                <w:sz w:val="24"/>
                <w:szCs w:val="24"/>
                <w:color w:val="auto"/>
              </w:rPr>
            </w:pPr>
          </w:p>
        </w:tc>
        <w:tc>
          <w:tcPr>
            <w:tcW w:w="60" w:type="dxa"/>
            <w:vAlign w:val="bottom"/>
            <w:shd w:val="clear" w:color="auto" w:fill="E9E9E9"/>
          </w:tcPr>
          <w:p>
            <w:pPr>
              <w:spacing w:after="0"/>
              <w:rPr>
                <w:sz w:val="24"/>
                <w:szCs w:val="24"/>
                <w:color w:val="auto"/>
              </w:rPr>
            </w:pPr>
          </w:p>
        </w:tc>
        <w:tc>
          <w:tcPr>
            <w:tcW w:w="200" w:type="dxa"/>
            <w:vAlign w:val="bottom"/>
            <w:shd w:val="clear" w:color="auto" w:fill="E9E9E9"/>
          </w:tcPr>
          <w:p>
            <w:pPr>
              <w:spacing w:after="0"/>
              <w:rPr>
                <w:sz w:val="24"/>
                <w:szCs w:val="24"/>
                <w:color w:val="auto"/>
              </w:rPr>
            </w:pPr>
          </w:p>
        </w:tc>
        <w:tc>
          <w:tcPr>
            <w:tcW w:w="60" w:type="dxa"/>
            <w:vAlign w:val="bottom"/>
            <w:shd w:val="clear" w:color="auto" w:fill="E9E9E9"/>
          </w:tcPr>
          <w:p>
            <w:pPr>
              <w:spacing w:after="0"/>
              <w:rPr>
                <w:sz w:val="24"/>
                <w:szCs w:val="24"/>
                <w:color w:val="auto"/>
              </w:rPr>
            </w:pPr>
          </w:p>
        </w:tc>
        <w:tc>
          <w:tcPr>
            <w:tcW w:w="60" w:type="dxa"/>
            <w:vAlign w:val="bottom"/>
            <w:shd w:val="clear" w:color="auto" w:fill="E9E9E9"/>
          </w:tcPr>
          <w:p>
            <w:pPr>
              <w:spacing w:after="0"/>
              <w:rPr>
                <w:sz w:val="24"/>
                <w:szCs w:val="24"/>
                <w:color w:val="auto"/>
              </w:rPr>
            </w:pPr>
          </w:p>
        </w:tc>
        <w:tc>
          <w:tcPr>
            <w:tcW w:w="920" w:type="dxa"/>
            <w:vAlign w:val="bottom"/>
            <w:gridSpan w:val="4"/>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1,781</w:t>
            </w: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tcBorders>
              <w:bottom w:val="single" w:sz="8" w:color="E9E9E9"/>
            </w:tcBorders>
          </w:tcPr>
          <w:p>
            <w:pPr>
              <w:ind w:left="60"/>
              <w:spacing w:after="0"/>
              <w:rPr>
                <w:sz w:val="20"/>
                <w:szCs w:val="20"/>
                <w:color w:val="auto"/>
              </w:rPr>
            </w:pPr>
            <w:r>
              <w:rPr>
                <w:rFonts w:ascii="Times New Roman" w:cs="Times New Roman" w:eastAsia="Times New Roman" w:hAnsi="Times New Roman"/>
                <w:sz w:val="20"/>
                <w:szCs w:val="20"/>
                <w:color w:val="auto"/>
              </w:rPr>
              <w:t>Less: interest</w:t>
            </w:r>
          </w:p>
        </w:tc>
        <w:tc>
          <w:tcPr>
            <w:tcW w:w="360" w:type="dxa"/>
            <w:vAlign w:val="bottom"/>
            <w:tcBorders>
              <w:bottom w:val="single" w:sz="8" w:color="E9E9E9"/>
            </w:tcBorders>
          </w:tcPr>
          <w:p>
            <w:pPr>
              <w:spacing w:after="0"/>
              <w:rPr>
                <w:sz w:val="24"/>
                <w:szCs w:val="24"/>
                <w:color w:val="auto"/>
              </w:rPr>
            </w:pPr>
          </w:p>
        </w:tc>
        <w:tc>
          <w:tcPr>
            <w:tcW w:w="600" w:type="dxa"/>
            <w:vAlign w:val="bottom"/>
            <w:tcBorders>
              <w:bottom w:val="single" w:sz="8" w:color="E9E9E9"/>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39,852</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E9E9E9"/>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3"/>
              </w:rPr>
              <w:t>136</w:t>
            </w: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tcBorders>
              <w:bottom w:val="single" w:sz="8" w:color="E9E9E9"/>
            </w:tcBorders>
            <w:shd w:val="clear" w:color="auto" w:fill="E9E9E9"/>
          </w:tcPr>
          <w:p>
            <w:pPr>
              <w:ind w:left="140"/>
              <w:spacing w:after="0"/>
              <w:rPr>
                <w:sz w:val="20"/>
                <w:szCs w:val="20"/>
                <w:color w:val="auto"/>
              </w:rPr>
            </w:pPr>
            <w:r>
              <w:rPr>
                <w:rFonts w:ascii="Times New Roman" w:cs="Times New Roman" w:eastAsia="Times New Roman" w:hAnsi="Times New Roman"/>
                <w:sz w:val="20"/>
                <w:szCs w:val="20"/>
                <w:color w:val="auto"/>
              </w:rPr>
              <w:t>Total</w:t>
            </w:r>
          </w:p>
        </w:tc>
        <w:tc>
          <w:tcPr>
            <w:tcW w:w="360" w:type="dxa"/>
            <w:vAlign w:val="bottom"/>
            <w:tcBorders>
              <w:bottom w:val="single" w:sz="8" w:color="E9E9E9"/>
            </w:tcBorders>
            <w:shd w:val="clear" w:color="auto" w:fill="E9E9E9"/>
          </w:tcPr>
          <w:p>
            <w:pPr>
              <w:spacing w:after="0"/>
              <w:rPr>
                <w:sz w:val="24"/>
                <w:szCs w:val="24"/>
                <w:color w:val="auto"/>
              </w:rPr>
            </w:pPr>
          </w:p>
        </w:tc>
        <w:tc>
          <w:tcPr>
            <w:tcW w:w="600" w:type="dxa"/>
            <w:vAlign w:val="bottom"/>
            <w:tcBorders>
              <w:bottom w:val="single" w:sz="8" w:color="E9E9E9"/>
            </w:tcBorders>
            <w:shd w:val="clear" w:color="auto" w:fill="E9E9E9"/>
          </w:tcPr>
          <w:p>
            <w:pPr>
              <w:spacing w:after="0"/>
              <w:rPr>
                <w:sz w:val="24"/>
                <w:szCs w:val="24"/>
                <w:color w:val="auto"/>
              </w:rPr>
            </w:pPr>
          </w:p>
        </w:tc>
        <w:tc>
          <w:tcPr>
            <w:tcW w:w="22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auto"/>
            </w:tcBorders>
            <w:shd w:val="clear" w:color="auto" w:fill="E9E9E9"/>
          </w:tcPr>
          <w:p>
            <w:pPr>
              <w:spacing w:after="0"/>
              <w:rPr>
                <w:sz w:val="24"/>
                <w:szCs w:val="24"/>
                <w:color w:val="auto"/>
              </w:rPr>
            </w:pPr>
          </w:p>
        </w:tc>
        <w:tc>
          <w:tcPr>
            <w:tcW w:w="70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55,052</w:t>
            </w:r>
          </w:p>
        </w:tc>
        <w:tc>
          <w:tcPr>
            <w:tcW w:w="60" w:type="dxa"/>
            <w:vAlign w:val="bottom"/>
            <w:tcBorders>
              <w:bottom w:val="single" w:sz="8" w:color="auto"/>
            </w:tcBorders>
            <w:shd w:val="clear" w:color="auto" w:fill="E9E9E9"/>
          </w:tcPr>
          <w:p>
            <w:pPr>
              <w:spacing w:after="0"/>
              <w:rPr>
                <w:sz w:val="24"/>
                <w:szCs w:val="24"/>
                <w:color w:val="auto"/>
              </w:rPr>
            </w:pPr>
          </w:p>
        </w:tc>
        <w:tc>
          <w:tcPr>
            <w:tcW w:w="60" w:type="dxa"/>
            <w:vAlign w:val="bottom"/>
            <w:tcBorders>
              <w:bottom w:val="single" w:sz="8" w:color="E9E9E9"/>
            </w:tcBorders>
            <w:shd w:val="clear" w:color="auto" w:fill="E9E9E9"/>
          </w:tcPr>
          <w:p>
            <w:pPr>
              <w:spacing w:after="0"/>
              <w:rPr>
                <w:sz w:val="24"/>
                <w:szCs w:val="24"/>
                <w:color w:val="auto"/>
              </w:rPr>
            </w:pPr>
          </w:p>
        </w:tc>
        <w:tc>
          <w:tcPr>
            <w:tcW w:w="20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tcBorders>
            <w:shd w:val="clear" w:color="auto" w:fill="E9E9E9"/>
          </w:tcPr>
          <w:p>
            <w:pPr>
              <w:spacing w:after="0"/>
              <w:rPr>
                <w:sz w:val="24"/>
                <w:szCs w:val="24"/>
                <w:color w:val="auto"/>
              </w:rPr>
            </w:pPr>
          </w:p>
        </w:tc>
        <w:tc>
          <w:tcPr>
            <w:tcW w:w="60" w:type="dxa"/>
            <w:vAlign w:val="bottom"/>
            <w:tcBorders>
              <w:bottom w:val="single" w:sz="8" w:color="auto"/>
            </w:tcBorders>
            <w:shd w:val="clear" w:color="auto" w:fill="E9E9E9"/>
          </w:tcPr>
          <w:p>
            <w:pPr>
              <w:spacing w:after="0"/>
              <w:rPr>
                <w:sz w:val="24"/>
                <w:szCs w:val="24"/>
                <w:color w:val="auto"/>
              </w:rPr>
            </w:pPr>
          </w:p>
        </w:tc>
        <w:tc>
          <w:tcPr>
            <w:tcW w:w="920" w:type="dxa"/>
            <w:vAlign w:val="bottom"/>
            <w:tcBorders>
              <w:bottom w:val="single" w:sz="8" w:color="auto"/>
            </w:tcBorders>
            <w:gridSpan w:val="4"/>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1,645</w:t>
            </w: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474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17. Other Assets</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60" w:type="dxa"/>
            <w:vAlign w:val="bottom"/>
          </w:tcPr>
          <w:p>
            <w:pPr>
              <w:spacing w:after="0"/>
              <w:rPr>
                <w:sz w:val="24"/>
                <w:szCs w:val="24"/>
                <w:color w:val="auto"/>
              </w:rPr>
            </w:pPr>
          </w:p>
        </w:tc>
        <w:tc>
          <w:tcPr>
            <w:tcW w:w="44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Other assets are comprised of the following:</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9"/>
          </w:tcPr>
          <w:p>
            <w:pPr>
              <w:ind w:left="4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38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2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6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 w:type="dxa"/>
            <w:vAlign w:val="bottom"/>
            <w:tcBorders>
              <w:bottom w:val="single" w:sz="8" w:color="E9E9E9"/>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4"/>
          </w:tcPr>
          <w:p>
            <w:pPr>
              <w:jc w:val="right"/>
              <w:ind w:right="42"/>
              <w:spacing w:after="0"/>
              <w:rPr>
                <w:sz w:val="20"/>
                <w:szCs w:val="20"/>
                <w:color w:val="auto"/>
              </w:rPr>
            </w:pPr>
            <w:r>
              <w:rPr>
                <w:rFonts w:ascii="Times New Roman" w:cs="Times New Roman" w:eastAsia="Times New Roman" w:hAnsi="Times New Roman"/>
                <w:sz w:val="20"/>
                <w:szCs w:val="20"/>
                <w:b w:val="1"/>
                <w:bCs w:val="1"/>
                <w:color w:val="auto"/>
              </w:rPr>
              <w:t>2023</w:t>
            </w:r>
          </w:p>
        </w:tc>
        <w:tc>
          <w:tcPr>
            <w:tcW w:w="300" w:type="dxa"/>
            <w:vAlign w:val="bottom"/>
            <w:tcBorders>
              <w:bottom w:val="single" w:sz="8" w:color="auto"/>
            </w:tcBorders>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680" w:type="dxa"/>
            <w:vAlign w:val="bottom"/>
            <w:gridSpan w:val="2"/>
            <w:shd w:val="clear" w:color="auto" w:fill="E9E9E9"/>
          </w:tcPr>
          <w:p>
            <w:pPr>
              <w:ind w:left="40"/>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shd w:val="clear" w:color="auto" w:fill="E9E9E9"/>
          </w:tcPr>
          <w:p>
            <w:pPr>
              <w:spacing w:after="0"/>
              <w:rPr>
                <w:sz w:val="23"/>
                <w:szCs w:val="23"/>
                <w:color w:val="auto"/>
              </w:rPr>
            </w:pPr>
          </w:p>
        </w:tc>
        <w:tc>
          <w:tcPr>
            <w:tcW w:w="1080" w:type="dxa"/>
            <w:vAlign w:val="bottom"/>
            <w:gridSpan w:val="3"/>
            <w:shd w:val="clear" w:color="auto" w:fill="E9E9E9"/>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4"/>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15,406</w:t>
            </w:r>
          </w:p>
        </w:tc>
        <w:tc>
          <w:tcPr>
            <w:tcW w:w="60" w:type="dxa"/>
            <w:vAlign w:val="bottom"/>
            <w:shd w:val="clear" w:color="auto" w:fill="E9E9E9"/>
          </w:tcPr>
          <w:p>
            <w:pPr>
              <w:spacing w:after="0"/>
              <w:rPr>
                <w:sz w:val="23"/>
                <w:szCs w:val="23"/>
                <w:color w:val="auto"/>
              </w:rPr>
            </w:pPr>
          </w:p>
        </w:tc>
        <w:tc>
          <w:tcPr>
            <w:tcW w:w="60" w:type="dxa"/>
            <w:vAlign w:val="bottom"/>
            <w:shd w:val="clear" w:color="auto" w:fill="E9E9E9"/>
          </w:tcPr>
          <w:p>
            <w:pPr>
              <w:spacing w:after="0"/>
              <w:rPr>
                <w:sz w:val="23"/>
                <w:szCs w:val="23"/>
                <w:color w:val="auto"/>
              </w:rPr>
            </w:pPr>
          </w:p>
        </w:tc>
        <w:tc>
          <w:tcPr>
            <w:tcW w:w="140" w:type="dxa"/>
            <w:vAlign w:val="bottom"/>
            <w:gridSpan w:val="2"/>
            <w:shd w:val="clear" w:color="auto" w:fill="E9E9E9"/>
          </w:tcPr>
          <w:p>
            <w:pPr>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E9E9E9"/>
          </w:tcPr>
          <w:p>
            <w:pPr>
              <w:spacing w:after="0"/>
              <w:rPr>
                <w:sz w:val="23"/>
                <w:szCs w:val="23"/>
                <w:color w:val="auto"/>
              </w:rPr>
            </w:pPr>
          </w:p>
        </w:tc>
        <w:tc>
          <w:tcPr>
            <w:tcW w:w="68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16,437</w:t>
            </w: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2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680" w:type="dxa"/>
            <w:vAlign w:val="bottom"/>
            <w:tcBorders>
              <w:bottom w:val="single" w:sz="8" w:color="E9E9E9"/>
            </w:tcBorders>
            <w:gridSpan w:val="2"/>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Borders>
              <w:bottom w:val="single" w:sz="8" w:color="E9E9E9"/>
            </w:tcBorders>
          </w:tcPr>
          <w:p>
            <w:pPr>
              <w:spacing w:after="0"/>
              <w:rPr>
                <w:sz w:val="23"/>
                <w:szCs w:val="23"/>
                <w:color w:val="auto"/>
              </w:rPr>
            </w:pPr>
          </w:p>
        </w:tc>
        <w:tc>
          <w:tcPr>
            <w:tcW w:w="600" w:type="dxa"/>
            <w:vAlign w:val="bottom"/>
            <w:tcBorders>
              <w:bottom w:val="single" w:sz="8" w:color="E9E9E9"/>
            </w:tcBorders>
          </w:tcPr>
          <w:p>
            <w:pPr>
              <w:spacing w:after="0"/>
              <w:rPr>
                <w:sz w:val="23"/>
                <w:szCs w:val="23"/>
                <w:color w:val="auto"/>
              </w:rPr>
            </w:pPr>
          </w:p>
        </w:tc>
        <w:tc>
          <w:tcPr>
            <w:tcW w:w="220" w:type="dxa"/>
            <w:vAlign w:val="bottom"/>
            <w:tcBorders>
              <w:bottom w:val="single" w:sz="8" w:color="E9E9E9"/>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9,130</w:t>
            </w:r>
          </w:p>
        </w:tc>
        <w:tc>
          <w:tcPr>
            <w:tcW w:w="60" w:type="dxa"/>
            <w:vAlign w:val="bottom"/>
            <w:tcBorders>
              <w:bottom w:val="single" w:sz="8" w:color="E9E9E9"/>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246</w:t>
            </w: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shd w:val="clear" w:color="auto" w:fill="E9E9E9"/>
          </w:tcPr>
          <w:p>
            <w:pPr>
              <w:spacing w:after="0"/>
              <w:rPr>
                <w:sz w:val="24"/>
                <w:szCs w:val="24"/>
                <w:color w:val="auto"/>
              </w:rPr>
            </w:pPr>
          </w:p>
        </w:tc>
        <w:tc>
          <w:tcPr>
            <w:tcW w:w="2380" w:type="dxa"/>
            <w:vAlign w:val="bottom"/>
            <w:shd w:val="clear" w:color="auto" w:fill="E9E9E9"/>
          </w:tcPr>
          <w:p>
            <w:pPr>
              <w:ind w:left="100"/>
              <w:spacing w:after="0"/>
              <w:rPr>
                <w:sz w:val="20"/>
                <w:szCs w:val="20"/>
                <w:color w:val="auto"/>
              </w:rPr>
            </w:pPr>
            <w:r>
              <w:rPr>
                <w:rFonts w:ascii="Times New Roman" w:cs="Times New Roman" w:eastAsia="Times New Roman" w:hAnsi="Times New Roman"/>
                <w:sz w:val="20"/>
                <w:szCs w:val="20"/>
                <w:color w:val="auto"/>
              </w:rPr>
              <w:t>Total other current assets</w:t>
            </w:r>
          </w:p>
        </w:tc>
        <w:tc>
          <w:tcPr>
            <w:tcW w:w="360" w:type="dxa"/>
            <w:vAlign w:val="bottom"/>
            <w:shd w:val="clear" w:color="auto" w:fill="E9E9E9"/>
          </w:tcPr>
          <w:p>
            <w:pPr>
              <w:spacing w:after="0"/>
              <w:rPr>
                <w:sz w:val="24"/>
                <w:szCs w:val="24"/>
                <w:color w:val="auto"/>
              </w:rPr>
            </w:pPr>
          </w:p>
        </w:tc>
        <w:tc>
          <w:tcPr>
            <w:tcW w:w="1080" w:type="dxa"/>
            <w:vAlign w:val="bottom"/>
            <w:gridSpan w:val="3"/>
            <w:shd w:val="clear" w:color="auto" w:fill="E9E9E9"/>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4"/>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24,536</w:t>
            </w:r>
          </w:p>
        </w:tc>
        <w:tc>
          <w:tcPr>
            <w:tcW w:w="60" w:type="dxa"/>
            <w:vAlign w:val="bottom"/>
            <w:shd w:val="clear" w:color="auto" w:fill="E9E9E9"/>
          </w:tcPr>
          <w:p>
            <w:pPr>
              <w:spacing w:after="0"/>
              <w:rPr>
                <w:sz w:val="24"/>
                <w:szCs w:val="24"/>
                <w:color w:val="auto"/>
              </w:rPr>
            </w:pPr>
          </w:p>
        </w:tc>
        <w:tc>
          <w:tcPr>
            <w:tcW w:w="60" w:type="dxa"/>
            <w:vAlign w:val="bottom"/>
            <w:shd w:val="clear" w:color="auto" w:fill="E9E9E9"/>
          </w:tcPr>
          <w:p>
            <w:pPr>
              <w:spacing w:after="0"/>
              <w:rPr>
                <w:sz w:val="24"/>
                <w:szCs w:val="24"/>
                <w:color w:val="auto"/>
              </w:rPr>
            </w:pPr>
          </w:p>
        </w:tc>
        <w:tc>
          <w:tcPr>
            <w:tcW w:w="140" w:type="dxa"/>
            <w:vAlign w:val="bottom"/>
            <w:gridSpan w:val="2"/>
            <w:shd w:val="clear" w:color="auto" w:fill="E9E9E9"/>
          </w:tcPr>
          <w:p>
            <w:pPr>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E9E9E9"/>
          </w:tcPr>
          <w:p>
            <w:pPr>
              <w:spacing w:after="0"/>
              <w:rPr>
                <w:sz w:val="24"/>
                <w:szCs w:val="24"/>
                <w:color w:val="auto"/>
              </w:rPr>
            </w:pPr>
          </w:p>
        </w:tc>
        <w:tc>
          <w:tcPr>
            <w:tcW w:w="68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16,683</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300" w:type="dxa"/>
            <w:vAlign w:val="bottom"/>
            <w:tcBorders>
              <w:top w:val="single" w:sz="8" w:color="E9E9E9"/>
            </w:tcBorders>
          </w:tcPr>
          <w:p>
            <w:pPr>
              <w:spacing w:after="0"/>
              <w:rPr>
                <w:sz w:val="21"/>
                <w:szCs w:val="21"/>
                <w:color w:val="auto"/>
              </w:rPr>
            </w:pPr>
          </w:p>
        </w:tc>
        <w:tc>
          <w:tcPr>
            <w:tcW w:w="2380" w:type="dxa"/>
            <w:vAlign w:val="bottom"/>
            <w:tcBorders>
              <w:top w:val="single" w:sz="8" w:color="E9E9E9"/>
            </w:tcBorders>
          </w:tcPr>
          <w:p>
            <w:pPr>
              <w:spacing w:after="0"/>
              <w:rPr>
                <w:sz w:val="21"/>
                <w:szCs w:val="21"/>
                <w:color w:val="auto"/>
              </w:rPr>
            </w:pPr>
          </w:p>
        </w:tc>
        <w:tc>
          <w:tcPr>
            <w:tcW w:w="360" w:type="dxa"/>
            <w:vAlign w:val="bottom"/>
            <w:tcBorders>
              <w:top w:val="single" w:sz="8" w:color="E9E9E9"/>
            </w:tcBorders>
          </w:tcPr>
          <w:p>
            <w:pPr>
              <w:spacing w:after="0"/>
              <w:rPr>
                <w:sz w:val="21"/>
                <w:szCs w:val="21"/>
                <w:color w:val="auto"/>
              </w:rPr>
            </w:pPr>
          </w:p>
        </w:tc>
        <w:tc>
          <w:tcPr>
            <w:tcW w:w="600" w:type="dxa"/>
            <w:vAlign w:val="bottom"/>
            <w:tcBorders>
              <w:top w:val="single" w:sz="8" w:color="E9E9E9"/>
            </w:tcBorders>
          </w:tcPr>
          <w:p>
            <w:pPr>
              <w:spacing w:after="0"/>
              <w:rPr>
                <w:sz w:val="21"/>
                <w:szCs w:val="21"/>
                <w:color w:val="auto"/>
              </w:rPr>
            </w:pPr>
          </w:p>
        </w:tc>
        <w:tc>
          <w:tcPr>
            <w:tcW w:w="220" w:type="dxa"/>
            <w:vAlign w:val="bottom"/>
            <w:tcBorders>
              <w:top w:val="single" w:sz="8" w:color="E9E9E9"/>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0" w:type="dxa"/>
            <w:vAlign w:val="bottom"/>
            <w:tcBorders>
              <w:top w:val="single" w:sz="8" w:color="E9E9E9"/>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80" w:type="dxa"/>
            <w:vAlign w:val="bottom"/>
            <w:gridSpan w:val="2"/>
            <w:shd w:val="clear" w:color="auto" w:fill="E9E9E9"/>
          </w:tcPr>
          <w:p>
            <w:pPr>
              <w:ind w:left="40"/>
              <w:spacing w:after="0"/>
              <w:rPr>
                <w:sz w:val="20"/>
                <w:szCs w:val="20"/>
                <w:color w:val="auto"/>
              </w:rPr>
            </w:pPr>
            <w:r>
              <w:rPr>
                <w:rFonts w:ascii="Times New Roman" w:cs="Times New Roman" w:eastAsia="Times New Roman" w:hAnsi="Times New Roman"/>
                <w:sz w:val="18"/>
                <w:szCs w:val="18"/>
                <w:color w:val="auto"/>
              </w:rPr>
              <w:t>ROU Asset (Note 16)</w:t>
            </w:r>
          </w:p>
        </w:tc>
        <w:tc>
          <w:tcPr>
            <w:tcW w:w="360" w:type="dxa"/>
            <w:vAlign w:val="bottom"/>
            <w:shd w:val="clear" w:color="auto" w:fill="E9E9E9"/>
          </w:tcPr>
          <w:p>
            <w:pPr>
              <w:spacing w:after="0"/>
              <w:rPr>
                <w:sz w:val="24"/>
                <w:szCs w:val="24"/>
                <w:color w:val="auto"/>
              </w:rPr>
            </w:pPr>
          </w:p>
        </w:tc>
        <w:tc>
          <w:tcPr>
            <w:tcW w:w="1080" w:type="dxa"/>
            <w:vAlign w:val="bottom"/>
            <w:gridSpan w:val="3"/>
            <w:shd w:val="clear" w:color="auto" w:fill="E9E9E9"/>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4"/>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36,083</w:t>
            </w:r>
          </w:p>
        </w:tc>
        <w:tc>
          <w:tcPr>
            <w:tcW w:w="60" w:type="dxa"/>
            <w:vAlign w:val="bottom"/>
            <w:shd w:val="clear" w:color="auto" w:fill="E9E9E9"/>
          </w:tcPr>
          <w:p>
            <w:pPr>
              <w:spacing w:after="0"/>
              <w:rPr>
                <w:sz w:val="24"/>
                <w:szCs w:val="24"/>
                <w:color w:val="auto"/>
              </w:rPr>
            </w:pPr>
          </w:p>
        </w:tc>
        <w:tc>
          <w:tcPr>
            <w:tcW w:w="60" w:type="dxa"/>
            <w:vAlign w:val="bottom"/>
            <w:shd w:val="clear" w:color="auto" w:fill="E9E9E9"/>
          </w:tcPr>
          <w:p>
            <w:pPr>
              <w:spacing w:after="0"/>
              <w:rPr>
                <w:sz w:val="24"/>
                <w:szCs w:val="24"/>
                <w:color w:val="auto"/>
              </w:rPr>
            </w:pPr>
          </w:p>
        </w:tc>
        <w:tc>
          <w:tcPr>
            <w:tcW w:w="140" w:type="dxa"/>
            <w:vAlign w:val="bottom"/>
            <w:gridSpan w:val="2"/>
            <w:shd w:val="clear" w:color="auto" w:fill="E9E9E9"/>
          </w:tcPr>
          <w:p>
            <w:pPr>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E9E9E9"/>
          </w:tcPr>
          <w:p>
            <w:pPr>
              <w:spacing w:after="0"/>
              <w:rPr>
                <w:sz w:val="24"/>
                <w:szCs w:val="24"/>
                <w:color w:val="auto"/>
              </w:rPr>
            </w:pPr>
          </w:p>
        </w:tc>
        <w:tc>
          <w:tcPr>
            <w:tcW w:w="680" w:type="dxa"/>
            <w:vAlign w:val="bottom"/>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45,325</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680" w:type="dxa"/>
            <w:vAlign w:val="bottom"/>
            <w:tcBorders>
              <w:bottom w:val="single" w:sz="8" w:color="E9E9E9"/>
            </w:tcBorders>
            <w:gridSpan w:val="2"/>
          </w:tcPr>
          <w:p>
            <w:pPr>
              <w:ind w:left="40"/>
              <w:spacing w:after="0"/>
              <w:rPr>
                <w:sz w:val="20"/>
                <w:szCs w:val="20"/>
                <w:color w:val="auto"/>
              </w:rPr>
            </w:pPr>
            <w:r>
              <w:rPr>
                <w:rFonts w:ascii="Times New Roman" w:cs="Times New Roman" w:eastAsia="Times New Roman" w:hAnsi="Times New Roman"/>
                <w:sz w:val="18"/>
                <w:szCs w:val="18"/>
                <w:color w:val="auto"/>
              </w:rPr>
              <w:t>Other Long-Term Assets</w:t>
            </w:r>
          </w:p>
        </w:tc>
        <w:tc>
          <w:tcPr>
            <w:tcW w:w="360" w:type="dxa"/>
            <w:vAlign w:val="bottom"/>
            <w:tcBorders>
              <w:bottom w:val="single" w:sz="8" w:color="E9E9E9"/>
            </w:tcBorders>
          </w:tcPr>
          <w:p>
            <w:pPr>
              <w:spacing w:after="0"/>
              <w:rPr>
                <w:sz w:val="23"/>
                <w:szCs w:val="23"/>
                <w:color w:val="auto"/>
              </w:rPr>
            </w:pPr>
          </w:p>
        </w:tc>
        <w:tc>
          <w:tcPr>
            <w:tcW w:w="600" w:type="dxa"/>
            <w:vAlign w:val="bottom"/>
            <w:tcBorders>
              <w:bottom w:val="single" w:sz="8" w:color="E9E9E9"/>
            </w:tcBorders>
          </w:tcPr>
          <w:p>
            <w:pPr>
              <w:spacing w:after="0"/>
              <w:rPr>
                <w:sz w:val="23"/>
                <w:szCs w:val="23"/>
                <w:color w:val="auto"/>
              </w:rPr>
            </w:pPr>
          </w:p>
        </w:tc>
        <w:tc>
          <w:tcPr>
            <w:tcW w:w="220" w:type="dxa"/>
            <w:vAlign w:val="bottom"/>
            <w:tcBorders>
              <w:bottom w:val="single" w:sz="8" w:color="E9E9E9"/>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8,154</w:t>
            </w:r>
          </w:p>
        </w:tc>
        <w:tc>
          <w:tcPr>
            <w:tcW w:w="60" w:type="dxa"/>
            <w:vAlign w:val="bottom"/>
            <w:tcBorders>
              <w:bottom w:val="single" w:sz="8" w:color="E9E9E9"/>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9,936</w:t>
            </w: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Borders>
              <w:bottom w:val="single" w:sz="8" w:color="E9E9E9"/>
            </w:tcBorders>
            <w:shd w:val="clear" w:color="auto" w:fill="E9E9E9"/>
          </w:tcPr>
          <w:p>
            <w:pPr>
              <w:spacing w:after="0"/>
              <w:rPr>
                <w:sz w:val="24"/>
                <w:szCs w:val="24"/>
                <w:color w:val="auto"/>
              </w:rPr>
            </w:pPr>
          </w:p>
        </w:tc>
        <w:tc>
          <w:tcPr>
            <w:tcW w:w="2380" w:type="dxa"/>
            <w:vAlign w:val="bottom"/>
            <w:tcBorders>
              <w:bottom w:val="single" w:sz="8" w:color="E9E9E9"/>
            </w:tcBorders>
            <w:shd w:val="clear" w:color="auto" w:fill="E9E9E9"/>
          </w:tcPr>
          <w:p>
            <w:pPr>
              <w:ind w:left="100"/>
              <w:spacing w:after="0"/>
              <w:rPr>
                <w:sz w:val="20"/>
                <w:szCs w:val="20"/>
                <w:color w:val="auto"/>
              </w:rPr>
            </w:pPr>
            <w:r>
              <w:rPr>
                <w:rFonts w:ascii="Times New Roman" w:cs="Times New Roman" w:eastAsia="Times New Roman" w:hAnsi="Times New Roman"/>
                <w:sz w:val="20"/>
                <w:szCs w:val="20"/>
                <w:color w:val="auto"/>
              </w:rPr>
              <w:t>Total other long-term assets</w:t>
            </w:r>
          </w:p>
        </w:tc>
        <w:tc>
          <w:tcPr>
            <w:tcW w:w="360" w:type="dxa"/>
            <w:vAlign w:val="bottom"/>
            <w:tcBorders>
              <w:bottom w:val="single" w:sz="8" w:color="E9E9E9"/>
            </w:tcBorders>
            <w:shd w:val="clear" w:color="auto" w:fill="E9E9E9"/>
          </w:tcPr>
          <w:p>
            <w:pPr>
              <w:spacing w:after="0"/>
              <w:rPr>
                <w:sz w:val="24"/>
                <w:szCs w:val="24"/>
                <w:color w:val="auto"/>
              </w:rPr>
            </w:pPr>
          </w:p>
        </w:tc>
        <w:tc>
          <w:tcPr>
            <w:tcW w:w="820" w:type="dxa"/>
            <w:vAlign w:val="bottom"/>
            <w:tcBorders>
              <w:bottom w:val="single" w:sz="8" w:color="E9E9E9"/>
            </w:tcBorders>
            <w:gridSpan w:val="2"/>
            <w:shd w:val="clear" w:color="auto" w:fill="E9E9E9"/>
          </w:tcPr>
          <w:p>
            <w:pPr>
              <w:spacing w:after="0"/>
              <w:rPr>
                <w:sz w:val="24"/>
                <w:szCs w:val="24"/>
                <w:color w:val="auto"/>
              </w:rPr>
            </w:pPr>
          </w:p>
        </w:tc>
        <w:tc>
          <w:tcPr>
            <w:tcW w:w="260" w:type="dxa"/>
            <w:vAlign w:val="bottom"/>
            <w:tcBorders>
              <w:bottom w:val="single" w:sz="8" w:color="auto"/>
            </w:tcBorders>
            <w:shd w:val="clear" w:color="auto" w:fill="E9E9E9"/>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gridSpan w:val="4"/>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44,237</w:t>
            </w:r>
          </w:p>
        </w:tc>
        <w:tc>
          <w:tcPr>
            <w:tcW w:w="60" w:type="dxa"/>
            <w:vAlign w:val="bottom"/>
            <w:tcBorders>
              <w:bottom w:val="single" w:sz="8" w:color="E9E9E9"/>
            </w:tcBorders>
            <w:shd w:val="clear" w:color="auto" w:fill="E9E9E9"/>
          </w:tcPr>
          <w:p>
            <w:pPr>
              <w:spacing w:after="0"/>
              <w:rPr>
                <w:sz w:val="24"/>
                <w:szCs w:val="24"/>
                <w:color w:val="auto"/>
              </w:rPr>
            </w:pPr>
          </w:p>
        </w:tc>
        <w:tc>
          <w:tcPr>
            <w:tcW w:w="60" w:type="dxa"/>
            <w:vAlign w:val="bottom"/>
            <w:tcBorders>
              <w:bottom w:val="single" w:sz="8" w:color="auto"/>
            </w:tcBorders>
            <w:shd w:val="clear" w:color="auto" w:fill="E9E9E9"/>
          </w:tcPr>
          <w:p>
            <w:pPr>
              <w:spacing w:after="0"/>
              <w:rPr>
                <w:sz w:val="24"/>
                <w:szCs w:val="24"/>
                <w:color w:val="auto"/>
              </w:rPr>
            </w:pPr>
          </w:p>
        </w:tc>
        <w:tc>
          <w:tcPr>
            <w:tcW w:w="140" w:type="dxa"/>
            <w:vAlign w:val="bottom"/>
            <w:tcBorders>
              <w:bottom w:val="single" w:sz="8" w:color="auto"/>
            </w:tcBorders>
            <w:gridSpan w:val="2"/>
            <w:shd w:val="clear" w:color="auto" w:fill="E9E9E9"/>
          </w:tcPr>
          <w:p>
            <w:pPr>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Borders>
              <w:bottom w:val="single" w:sz="8" w:color="auto"/>
            </w:tcBorders>
            <w:shd w:val="clear" w:color="auto" w:fill="E9E9E9"/>
          </w:tcPr>
          <w:p>
            <w:pPr>
              <w:spacing w:after="0"/>
              <w:rPr>
                <w:sz w:val="24"/>
                <w:szCs w:val="24"/>
                <w:color w:val="auto"/>
              </w:rPr>
            </w:pPr>
          </w:p>
        </w:tc>
        <w:tc>
          <w:tcPr>
            <w:tcW w:w="680" w:type="dxa"/>
            <w:vAlign w:val="bottom"/>
            <w:tcBorders>
              <w:bottom w:val="single" w:sz="8" w:color="auto"/>
            </w:tcBorders>
            <w:gridSpan w:val="2"/>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55,261</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3604895</wp:posOffset>
            </wp:positionH>
            <wp:positionV relativeFrom="paragraph">
              <wp:posOffset>-2310765</wp:posOffset>
            </wp:positionV>
            <wp:extent cx="1640205" cy="501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640205" cy="50165"/>
                    </a:xfrm>
                    <a:prstGeom prst="rect">
                      <a:avLst/>
                    </a:prstGeom>
                    <a:noFill/>
                  </pic:spPr>
                </pic:pic>
              </a:graphicData>
            </a:graphic>
          </wp:anchor>
        </w:drawing>
        <w:drawing>
          <wp:anchor simplePos="0" relativeHeight="251657728" behindDoc="1" locked="0" layoutInCell="0" allowOverlap="1">
            <wp:simplePos x="0" y="0"/>
            <wp:positionH relativeFrom="column">
              <wp:posOffset>3744595</wp:posOffset>
            </wp:positionH>
            <wp:positionV relativeFrom="paragraph">
              <wp:posOffset>-752475</wp:posOffset>
            </wp:positionV>
            <wp:extent cx="1696085" cy="501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696085" cy="50165"/>
                    </a:xfrm>
                    <a:prstGeom prst="rect">
                      <a:avLst/>
                    </a:prstGeom>
                    <a:noFill/>
                  </pic:spPr>
                </pic:pic>
              </a:graphicData>
            </a:graphic>
          </wp:anchor>
        </w:drawing>
        <w:drawing>
          <wp:anchor simplePos="0" relativeHeight="251657728" behindDoc="1" locked="0" layoutInCell="0" allowOverlap="1">
            <wp:simplePos x="0" y="0"/>
            <wp:positionH relativeFrom="column">
              <wp:posOffset>3744595</wp:posOffset>
            </wp:positionH>
            <wp:positionV relativeFrom="paragraph">
              <wp:posOffset>-43180</wp:posOffset>
            </wp:positionV>
            <wp:extent cx="1696085" cy="501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696085" cy="50165"/>
                    </a:xfrm>
                    <a:prstGeom prst="rect">
                      <a:avLst/>
                    </a:prstGeom>
                    <a:noFill/>
                  </pic:spPr>
                </pic:pic>
              </a:graphicData>
            </a:graphic>
          </wp:anchor>
        </w:drawing>
      </w:r>
    </w:p>
    <w:p>
      <w:pPr>
        <w:sectPr>
          <w:pgSz w:w="11880" w:h="15480" w:orient="portrait"/>
          <w:cols w:equalWidth="0" w:num="1">
            <w:col w:w="10340"/>
          </w:cols>
          <w:pgMar w:left="640" w:top="622"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115</w:t>
      </w:r>
    </w:p>
    <w:p>
      <w:pPr>
        <w:sectPr>
          <w:pgSz w:w="11880" w:h="15480" w:orient="portrait"/>
          <w:cols w:equalWidth="0" w:num="1">
            <w:col w:w="10340"/>
          </w:cols>
          <w:pgMar w:left="640" w:top="622" w:right="900" w:bottom="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20"/>
          <w:szCs w:val="20"/>
          <w:b w:val="1"/>
          <w:bCs w:val="1"/>
          <w:color w:val="auto"/>
        </w:rPr>
        <w:t>18. Net Income Per Common Share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6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A summary of net income per common share is presented below:</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443"/>
        </w:trPr>
        <w:tc>
          <w:tcPr>
            <w:tcW w:w="66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80" w:type="dxa"/>
            <w:vAlign w:val="bottom"/>
            <w:tcBorders>
              <w:bottom w:val="single" w:sz="8" w:color="auto"/>
            </w:tcBorders>
          </w:tcPr>
          <w:p>
            <w:pPr>
              <w:spacing w:after="0"/>
              <w:rPr>
                <w:sz w:val="24"/>
                <w:szCs w:val="24"/>
                <w:color w:val="auto"/>
              </w:rPr>
            </w:pPr>
          </w:p>
        </w:tc>
      </w:tr>
      <w:tr>
        <w:trPr>
          <w:trHeight w:val="274"/>
        </w:trPr>
        <w:tc>
          <w:tcPr>
            <w:tcW w:w="6600" w:type="dxa"/>
            <w:vAlign w:val="bottom"/>
            <w:tcBorders>
              <w:bottom w:val="single" w:sz="8" w:color="E9E9E9"/>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(in thousands, except per share amounts)</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Borders>
              <w:bottom w:val="single" w:sz="8" w:color="E9E9E9"/>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Borders>
              <w:bottom w:val="single" w:sz="8" w:color="E9E9E9"/>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20"/>
                <w:szCs w:val="20"/>
                <w:b w:val="1"/>
                <w:bCs w:val="1"/>
                <w:color w:val="auto"/>
                <w:w w:val="99"/>
              </w:rPr>
              <w:t>2022</w:t>
            </w:r>
          </w:p>
        </w:tc>
      </w:tr>
      <w:tr>
        <w:trPr>
          <w:trHeight w:val="294"/>
        </w:trPr>
        <w:tc>
          <w:tcPr>
            <w:tcW w:w="660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Net income</w:t>
            </w:r>
          </w:p>
        </w:tc>
        <w:tc>
          <w:tcPr>
            <w:tcW w:w="300" w:type="dxa"/>
            <w:vAlign w:val="bottom"/>
            <w:shd w:val="clear" w:color="auto" w:fill="E9E9E9"/>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312,442</w:t>
            </w:r>
          </w:p>
        </w:tc>
        <w:tc>
          <w:tcPr>
            <w:tcW w:w="380" w:type="dxa"/>
            <w:vAlign w:val="bottom"/>
            <w:gridSpan w:val="2"/>
            <w:shd w:val="clear" w:color="auto" w:fill="E9E9E9"/>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326,661</w:t>
            </w:r>
          </w:p>
        </w:tc>
        <w:tc>
          <w:tcPr>
            <w:tcW w:w="480" w:type="dxa"/>
            <w:vAlign w:val="bottom"/>
            <w:gridSpan w:val="2"/>
            <w:shd w:val="clear" w:color="auto" w:fill="E9E9E9"/>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28,067</w:t>
            </w:r>
          </w:p>
        </w:tc>
      </w:tr>
      <w:tr>
        <w:trPr>
          <w:trHeight w:val="265"/>
        </w:trPr>
        <w:tc>
          <w:tcPr>
            <w:tcW w:w="6600" w:type="dxa"/>
            <w:vAlign w:val="bottom"/>
            <w:tcBorders>
              <w:top w:val="single" w:sz="8" w:color="E9E9E9"/>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80" w:type="dxa"/>
            <w:vAlign w:val="bottom"/>
            <w:tcBorders>
              <w:top w:val="single" w:sz="8" w:color="E9E9E9"/>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80" w:type="dxa"/>
            <w:vAlign w:val="bottom"/>
            <w:tcBorders>
              <w:top w:val="single" w:sz="8" w:color="E9E9E9"/>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r>
      <w:tr>
        <w:trPr>
          <w:trHeight w:val="294"/>
        </w:trPr>
        <w:tc>
          <w:tcPr>
            <w:tcW w:w="660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Basic weighted-average common shares outstanding</w:t>
            </w:r>
          </w:p>
        </w:tc>
        <w:tc>
          <w:tcPr>
            <w:tcW w:w="300" w:type="dxa"/>
            <w:vAlign w:val="bottom"/>
            <w:shd w:val="clear" w:color="auto" w:fill="E9E9E9"/>
          </w:tcPr>
          <w:p>
            <w:pPr>
              <w:spacing w:after="0"/>
              <w:rPr>
                <w:sz w:val="24"/>
                <w:szCs w:val="24"/>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69,199</w:t>
            </w:r>
          </w:p>
        </w:tc>
        <w:tc>
          <w:tcPr>
            <w:tcW w:w="80" w:type="dxa"/>
            <w:vAlign w:val="bottom"/>
            <w:shd w:val="clear" w:color="auto" w:fill="E9E9E9"/>
          </w:tcPr>
          <w:p>
            <w:pPr>
              <w:spacing w:after="0"/>
              <w:rPr>
                <w:sz w:val="24"/>
                <w:szCs w:val="24"/>
                <w:color w:val="auto"/>
              </w:rPr>
            </w:pPr>
          </w:p>
        </w:tc>
        <w:tc>
          <w:tcPr>
            <w:tcW w:w="300" w:type="dxa"/>
            <w:vAlign w:val="bottom"/>
            <w:shd w:val="clear" w:color="auto" w:fill="E9E9E9"/>
          </w:tcPr>
          <w:p>
            <w:pPr>
              <w:spacing w:after="0"/>
              <w:rPr>
                <w:sz w:val="24"/>
                <w:szCs w:val="24"/>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68,266</w:t>
            </w:r>
          </w:p>
        </w:tc>
        <w:tc>
          <w:tcPr>
            <w:tcW w:w="80" w:type="dxa"/>
            <w:vAlign w:val="bottom"/>
            <w:shd w:val="clear" w:color="auto" w:fill="E9E9E9"/>
          </w:tcPr>
          <w:p>
            <w:pPr>
              <w:spacing w:after="0"/>
              <w:rPr>
                <w:sz w:val="24"/>
                <w:szCs w:val="24"/>
                <w:color w:val="auto"/>
              </w:rPr>
            </w:pPr>
          </w:p>
        </w:tc>
        <w:tc>
          <w:tcPr>
            <w:tcW w:w="400" w:type="dxa"/>
            <w:vAlign w:val="bottom"/>
            <w:shd w:val="clear" w:color="auto" w:fill="E9E9E9"/>
          </w:tcPr>
          <w:p>
            <w:pPr>
              <w:spacing w:after="0"/>
              <w:rPr>
                <w:sz w:val="24"/>
                <w:szCs w:val="24"/>
                <w:color w:val="auto"/>
              </w:rPr>
            </w:pPr>
          </w:p>
        </w:tc>
        <w:tc>
          <w:tcPr>
            <w:tcW w:w="8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68,487</w:t>
            </w:r>
          </w:p>
        </w:tc>
      </w:tr>
      <w:tr>
        <w:trPr>
          <w:trHeight w:val="287"/>
        </w:trPr>
        <w:tc>
          <w:tcPr>
            <w:tcW w:w="6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Effect of dilutive stock options</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439</w:t>
            </w:r>
          </w:p>
        </w:tc>
      </w:tr>
      <w:tr>
        <w:trPr>
          <w:trHeight w:val="301"/>
        </w:trPr>
        <w:tc>
          <w:tcPr>
            <w:tcW w:w="6600" w:type="dxa"/>
            <w:vAlign w:val="bottom"/>
            <w:shd w:val="clear" w:color="auto" w:fill="E9E9E9"/>
          </w:tcPr>
          <w:p>
            <w:pPr>
              <w:ind w:left="200"/>
              <w:spacing w:after="0"/>
              <w:rPr>
                <w:sz w:val="20"/>
                <w:szCs w:val="20"/>
                <w:color w:val="auto"/>
              </w:rPr>
            </w:pPr>
            <w:r>
              <w:rPr>
                <w:rFonts w:ascii="Times New Roman" w:cs="Times New Roman" w:eastAsia="Times New Roman" w:hAnsi="Times New Roman"/>
                <w:sz w:val="20"/>
                <w:szCs w:val="20"/>
                <w:color w:val="auto"/>
              </w:rPr>
              <w:t>Effect of dilutive restricted stock</w:t>
            </w:r>
          </w:p>
        </w:tc>
        <w:tc>
          <w:tcPr>
            <w:tcW w:w="300" w:type="dxa"/>
            <w:vAlign w:val="bottom"/>
            <w:shd w:val="clear" w:color="auto" w:fill="E9E9E9"/>
          </w:tcPr>
          <w:p>
            <w:pPr>
              <w:spacing w:after="0"/>
              <w:rPr>
                <w:sz w:val="24"/>
                <w:szCs w:val="24"/>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1,433</w:t>
            </w:r>
          </w:p>
        </w:tc>
        <w:tc>
          <w:tcPr>
            <w:tcW w:w="80" w:type="dxa"/>
            <w:vAlign w:val="bottom"/>
            <w:shd w:val="clear" w:color="auto" w:fill="E9E9E9"/>
          </w:tcPr>
          <w:p>
            <w:pPr>
              <w:spacing w:after="0"/>
              <w:rPr>
                <w:sz w:val="24"/>
                <w:szCs w:val="24"/>
                <w:color w:val="auto"/>
              </w:rPr>
            </w:pPr>
          </w:p>
        </w:tc>
        <w:tc>
          <w:tcPr>
            <w:tcW w:w="300" w:type="dxa"/>
            <w:vAlign w:val="bottom"/>
            <w:shd w:val="clear" w:color="auto" w:fill="E9E9E9"/>
          </w:tcPr>
          <w:p>
            <w:pPr>
              <w:spacing w:after="0"/>
              <w:rPr>
                <w:sz w:val="24"/>
                <w:szCs w:val="24"/>
                <w:color w:val="auto"/>
              </w:rPr>
            </w:pP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1,428</w:t>
            </w:r>
          </w:p>
        </w:tc>
        <w:tc>
          <w:tcPr>
            <w:tcW w:w="80" w:type="dxa"/>
            <w:vAlign w:val="bottom"/>
            <w:shd w:val="clear" w:color="auto" w:fill="E9E9E9"/>
          </w:tcPr>
          <w:p>
            <w:pPr>
              <w:spacing w:after="0"/>
              <w:rPr>
                <w:sz w:val="24"/>
                <w:szCs w:val="24"/>
                <w:color w:val="auto"/>
              </w:rPr>
            </w:pPr>
          </w:p>
        </w:tc>
        <w:tc>
          <w:tcPr>
            <w:tcW w:w="400" w:type="dxa"/>
            <w:vAlign w:val="bottom"/>
            <w:shd w:val="clear" w:color="auto" w:fill="E9E9E9"/>
          </w:tcPr>
          <w:p>
            <w:pPr>
              <w:spacing w:after="0"/>
              <w:rPr>
                <w:sz w:val="24"/>
                <w:szCs w:val="24"/>
                <w:color w:val="auto"/>
              </w:rPr>
            </w:pPr>
          </w:p>
        </w:tc>
        <w:tc>
          <w:tcPr>
            <w:tcW w:w="8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1,745</w:t>
            </w:r>
          </w:p>
        </w:tc>
      </w:tr>
      <w:tr>
        <w:trPr>
          <w:trHeight w:val="284"/>
        </w:trPr>
        <w:tc>
          <w:tcPr>
            <w:tcW w:w="6600" w:type="dxa"/>
            <w:vAlign w:val="bottom"/>
            <w:tcBorders>
              <w:bottom w:val="single" w:sz="8" w:color="E9E9E9"/>
            </w:tcBorders>
          </w:tcPr>
          <w:p>
            <w:pPr>
              <w:ind w:left="200"/>
              <w:spacing w:after="0"/>
              <w:rPr>
                <w:sz w:val="20"/>
                <w:szCs w:val="20"/>
                <w:color w:val="auto"/>
              </w:rPr>
            </w:pPr>
            <w:r>
              <w:rPr>
                <w:rFonts w:ascii="Times New Roman" w:cs="Times New Roman" w:eastAsia="Times New Roman" w:hAnsi="Times New Roman"/>
                <w:sz w:val="20"/>
                <w:szCs w:val="20"/>
                <w:color w:val="auto"/>
              </w:rPr>
              <w:t>Effect of convertible debt instrument</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80" w:type="dxa"/>
            <w:vAlign w:val="bottom"/>
            <w:tcBorders>
              <w:bottom w:val="single" w:sz="8" w:color="E9E9E9"/>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Borders>
              <w:bottom w:val="single" w:sz="8" w:color="E9E9E9"/>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4"/>
        </w:trPr>
        <w:tc>
          <w:tcPr>
            <w:tcW w:w="6600" w:type="dxa"/>
            <w:vAlign w:val="bottom"/>
            <w:tcBorders>
              <w:bottom w:val="single" w:sz="8" w:color="E9E9E9"/>
            </w:tcBorders>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Diluted weighted-average common shares outstanding</w:t>
            </w:r>
          </w:p>
        </w:tc>
        <w:tc>
          <w:tcPr>
            <w:tcW w:w="300" w:type="dxa"/>
            <w:vAlign w:val="bottom"/>
            <w:tcBorders>
              <w:bottom w:val="single" w:sz="8" w:color="auto"/>
            </w:tcBorders>
            <w:shd w:val="clear" w:color="auto" w:fill="E9E9E9"/>
          </w:tcPr>
          <w:p>
            <w:pPr>
              <w:spacing w:after="0"/>
              <w:rPr>
                <w:sz w:val="24"/>
                <w:szCs w:val="24"/>
                <w:color w:val="auto"/>
              </w:rPr>
            </w:pPr>
          </w:p>
        </w:tc>
        <w:tc>
          <w:tcPr>
            <w:tcW w:w="9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71,651</w:t>
            </w:r>
          </w:p>
        </w:tc>
        <w:tc>
          <w:tcPr>
            <w:tcW w:w="80" w:type="dxa"/>
            <w:vAlign w:val="bottom"/>
            <w:tcBorders>
              <w:bottom w:val="single" w:sz="8" w:color="E9E9E9"/>
            </w:tcBorders>
            <w:shd w:val="clear" w:color="auto" w:fill="E9E9E9"/>
          </w:tcPr>
          <w:p>
            <w:pPr>
              <w:spacing w:after="0"/>
              <w:rPr>
                <w:sz w:val="24"/>
                <w:szCs w:val="24"/>
                <w:color w:val="auto"/>
              </w:rPr>
            </w:pPr>
          </w:p>
        </w:tc>
        <w:tc>
          <w:tcPr>
            <w:tcW w:w="300" w:type="dxa"/>
            <w:vAlign w:val="bottom"/>
            <w:tcBorders>
              <w:bottom w:val="single" w:sz="8" w:color="auto"/>
            </w:tcBorders>
            <w:shd w:val="clear" w:color="auto" w:fill="E9E9E9"/>
          </w:tcPr>
          <w:p>
            <w:pPr>
              <w:spacing w:after="0"/>
              <w:rPr>
                <w:sz w:val="24"/>
                <w:szCs w:val="24"/>
                <w:color w:val="auto"/>
              </w:rPr>
            </w:pPr>
          </w:p>
        </w:tc>
        <w:tc>
          <w:tcPr>
            <w:tcW w:w="9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70,239</w:t>
            </w:r>
          </w:p>
        </w:tc>
        <w:tc>
          <w:tcPr>
            <w:tcW w:w="80" w:type="dxa"/>
            <w:vAlign w:val="bottom"/>
            <w:tcBorders>
              <w:bottom w:val="single" w:sz="8" w:color="E9E9E9"/>
            </w:tcBorders>
            <w:shd w:val="clear" w:color="auto" w:fill="E9E9E9"/>
          </w:tcPr>
          <w:p>
            <w:pPr>
              <w:spacing w:after="0"/>
              <w:rPr>
                <w:sz w:val="24"/>
                <w:szCs w:val="24"/>
                <w:color w:val="auto"/>
              </w:rPr>
            </w:pPr>
          </w:p>
        </w:tc>
        <w:tc>
          <w:tcPr>
            <w:tcW w:w="400" w:type="dxa"/>
            <w:vAlign w:val="bottom"/>
            <w:tcBorders>
              <w:bottom w:val="single" w:sz="8" w:color="auto"/>
            </w:tcBorders>
            <w:shd w:val="clear" w:color="auto" w:fill="E9E9E9"/>
          </w:tcPr>
          <w:p>
            <w:pPr>
              <w:spacing w:after="0"/>
              <w:rPr>
                <w:sz w:val="24"/>
                <w:szCs w:val="24"/>
                <w:color w:val="auto"/>
              </w:rPr>
            </w:pPr>
          </w:p>
        </w:tc>
        <w:tc>
          <w:tcPr>
            <w:tcW w:w="88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70,671</w:t>
            </w:r>
          </w:p>
        </w:tc>
      </w:tr>
      <w:tr>
        <w:trPr>
          <w:trHeight w:val="265"/>
        </w:trPr>
        <w:tc>
          <w:tcPr>
            <w:tcW w:w="6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303"/>
        </w:trPr>
        <w:tc>
          <w:tcPr>
            <w:tcW w:w="660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Basic income per common share</w:t>
            </w:r>
          </w:p>
        </w:tc>
        <w:tc>
          <w:tcPr>
            <w:tcW w:w="300" w:type="dxa"/>
            <w:vAlign w:val="bottom"/>
            <w:shd w:val="clear" w:color="auto" w:fill="E9E9E9"/>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4.52</w:t>
            </w:r>
          </w:p>
        </w:tc>
        <w:tc>
          <w:tcPr>
            <w:tcW w:w="380" w:type="dxa"/>
            <w:vAlign w:val="bottom"/>
            <w:gridSpan w:val="2"/>
            <w:shd w:val="clear" w:color="auto" w:fill="E9E9E9"/>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4.79</w:t>
            </w:r>
          </w:p>
        </w:tc>
        <w:tc>
          <w:tcPr>
            <w:tcW w:w="480" w:type="dxa"/>
            <w:vAlign w:val="bottom"/>
            <w:gridSpan w:val="2"/>
            <w:shd w:val="clear" w:color="auto" w:fill="E9E9E9"/>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0.41</w:t>
            </w:r>
          </w:p>
        </w:tc>
      </w:tr>
      <w:tr>
        <w:trPr>
          <w:trHeight w:val="274"/>
        </w:trPr>
        <w:tc>
          <w:tcPr>
            <w:tcW w:w="6600" w:type="dxa"/>
            <w:vAlign w:val="bottom"/>
            <w:tcBorders>
              <w:top w:val="single" w:sz="8" w:color="E9E9E9"/>
              <w:bottom w:val="single" w:sz="8" w:color="E9E9E9"/>
            </w:tcBorders>
          </w:tcPr>
          <w:p>
            <w:pPr>
              <w:ind w:left="60"/>
              <w:spacing w:after="0"/>
              <w:rPr>
                <w:sz w:val="20"/>
                <w:szCs w:val="20"/>
                <w:color w:val="auto"/>
              </w:rPr>
            </w:pPr>
            <w:r>
              <w:rPr>
                <w:rFonts w:ascii="Times New Roman" w:cs="Times New Roman" w:eastAsia="Times New Roman" w:hAnsi="Times New Roman"/>
                <w:sz w:val="20"/>
                <w:szCs w:val="20"/>
                <w:color w:val="auto"/>
              </w:rPr>
              <w:t>Diluted income per common share</w:t>
            </w:r>
          </w:p>
        </w:tc>
        <w:tc>
          <w:tcPr>
            <w:tcW w:w="3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4.36</w:t>
            </w:r>
          </w:p>
        </w:tc>
        <w:tc>
          <w:tcPr>
            <w:tcW w:w="80" w:type="dxa"/>
            <w:vAlign w:val="bottom"/>
            <w:tcBorders>
              <w:top w:val="single" w:sz="8" w:color="E9E9E9"/>
              <w:bottom w:val="single" w:sz="8" w:color="E9E9E9"/>
            </w:tcBorders>
          </w:tcPr>
          <w:p>
            <w:pPr>
              <w:spacing w:after="0"/>
              <w:rPr>
                <w:sz w:val="23"/>
                <w:szCs w:val="23"/>
                <w:color w:val="auto"/>
              </w:rPr>
            </w:pPr>
          </w:p>
        </w:tc>
        <w:tc>
          <w:tcPr>
            <w:tcW w:w="3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4.65</w:t>
            </w:r>
          </w:p>
        </w:tc>
        <w:tc>
          <w:tcPr>
            <w:tcW w:w="80" w:type="dxa"/>
            <w:vAlign w:val="bottom"/>
            <w:tcBorders>
              <w:top w:val="single" w:sz="8" w:color="E9E9E9"/>
              <w:bottom w:val="single" w:sz="8" w:color="E9E9E9"/>
            </w:tcBorders>
          </w:tcPr>
          <w:p>
            <w:pPr>
              <w:spacing w:after="0"/>
              <w:rPr>
                <w:sz w:val="23"/>
                <w:szCs w:val="23"/>
                <w:color w:val="auto"/>
              </w:rPr>
            </w:pPr>
          </w:p>
        </w:tc>
        <w:tc>
          <w:tcPr>
            <w:tcW w:w="400" w:type="dxa"/>
            <w:vAlign w:val="bottom"/>
            <w:tcBorders>
              <w:top w:val="single" w:sz="8" w:color="auto"/>
              <w:bottom w:val="single" w:sz="8" w:color="auto"/>
            </w:tcBorders>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0.40</w:t>
            </w:r>
          </w:p>
        </w:tc>
      </w:tr>
      <w:tr>
        <w:trPr>
          <w:trHeight w:val="265"/>
        </w:trPr>
        <w:tc>
          <w:tcPr>
            <w:tcW w:w="6600" w:type="dxa"/>
            <w:vAlign w:val="bottom"/>
            <w:shd w:val="clear" w:color="auto" w:fill="E9E9E9"/>
          </w:tcPr>
          <w:p>
            <w:pPr>
              <w:spacing w:after="0"/>
              <w:rPr>
                <w:sz w:val="23"/>
                <w:szCs w:val="23"/>
                <w:color w:val="auto"/>
              </w:rPr>
            </w:pPr>
          </w:p>
        </w:tc>
        <w:tc>
          <w:tcPr>
            <w:tcW w:w="300" w:type="dxa"/>
            <w:vAlign w:val="bottom"/>
            <w:shd w:val="clear" w:color="auto" w:fill="E9E9E9"/>
          </w:tcPr>
          <w:p>
            <w:pPr>
              <w:spacing w:after="0"/>
              <w:rPr>
                <w:sz w:val="23"/>
                <w:szCs w:val="23"/>
                <w:color w:val="auto"/>
              </w:rPr>
            </w:pPr>
          </w:p>
        </w:tc>
        <w:tc>
          <w:tcPr>
            <w:tcW w:w="980" w:type="dxa"/>
            <w:vAlign w:val="bottom"/>
            <w:shd w:val="clear" w:color="auto" w:fill="E9E9E9"/>
          </w:tcPr>
          <w:p>
            <w:pPr>
              <w:spacing w:after="0"/>
              <w:rPr>
                <w:sz w:val="23"/>
                <w:szCs w:val="23"/>
                <w:color w:val="auto"/>
              </w:rPr>
            </w:pPr>
          </w:p>
        </w:tc>
        <w:tc>
          <w:tcPr>
            <w:tcW w:w="80" w:type="dxa"/>
            <w:vAlign w:val="bottom"/>
            <w:shd w:val="clear" w:color="auto" w:fill="E9E9E9"/>
          </w:tcPr>
          <w:p>
            <w:pPr>
              <w:spacing w:after="0"/>
              <w:rPr>
                <w:sz w:val="23"/>
                <w:szCs w:val="23"/>
                <w:color w:val="auto"/>
              </w:rPr>
            </w:pPr>
          </w:p>
        </w:tc>
        <w:tc>
          <w:tcPr>
            <w:tcW w:w="300" w:type="dxa"/>
            <w:vAlign w:val="bottom"/>
            <w:shd w:val="clear" w:color="auto" w:fill="E9E9E9"/>
          </w:tcPr>
          <w:p>
            <w:pPr>
              <w:spacing w:after="0"/>
              <w:rPr>
                <w:sz w:val="23"/>
                <w:szCs w:val="23"/>
                <w:color w:val="auto"/>
              </w:rPr>
            </w:pPr>
          </w:p>
        </w:tc>
        <w:tc>
          <w:tcPr>
            <w:tcW w:w="980" w:type="dxa"/>
            <w:vAlign w:val="bottom"/>
            <w:shd w:val="clear" w:color="auto" w:fill="E9E9E9"/>
          </w:tcPr>
          <w:p>
            <w:pPr>
              <w:spacing w:after="0"/>
              <w:rPr>
                <w:sz w:val="23"/>
                <w:szCs w:val="23"/>
                <w:color w:val="auto"/>
              </w:rPr>
            </w:pPr>
          </w:p>
        </w:tc>
        <w:tc>
          <w:tcPr>
            <w:tcW w:w="80" w:type="dxa"/>
            <w:vAlign w:val="bottom"/>
            <w:shd w:val="clear" w:color="auto" w:fill="E9E9E9"/>
          </w:tcPr>
          <w:p>
            <w:pPr>
              <w:spacing w:after="0"/>
              <w:rPr>
                <w:sz w:val="23"/>
                <w:szCs w:val="23"/>
                <w:color w:val="auto"/>
              </w:rPr>
            </w:pPr>
          </w:p>
        </w:tc>
        <w:tc>
          <w:tcPr>
            <w:tcW w:w="400" w:type="dxa"/>
            <w:vAlign w:val="bottom"/>
            <w:shd w:val="clear" w:color="auto" w:fill="E9E9E9"/>
          </w:tcPr>
          <w:p>
            <w:pPr>
              <w:spacing w:after="0"/>
              <w:rPr>
                <w:sz w:val="23"/>
                <w:szCs w:val="23"/>
                <w:color w:val="auto"/>
              </w:rPr>
            </w:pPr>
          </w:p>
        </w:tc>
        <w:tc>
          <w:tcPr>
            <w:tcW w:w="880" w:type="dxa"/>
            <w:vAlign w:val="bottom"/>
            <w:shd w:val="clear" w:color="auto" w:fill="E9E9E9"/>
          </w:tcPr>
          <w:p>
            <w:pPr>
              <w:spacing w:after="0"/>
              <w:rPr>
                <w:sz w:val="23"/>
                <w:szCs w:val="23"/>
                <w:color w:val="auto"/>
              </w:rPr>
            </w:pPr>
          </w:p>
        </w:tc>
      </w:tr>
      <w:tr>
        <w:trPr>
          <w:trHeight w:val="265"/>
        </w:trPr>
        <w:tc>
          <w:tcPr>
            <w:tcW w:w="6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Antidilutive securities excluded from diluted net income per common share</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891</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421</w:t>
            </w:r>
          </w:p>
        </w:tc>
        <w:tc>
          <w:tcPr>
            <w:tcW w:w="8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358</w:t>
            </w:r>
          </w:p>
        </w:tc>
      </w:tr>
      <w:tr>
        <w:trPr>
          <w:trHeight w:val="20"/>
        </w:trPr>
        <w:tc>
          <w:tcPr>
            <w:tcW w:w="6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4183380</wp:posOffset>
            </wp:positionH>
            <wp:positionV relativeFrom="paragraph">
              <wp:posOffset>-2096770</wp:posOffset>
            </wp:positionV>
            <wp:extent cx="2555240" cy="501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55240" cy="50165"/>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-976630</wp:posOffset>
            </wp:positionV>
            <wp:extent cx="2555240" cy="501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55240" cy="50165"/>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-603250</wp:posOffset>
            </wp:positionV>
            <wp:extent cx="2555240" cy="501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55240" cy="50165"/>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-416560</wp:posOffset>
            </wp:positionV>
            <wp:extent cx="2555240" cy="501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55240" cy="50165"/>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-43180</wp:posOffset>
            </wp:positionV>
            <wp:extent cx="2555240" cy="501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55240" cy="5016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Impact of the Convertible Notes</w:t>
      </w:r>
    </w:p>
    <w:p>
      <w:pPr>
        <w:spacing w:after="0" w:line="131" w:lineRule="exact"/>
        <w:rPr>
          <w:sz w:val="20"/>
          <w:szCs w:val="20"/>
          <w:color w:val="auto"/>
        </w:rPr>
      </w:pPr>
    </w:p>
    <w:p>
      <w:pPr>
        <w:ind w:right="20" w:firstLine="441"/>
        <w:spacing w:after="0" w:line="262" w:lineRule="auto"/>
        <w:rPr>
          <w:sz w:val="20"/>
          <w:szCs w:val="20"/>
          <w:color w:val="auto"/>
        </w:rPr>
      </w:pPr>
      <w:r>
        <w:rPr>
          <w:rFonts w:ascii="Times New Roman" w:cs="Times New Roman" w:eastAsia="Times New Roman" w:hAnsi="Times New Roman"/>
          <w:sz w:val="19"/>
          <w:szCs w:val="19"/>
          <w:color w:val="auto"/>
        </w:rPr>
        <w:t xml:space="preserve">The Company considered whether the notes are participating securities through the two-class method. Per the terms of the indenture governing the Notes’, the Company determined that if a cash dividend is paid that is greater than the then stock price, the holder of Notes will receive cash on an if-converted basis. While this feature is considered to be a participating right; basic earnings per share is only impacted if the Company’s earning exceeds the current share price, regardless of whether such dividend is declared. During the year ended December 31, 2024, no such dividend was declared. In addition, the Company is required to settle the principal amount of the Notes in cash upon conversion, and therefore, the Company uses the if-converted method for calculating any potential dilutive effect of the conversion option on diluted net income per share, if applicable, unless the application of the two-class method is dilutive. The conversion option will have a dilutive impact on net income per share of Common Stock when the average price per share of the Company’s Common Stock for a given period exceeds the conversion price of the Notes of $79.81 per share. See Note 12, </w:t>
      </w:r>
      <w:r>
        <w:rPr>
          <w:rFonts w:ascii="Times New Roman" w:cs="Times New Roman" w:eastAsia="Times New Roman" w:hAnsi="Times New Roman"/>
          <w:sz w:val="19"/>
          <w:szCs w:val="19"/>
          <w:i w:val="1"/>
          <w:iCs w:val="1"/>
          <w:color w:val="auto"/>
        </w:rPr>
        <w:t xml:space="preserve">“Long-Term Debt, Net, and Other Borrowings,” </w:t>
      </w:r>
      <w:r>
        <w:rPr>
          <w:rFonts w:ascii="Times New Roman" w:cs="Times New Roman" w:eastAsia="Times New Roman" w:hAnsi="Times New Roman"/>
          <w:sz w:val="19"/>
          <w:szCs w:val="19"/>
          <w:color w:val="auto"/>
        </w:rPr>
        <w:t>to these consolidated financial statement</w:t>
      </w:r>
      <w:r>
        <w:rPr>
          <w:rFonts w:ascii="Times New Roman" w:cs="Times New Roman" w:eastAsia="Times New Roman" w:hAnsi="Times New Roman"/>
          <w:sz w:val="19"/>
          <w:szCs w:val="19"/>
          <w:i w:val="1"/>
          <w:iCs w:val="1"/>
          <w:color w:val="auto"/>
        </w:rPr>
        <w:t xml:space="preserve">s </w:t>
      </w:r>
      <w:r>
        <w:rPr>
          <w:rFonts w:ascii="Times New Roman" w:cs="Times New Roman" w:eastAsia="Times New Roman" w:hAnsi="Times New Roman"/>
          <w:sz w:val="19"/>
          <w:szCs w:val="19"/>
          <w:color w:val="auto"/>
        </w:rPr>
        <w:t>for further discussion on the Notes.</w:t>
      </w:r>
    </w:p>
    <w:p>
      <w:pPr>
        <w:spacing w:after="0" w:line="195" w:lineRule="exact"/>
        <w:rPr>
          <w:sz w:val="20"/>
          <w:szCs w:val="20"/>
          <w:color w:val="auto"/>
        </w:rPr>
      </w:pPr>
    </w:p>
    <w:p>
      <w:pPr>
        <w:ind w:right="7520" w:firstLine="8"/>
        <w:spacing w:after="0" w:line="391" w:lineRule="auto"/>
        <w:tabs>
          <w:tab w:leader="none" w:pos="294" w:val="left"/>
        </w:tabs>
        <w:numPr>
          <w:ilvl w:val="0"/>
          <w:numId w:val="5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Commitments and Contingencies </w:t>
      </w:r>
      <w:r>
        <w:rPr>
          <w:rFonts w:ascii="Times New Roman" w:cs="Times New Roman" w:eastAsia="Times New Roman" w:hAnsi="Times New Roman"/>
          <w:sz w:val="19"/>
          <w:szCs w:val="19"/>
          <w:b w:val="1"/>
          <w:bCs w:val="1"/>
          <w:i w:val="1"/>
          <w:iCs w:val="1"/>
          <w:color w:val="auto"/>
        </w:rPr>
        <w:t>Purchase Commitments</w:t>
      </w:r>
    </w:p>
    <w:p>
      <w:pPr>
        <w:spacing w:after="0" w:line="1" w:lineRule="exact"/>
        <w:rPr>
          <w:sz w:val="20"/>
          <w:szCs w:val="20"/>
          <w:color w:val="auto"/>
        </w:rPr>
      </w:pPr>
    </w:p>
    <w:p>
      <w:pPr>
        <w:ind w:right="40" w:firstLine="441"/>
        <w:spacing w:after="0" w:line="271" w:lineRule="auto"/>
        <w:rPr>
          <w:sz w:val="20"/>
          <w:szCs w:val="20"/>
          <w:color w:val="auto"/>
        </w:rPr>
      </w:pPr>
      <w:r>
        <w:rPr>
          <w:rFonts w:ascii="Times New Roman" w:cs="Times New Roman" w:eastAsia="Times New Roman" w:hAnsi="Times New Roman"/>
          <w:sz w:val="20"/>
          <w:szCs w:val="20"/>
          <w:color w:val="auto"/>
        </w:rPr>
        <w:t>The Company has entered into purchasing arrangements in which minimum quantities of goods or services have been committed to be purchased on an annual basis.</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As of December 31, 2024, future payments required under purchase commitments are as follows:</w:t>
      </w:r>
    </w:p>
    <w:p>
      <w:pPr>
        <w:spacing w:after="0" w:line="44" w:lineRule="exact"/>
        <w:rPr>
          <w:sz w:val="20"/>
          <w:szCs w:val="20"/>
          <w:color w:val="auto"/>
        </w:rPr>
      </w:pPr>
    </w:p>
    <w:tbl>
      <w:tblPr>
        <w:tblLayout w:type="fixed"/>
        <w:tblInd w:w="2880" w:type="dxa"/>
        <w:tblCellMar>
          <w:top w:w="0" w:type="dxa"/>
          <w:left w:w="0" w:type="dxa"/>
          <w:bottom w:w="0" w:type="dxa"/>
          <w:right w:w="0" w:type="dxa"/>
        </w:tblCellMar>
      </w:tblPr>
      <w:tr>
        <w:trPr>
          <w:trHeight w:val="266"/>
        </w:trPr>
        <w:tc>
          <w:tcPr>
            <w:tcW w:w="35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220" w:type="dxa"/>
            <w:vAlign w:val="bottom"/>
          </w:tcPr>
          <w:p>
            <w:pPr>
              <w:spacing w:after="0"/>
              <w:rPr>
                <w:sz w:val="23"/>
                <w:szCs w:val="23"/>
                <w:color w:val="auto"/>
              </w:rPr>
            </w:pPr>
          </w:p>
        </w:tc>
        <w:tc>
          <w:tcPr>
            <w:tcW w:w="1060" w:type="dxa"/>
            <w:vAlign w:val="bottom"/>
          </w:tcPr>
          <w:p>
            <w:pPr>
              <w:jc w:val="right"/>
              <w:ind w:right="202"/>
              <w:spacing w:after="0"/>
              <w:rPr>
                <w:sz w:val="20"/>
                <w:szCs w:val="20"/>
                <w:color w:val="auto"/>
              </w:rPr>
            </w:pPr>
            <w:r>
              <w:rPr>
                <w:rFonts w:ascii="Times New Roman" w:cs="Times New Roman" w:eastAsia="Times New Roman" w:hAnsi="Times New Roman"/>
                <w:sz w:val="20"/>
                <w:szCs w:val="20"/>
                <w:b w:val="1"/>
                <w:bCs w:val="1"/>
                <w:color w:val="auto"/>
              </w:rPr>
              <w:t>Amount</w:t>
            </w:r>
          </w:p>
        </w:tc>
      </w:tr>
      <w:tr>
        <w:trPr>
          <w:trHeight w:val="301"/>
        </w:trPr>
        <w:tc>
          <w:tcPr>
            <w:tcW w:w="356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2025</w:t>
            </w:r>
          </w:p>
        </w:tc>
        <w:tc>
          <w:tcPr>
            <w:tcW w:w="22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5,915</w:t>
            </w:r>
          </w:p>
        </w:tc>
      </w:tr>
      <w:tr>
        <w:trPr>
          <w:trHeight w:val="287"/>
        </w:trPr>
        <w:tc>
          <w:tcPr>
            <w:tcW w:w="35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2026</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2,716</w:t>
            </w:r>
          </w:p>
        </w:tc>
      </w:tr>
      <w:tr>
        <w:trPr>
          <w:trHeight w:val="301"/>
        </w:trPr>
        <w:tc>
          <w:tcPr>
            <w:tcW w:w="3560" w:type="dxa"/>
            <w:vAlign w:val="bottom"/>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2027</w:t>
            </w:r>
          </w:p>
        </w:tc>
        <w:tc>
          <w:tcPr>
            <w:tcW w:w="220" w:type="dxa"/>
            <w:vAlign w:val="bottom"/>
            <w:shd w:val="clear" w:color="auto" w:fill="E9E9E9"/>
          </w:tcPr>
          <w:p>
            <w:pPr>
              <w:spacing w:after="0"/>
              <w:rPr>
                <w:sz w:val="24"/>
                <w:szCs w:val="24"/>
                <w:color w:val="auto"/>
              </w:rPr>
            </w:pPr>
          </w:p>
        </w:tc>
        <w:tc>
          <w:tcPr>
            <w:tcW w:w="1060" w:type="dxa"/>
            <w:vAlign w:val="bottom"/>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2,716</w:t>
            </w:r>
          </w:p>
        </w:tc>
      </w:tr>
      <w:tr>
        <w:trPr>
          <w:trHeight w:val="287"/>
        </w:trPr>
        <w:tc>
          <w:tcPr>
            <w:tcW w:w="35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2028</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9"/>
        </w:trPr>
        <w:tc>
          <w:tcPr>
            <w:tcW w:w="3560" w:type="dxa"/>
            <w:vAlign w:val="bottom"/>
            <w:tcBorders>
              <w:bottom w:val="single" w:sz="8" w:color="E9E9E9"/>
            </w:tcBorders>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2029 and thereafter</w:t>
            </w:r>
          </w:p>
        </w:tc>
        <w:tc>
          <w:tcPr>
            <w:tcW w:w="220" w:type="dxa"/>
            <w:vAlign w:val="bottom"/>
            <w:tcBorders>
              <w:bottom w:val="single" w:sz="8" w:color="auto"/>
            </w:tcBorders>
            <w:shd w:val="clear" w:color="auto" w:fill="E9E9E9"/>
          </w:tcPr>
          <w:p>
            <w:pPr>
              <w:spacing w:after="0"/>
              <w:rPr>
                <w:sz w:val="24"/>
                <w:szCs w:val="24"/>
                <w:color w:val="auto"/>
              </w:rPr>
            </w:pPr>
          </w:p>
        </w:tc>
        <w:tc>
          <w:tcPr>
            <w:tcW w:w="106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6"/>
        </w:trPr>
        <w:tc>
          <w:tcPr>
            <w:tcW w:w="35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Total</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11,347</w:t>
            </w:r>
          </w:p>
        </w:tc>
      </w:tr>
      <w:tr>
        <w:trPr>
          <w:trHeight w:val="20"/>
        </w:trPr>
        <w:tc>
          <w:tcPr>
            <w:tcW w:w="3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4071620</wp:posOffset>
            </wp:positionH>
            <wp:positionV relativeFrom="paragraph">
              <wp:posOffset>-43180</wp:posOffset>
            </wp:positionV>
            <wp:extent cx="837565" cy="501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37565" cy="50165"/>
                    </a:xfrm>
                    <a:prstGeom prst="rect">
                      <a:avLst/>
                    </a:prstGeom>
                    <a:noFill/>
                  </pic:spPr>
                </pic:pic>
              </a:graphicData>
            </a:graphic>
          </wp:anchor>
        </w:drawing>
      </w:r>
    </w:p>
    <w:p>
      <w:pPr>
        <w:spacing w:after="0" w:line="222" w:lineRule="exact"/>
        <w:rPr>
          <w:sz w:val="20"/>
          <w:szCs w:val="20"/>
          <w:color w:val="auto"/>
        </w:rPr>
      </w:pPr>
    </w:p>
    <w:p>
      <w:pPr>
        <w:jc w:val="both"/>
        <w:ind w:right="200" w:firstLine="441"/>
        <w:spacing w:after="0" w:line="258" w:lineRule="auto"/>
        <w:rPr>
          <w:sz w:val="20"/>
          <w:szCs w:val="20"/>
          <w:color w:val="auto"/>
        </w:rPr>
      </w:pPr>
      <w:r>
        <w:rPr>
          <w:rFonts w:ascii="Times New Roman" w:cs="Times New Roman" w:eastAsia="Times New Roman" w:hAnsi="Times New Roman"/>
          <w:sz w:val="20"/>
          <w:szCs w:val="20"/>
          <w:color w:val="auto"/>
        </w:rPr>
        <w:t>The Company has entered into agreements which contain certain percentage volume purchase requirements. The Company has excluded these future purchase commitments from the table above since there are no minimum purchase commitments or payments under these agreements.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License Agreements</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The Company has entered into license agreements in which fixed payments have been committed to be paid on an annual basis.</w:t>
      </w:r>
    </w:p>
    <w:p>
      <w:pPr>
        <w:sectPr>
          <w:pgSz w:w="11880" w:h="15480" w:orient="portrait"/>
          <w:cols w:equalWidth="0" w:num="1">
            <w:col w:w="10600"/>
          </w:cols>
          <w:pgMar w:left="640" w:top="615"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ectPr>
          <w:pgSz w:w="11880" w:h="15480" w:orient="portrait"/>
          <w:cols w:equalWidth="0" w:num="1">
            <w:col w:w="10600"/>
          </w:cols>
          <w:pgMar w:left="640" w:top="615" w:right="640" w:bottom="0" w:gutter="0" w:footer="0" w:header="0"/>
          <w:type w:val="continuous"/>
        </w:sectPr>
      </w:pPr>
    </w:p>
    <w:bookmarkStart w:id="122" w:name="page123"/>
    <w:bookmarkEnd w:id="122"/>
    <w:p>
      <w:pPr>
        <w:ind w:right="100" w:firstLine="441"/>
        <w:spacing w:after="0" w:line="254" w:lineRule="auto"/>
        <w:rPr>
          <w:sz w:val="20"/>
          <w:szCs w:val="20"/>
          <w:color w:val="auto"/>
        </w:rPr>
      </w:pPr>
      <w:r>
        <w:rPr>
          <w:rFonts w:ascii="Times New Roman" w:cs="Times New Roman" w:eastAsia="Times New Roman" w:hAnsi="Times New Roman"/>
          <w:sz w:val="20"/>
          <w:szCs w:val="20"/>
          <w:color w:val="auto"/>
        </w:rPr>
        <w:t>As of December 31, 2024, no future fixed payments are required under license agreements. The Company may be required to pay approximately $3.7 billion in contingent payments under the Company’s license agreements. These contingent payments include potential milestone or contractual payment obligations contingent upon the achievement or occurrence of future milestones or events and the amounts and timing of such potential obligations are unknown or uncertain.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Legal Proceedings</w:t>
      </w:r>
    </w:p>
    <w:p>
      <w:pPr>
        <w:spacing w:after="0" w:line="131" w:lineRule="exact"/>
        <w:rPr>
          <w:sz w:val="20"/>
          <w:szCs w:val="20"/>
          <w:color w:val="auto"/>
        </w:rPr>
      </w:pPr>
    </w:p>
    <w:p>
      <w:pPr>
        <w:ind w:right="40" w:firstLine="441"/>
        <w:spacing w:after="0" w:line="262" w:lineRule="auto"/>
        <w:rPr>
          <w:sz w:val="20"/>
          <w:szCs w:val="20"/>
          <w:color w:val="auto"/>
        </w:rPr>
      </w:pPr>
      <w:r>
        <w:rPr>
          <w:rFonts w:ascii="Times New Roman" w:cs="Times New Roman" w:eastAsia="Times New Roman" w:hAnsi="Times New Roman"/>
          <w:sz w:val="19"/>
          <w:szCs w:val="19"/>
          <w:color w:val="auto"/>
        </w:rPr>
        <w:t>From time to time, the Company is a party to various legal proceedings arising in the ordinary course of business. In addition, the Company has in the past been, and may in the future be, subject to investigations by governmental and regulatory authorities, which expose it to greater risks associated with litigation, regulatory or other proceedings, as a result of which the Company could be required to pay significant fines or penalties. The costs and outcome of litigation, regulatory or other proceedings cannot be predicted with certainty, and some lawsuits, claims, actions or proceedings may be disposed of unfavorably to the Company and could have a material adverse effect on the Company’s results of operations or financial condition. In addition, intellectual property disputes often have a risk of injunctive relief which, if imposed against the Company, could materially and adversely affect its financial condition or results of operations. If a matter is both probable to result in material liability and the amount of loss can be reasonably estimated, the Company estimates and discloses the possible material loss or range of loss. If such loss is not probable or cannot be reasonably estimated, a liability is not recorded in its consolidated financial statements.</w:t>
      </w:r>
    </w:p>
    <w:p>
      <w:pPr>
        <w:spacing w:after="0" w:line="202" w:lineRule="exact"/>
        <w:rPr>
          <w:sz w:val="20"/>
          <w:szCs w:val="20"/>
          <w:color w:val="auto"/>
        </w:rPr>
      </w:pPr>
    </w:p>
    <w:p>
      <w:pPr>
        <w:ind w:right="60" w:firstLine="441"/>
        <w:spacing w:after="0" w:line="250" w:lineRule="auto"/>
        <w:rPr>
          <w:sz w:val="20"/>
          <w:szCs w:val="20"/>
          <w:color w:val="auto"/>
        </w:rPr>
      </w:pPr>
      <w:r>
        <w:rPr>
          <w:rFonts w:ascii="Times New Roman" w:cs="Times New Roman" w:eastAsia="Times New Roman" w:hAnsi="Times New Roman"/>
          <w:sz w:val="20"/>
          <w:szCs w:val="20"/>
          <w:color w:val="auto"/>
        </w:rPr>
        <w:t>As of December 31, 2024, the Company did not have any material ongoing litigation to which the Company was a party. On January 26, 2024, the Company was sued in the United States District Court for the District of Delaware by Advanced Accelerator Applications USA, Inc. and Advanced Accelerator Applications SA, each a Novartis entity, for patent infringement in response to the filing of our Abbreviated New Drug Application and Paragraph IV certification in connection with PNT2003, consistent with the process established by the Hatch-Waxman Act. Because the outcome of litigation is uncertain, the Company cannot predict how or when this matter will ultimately be resolved.</w:t>
      </w:r>
    </w:p>
    <w:p>
      <w:pPr>
        <w:spacing w:after="0" w:line="209"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20"/>
          <w:szCs w:val="20"/>
          <w:color w:val="auto"/>
        </w:rPr>
        <w:t>On February 23, 2024, the Company filed a patent infringement lawsuit against a healthcare-related imaging software developer, and that developer filed a motion to dismiss the case based on grounds of invalidity for certain patents and failure to state a claim for infringement for other patents. The court dismissed the developer’s motion to dismiss as to invalidity, and granted the motion as to certain allegations of infringement. Because the outcome of litigation is uncertain, the Company cannot predict how or when this matter will ultimately be resolved.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 401(k) Plan</w:t>
      </w:r>
    </w:p>
    <w:p>
      <w:pPr>
        <w:spacing w:after="0" w:line="247" w:lineRule="exact"/>
        <w:rPr>
          <w:sz w:val="20"/>
          <w:szCs w:val="20"/>
          <w:color w:val="auto"/>
        </w:rPr>
      </w:pPr>
    </w:p>
    <w:p>
      <w:pPr>
        <w:ind w:right="80" w:firstLine="441"/>
        <w:spacing w:after="0" w:line="271" w:lineRule="auto"/>
        <w:rPr>
          <w:sz w:val="20"/>
          <w:szCs w:val="20"/>
          <w:color w:val="auto"/>
        </w:rPr>
      </w:pPr>
      <w:r>
        <w:rPr>
          <w:rFonts w:ascii="Times New Roman" w:cs="Times New Roman" w:eastAsia="Times New Roman" w:hAnsi="Times New Roman"/>
          <w:sz w:val="19"/>
          <w:szCs w:val="19"/>
          <w:color w:val="auto"/>
        </w:rPr>
        <w:t>The Company maintains a qualified 401(k) plan (the “401(k) Plan”) for its U.S. employees. The 401(k) Plan covers U.S. employees who meet certain eligibility requirements. Under the terms of the 401(k) Plan, the employees may elect to make tax-deferred contributions through payroll deductions within statutory and plan limits, and the Company may elect to make non-elective discretionary contributions. The Company may also make optional contributions to the 401(k) Plan for any plan year at its discretion.</w:t>
      </w:r>
    </w:p>
    <w:p>
      <w:pPr>
        <w:spacing w:after="0" w:line="189" w:lineRule="exact"/>
        <w:rPr>
          <w:sz w:val="20"/>
          <w:szCs w:val="20"/>
          <w:color w:val="auto"/>
        </w:rPr>
      </w:pPr>
    </w:p>
    <w:p>
      <w:pPr>
        <w:ind w:right="320" w:firstLine="441"/>
        <w:spacing w:after="0" w:line="271" w:lineRule="auto"/>
        <w:rPr>
          <w:sz w:val="20"/>
          <w:szCs w:val="20"/>
          <w:color w:val="auto"/>
        </w:rPr>
      </w:pPr>
      <w:r>
        <w:rPr>
          <w:rFonts w:ascii="Times New Roman" w:cs="Times New Roman" w:eastAsia="Times New Roman" w:hAnsi="Times New Roman"/>
          <w:sz w:val="20"/>
          <w:szCs w:val="20"/>
          <w:color w:val="auto"/>
        </w:rPr>
        <w:t>Expense recognized by the Company for matching contributions made to the 401(k) Plan was $5.8 million, $4.1 million, and $3.1 million for the years ended December 31, 2024, 2022 and 2021, respectively.</w:t>
      </w:r>
    </w:p>
    <w:p>
      <w:pPr>
        <w:sectPr>
          <w:pgSz w:w="11880" w:h="15480" w:orient="portrait"/>
          <w:cols w:equalWidth="0" w:num="1">
            <w:col w:w="10540"/>
          </w:cols>
          <w:pgMar w:left="640" w:top="622"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117</w:t>
      </w:r>
    </w:p>
    <w:p>
      <w:pPr>
        <w:sectPr>
          <w:pgSz w:w="11880" w:h="15480" w:orient="portrait"/>
          <w:cols w:equalWidth="0" w:num="1">
            <w:col w:w="10540"/>
          </w:cols>
          <w:pgMar w:left="640" w:top="622" w:right="700" w:bottom="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20"/>
          <w:szCs w:val="20"/>
          <w:b w:val="1"/>
          <w:bCs w:val="1"/>
          <w:color w:val="auto"/>
        </w:rPr>
        <w:t>21. Acquisition of Assets</w:t>
      </w:r>
    </w:p>
    <w:p>
      <w:pPr>
        <w:spacing w:after="0" w:line="247" w:lineRule="exact"/>
        <w:rPr>
          <w:sz w:val="20"/>
          <w:szCs w:val="20"/>
          <w:color w:val="auto"/>
        </w:rPr>
      </w:pPr>
    </w:p>
    <w:p>
      <w:pPr>
        <w:ind w:right="240" w:firstLine="441"/>
        <w:spacing w:after="0" w:line="258" w:lineRule="auto"/>
        <w:rPr>
          <w:sz w:val="20"/>
          <w:szCs w:val="20"/>
          <w:color w:val="auto"/>
        </w:rPr>
      </w:pPr>
      <w:r>
        <w:rPr>
          <w:rFonts w:ascii="Times New Roman" w:cs="Times New Roman" w:eastAsia="Times New Roman" w:hAnsi="Times New Roman"/>
          <w:sz w:val="20"/>
          <w:szCs w:val="20"/>
          <w:color w:val="auto"/>
        </w:rPr>
        <w:t>In December 2022, the Company made upfront payments of $260.0 million to POINT Biopharma Global Inc. (“POINT”) as a part of an asset acquisition with the potential for additional milestone payments of approximately $1.8 billion between the two licensed assets based on U.S. Food and Drug Administration (“FDA”) approval and net sales and commercial milestones.</w:t>
      </w:r>
    </w:p>
    <w:p>
      <w:pPr>
        <w:spacing w:after="0" w:line="82"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20"/>
          <w:szCs w:val="20"/>
          <w:color w:val="auto"/>
        </w:rPr>
        <w:t>Under the terms of the PNT2002 License Agreement, the Company paid POINT an upfront cash payment of $250.0 million, and could pay up to an additional $281.0 million in milestone payments upon the achievement of specified U.S. and ex-U.S. regulatory milestones related to PNT2002. POINT is also eligible to receive up to $1.3 billion in sales milestone payments upon the achievement of specified annual sales thresholds of PNT2002.</w:t>
      </w:r>
    </w:p>
    <w:p>
      <w:pPr>
        <w:spacing w:after="0" w:line="85" w:lineRule="exact"/>
        <w:rPr>
          <w:sz w:val="20"/>
          <w:szCs w:val="20"/>
          <w:color w:val="auto"/>
        </w:rPr>
      </w:pPr>
    </w:p>
    <w:p>
      <w:pPr>
        <w:ind w:right="120" w:firstLine="441"/>
        <w:spacing w:after="0" w:line="254" w:lineRule="auto"/>
        <w:rPr>
          <w:sz w:val="20"/>
          <w:szCs w:val="20"/>
          <w:color w:val="auto"/>
        </w:rPr>
      </w:pPr>
      <w:r>
        <w:rPr>
          <w:rFonts w:ascii="Times New Roman" w:cs="Times New Roman" w:eastAsia="Times New Roman" w:hAnsi="Times New Roman"/>
          <w:sz w:val="20"/>
          <w:szCs w:val="20"/>
          <w:color w:val="auto"/>
        </w:rPr>
        <w:t>Under the terms of the PNT2003 License Agreement, the Company paid POINT an upfront cash payment of $10.0 million, and could pay up to an additional $34.5 million in milestone payments upon the achievement of specified U.S. and ex-U.S. regulatory milestones related to PNT2003. POINT is also eligible to receive up to $275.0 million in sales milestone payments upon the achievement of specified annual sales thresholds of PNT2003.</w:t>
      </w:r>
    </w:p>
    <w:p>
      <w:pPr>
        <w:spacing w:after="0" w:line="85"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20"/>
          <w:szCs w:val="20"/>
          <w:color w:val="auto"/>
        </w:rPr>
        <w:t>Additionally, the Company will pay POINT royalties on net sales, beyond certain financial thresholds and subject to conditions, of 20% for PNT2002 and 15% for PNT2003. Costs of IPR&amp;D projects acquired as part of an asset acquisition that have no alternative future use are expensed when incurred, and therefore, a charge of $260.0 million was recognized in research and development expenses during the year ended December 31, 2022.</w:t>
      </w:r>
    </w:p>
    <w:p>
      <w:pPr>
        <w:spacing w:after="0" w:line="85"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20"/>
          <w:szCs w:val="20"/>
          <w:color w:val="auto"/>
        </w:rPr>
        <w:t>On February 6, 2023, the Company acquired Cerveau. Cerveau holds the rights under a license agreement to develop and commercialize MK-6240, an investigational late-stage F-18-labeled PET imaging agent that targets tau tangles in Alzheimer’s disease. The Company determined that upon review of its acquisition of Cerveau, the transaction did not meet the definition of a business combination and is therefore treated as an asset acquisition.</w:t>
      </w:r>
    </w:p>
    <w:p>
      <w:pPr>
        <w:spacing w:after="0" w:line="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In February 2023, the Company made an upfront payment of approximately $35.3 million to the stockholders of Cerveau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“Cerveau Stockholders”) and paid the Cerveau Stockholders an additional $10.0 million in May 2023 upon the successful completion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a technology transfer. The Company could pay up to an additional $51.0 million in milestone payments upon achievement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specified U.S. regulatory milestones related to MK-6240. The Cerveau Stockholders are also eligible to receive up to $1.2 billion in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sales milestone payments upon the achievement of specified annual commercial sales thresholds of MK-6240, as well as up to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$13.5 million in research revenue milestones upon achievement of specified annual research revenue thresholds. Additionally,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will pay to the Cerveau Stockholders up to double-digit royalty payments for research revenue and commercial sales.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Research revenue is derived from existing partnerships with pharmaceutical companies and academic institutions that use MK-6240 in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clinical trials. The purchase agreement pursuant to which the Company purchased Cerveau specified, among other things, that certain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Cerveau Stockholders provide transition and clinical development services for a prescribed time following the closing of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transaction.</w:t>
      </w:r>
    </w:p>
    <w:p>
      <w:pPr>
        <w:spacing w:after="0" w:line="240" w:lineRule="exact"/>
        <w:rPr>
          <w:sz w:val="20"/>
          <w:szCs w:val="20"/>
          <w:color w:val="auto"/>
        </w:rPr>
      </w:pPr>
    </w:p>
    <w:p>
      <w:pPr>
        <w:ind w:right="120" w:firstLine="441"/>
        <w:spacing w:after="0" w:line="247" w:lineRule="auto"/>
        <w:rPr>
          <w:sz w:val="20"/>
          <w:szCs w:val="20"/>
          <w:color w:val="auto"/>
        </w:rPr>
      </w:pPr>
      <w:r>
        <w:rPr>
          <w:rFonts w:ascii="Times New Roman" w:cs="Times New Roman" w:eastAsia="Times New Roman" w:hAnsi="Times New Roman"/>
          <w:sz w:val="20"/>
          <w:szCs w:val="20"/>
          <w:color w:val="auto"/>
        </w:rPr>
        <w:t>On January 8, 2024, the Company entered into an agreement with Perspective to participate in the next qualified financing to purchase the shares of Perspective common stock (“Perspective Shares”). On January 22, 2024, the Company purchased 56,342,355 Perspective Shares, representing 11.39% of the outstanding Perspective Shares, at the fair market offering price of $0.37 per share. Included within the agreement is a covenant which allows for the Company to designate one observer to Perspective’s board of directors. The observer has the option to attend any or all board meetings in a nonvoting capacity and the right to receive any board materials, except under certain instances where attorney-client privilege is necessary, where the material relates to a business or contractual relationship with the Company, to avoid bona fide conflict of interest, exposure of trade secrets or relating to a change of control transaction. The Company also purchased 60,431,039 Perspective Shares at a fair market purchase price of $0.95 per share as an investor in a private placement transaction on March 6, 2024, which resulted in the Company holding a cumulative 19.90% of the outstanding Perspective Shares (or 17.35% on a fully diluted basis) after giving effect to the closing of the private placement transaction. The Company holds less than 20% of the outstanding Perspective Shares and therefore does not have the ability to exercise significant influence over operating and financial policies of Perspective because the Company’s board observer has no voting rights and there is otherwise no participation in policy-making processes, no interchange of managerial personnel, and no sharing of technology between the Company and Perspective.</w:t>
      </w:r>
    </w:p>
    <w:p>
      <w:pPr>
        <w:spacing w:after="0" w:line="97" w:lineRule="exact"/>
        <w:rPr>
          <w:sz w:val="20"/>
          <w:szCs w:val="20"/>
          <w:color w:val="auto"/>
        </w:rPr>
      </w:pPr>
    </w:p>
    <w:p>
      <w:pPr>
        <w:ind w:right="580" w:firstLine="441"/>
        <w:spacing w:after="0" w:line="271" w:lineRule="auto"/>
        <w:rPr>
          <w:sz w:val="20"/>
          <w:szCs w:val="20"/>
          <w:color w:val="auto"/>
        </w:rPr>
      </w:pPr>
      <w:r>
        <w:rPr>
          <w:rFonts w:ascii="Times New Roman" w:cs="Times New Roman" w:eastAsia="Times New Roman" w:hAnsi="Times New Roman"/>
          <w:sz w:val="20"/>
          <w:szCs w:val="20"/>
          <w:color w:val="auto"/>
        </w:rPr>
        <w:t>Also effective January 8, 2024, the Company obtained the following options and rights from Perspective for an aggregate upfront payment of $28.0 million in cash:</w:t>
      </w:r>
    </w:p>
    <w:p>
      <w:pPr>
        <w:spacing w:after="0" w:line="104" w:lineRule="exact"/>
        <w:rPr>
          <w:sz w:val="20"/>
          <w:szCs w:val="20"/>
          <w:color w:val="auto"/>
        </w:rPr>
      </w:pPr>
    </w:p>
    <w:p>
      <w:pPr>
        <w:ind w:left="720" w:right="80" w:hanging="359"/>
        <w:spacing w:after="0" w:line="279" w:lineRule="auto"/>
        <w:tabs>
          <w:tab w:leader="none" w:pos="720" w:val="left"/>
        </w:tabs>
        <w:numPr>
          <w:ilvl w:val="0"/>
          <w:numId w:val="51"/>
        </w:numPr>
        <w:rPr>
          <w:rFonts w:ascii="Arial" w:cs="Arial" w:eastAsia="Arial" w:hAnsi="Arial"/>
          <w:sz w:val="24"/>
          <w:szCs w:val="24"/>
          <w:color w:val="auto"/>
        </w:rPr>
      </w:pPr>
      <w:r>
        <w:rPr>
          <w:rFonts w:ascii="Times New Roman" w:cs="Times New Roman" w:eastAsia="Times New Roman" w:hAnsi="Times New Roman"/>
          <w:sz w:val="20"/>
          <w:szCs w:val="20"/>
          <w:color w:val="auto"/>
        </w:rPr>
        <w:t>An exclusive option from Perspective to negotiate for an exclusive license under the rights of Perspective and its affiliates to Perspective’s Pb212-VMT-</w:t>
      </w:r>
      <w:r>
        <w:rPr>
          <w:rFonts w:ascii="Arial" w:cs="Arial" w:eastAsia="Arial" w:hAnsi="Arial"/>
          <w:sz w:val="20"/>
          <w:szCs w:val="20"/>
          <w:color w:val="auto"/>
        </w:rPr>
        <w:t>α</w:t>
      </w:r>
      <w:r>
        <w:rPr>
          <w:rFonts w:ascii="Times New Roman" w:cs="Times New Roman" w:eastAsia="Times New Roman" w:hAnsi="Times New Roman"/>
          <w:sz w:val="20"/>
          <w:szCs w:val="20"/>
          <w:color w:val="auto"/>
        </w:rPr>
        <w:t>-NET, a clinical stage alpha therapy developed for the treatment of neuroendocrine tumors, to develop, manufacture, commercialize and otherwise exploit the VMT-</w:t>
      </w:r>
      <w:r>
        <w:rPr>
          <w:rFonts w:ascii="Times New Roman" w:cs="Times New Roman" w:eastAsia="Times New Roman" w:hAnsi="Times New Roman"/>
          <w:sz w:val="20"/>
          <w:szCs w:val="20"/>
          <w:color w:val="auto"/>
        </w:rPr>
        <w:t>α</w:t>
      </w:r>
      <w:r>
        <w:rPr>
          <w:rFonts w:ascii="Times New Roman" w:cs="Times New Roman" w:eastAsia="Times New Roman" w:hAnsi="Times New Roman"/>
          <w:sz w:val="20"/>
          <w:szCs w:val="20"/>
          <w:color w:val="auto"/>
        </w:rPr>
        <w:t>-NET Product.</w:t>
      </w:r>
    </w:p>
    <w:p>
      <w:pPr>
        <w:spacing w:after="0" w:line="107" w:lineRule="exact"/>
        <w:rPr>
          <w:rFonts w:ascii="Arial" w:cs="Arial" w:eastAsia="Arial" w:hAnsi="Arial"/>
          <w:sz w:val="24"/>
          <w:szCs w:val="24"/>
          <w:color w:val="auto"/>
        </w:rPr>
      </w:pPr>
    </w:p>
    <w:p>
      <w:pPr>
        <w:ind w:left="720" w:right="240" w:hanging="359"/>
        <w:spacing w:after="0" w:line="279" w:lineRule="auto"/>
        <w:tabs>
          <w:tab w:leader="none" w:pos="720" w:val="left"/>
        </w:tabs>
        <w:numPr>
          <w:ilvl w:val="0"/>
          <w:numId w:val="51"/>
        </w:numPr>
        <w:rPr>
          <w:rFonts w:ascii="Arial" w:cs="Arial" w:eastAsia="Arial" w:hAnsi="Arial"/>
          <w:sz w:val="24"/>
          <w:szCs w:val="24"/>
          <w:color w:val="auto"/>
        </w:rPr>
      </w:pPr>
      <w:r>
        <w:rPr>
          <w:rFonts w:ascii="Times New Roman" w:cs="Times New Roman" w:eastAsia="Times New Roman" w:hAnsi="Times New Roman"/>
          <w:sz w:val="20"/>
          <w:szCs w:val="20"/>
          <w:color w:val="auto"/>
        </w:rPr>
        <w:t>A right to co-fund the investigational new drug application (“IND”) enabling studies for early-stage therapeutic candidates targeting prostate-specific membrane antigen and gastrin releasing peptide receptor and, prior to IND filing, a right to negotiate for an exclusive license to such candidates.</w:t>
      </w:r>
    </w:p>
    <w:p>
      <w:pPr>
        <w:sectPr>
          <w:pgSz w:w="11880" w:h="15480" w:orient="portrait"/>
          <w:cols w:equalWidth="0" w:num="1">
            <w:col w:w="10560"/>
          </w:cols>
          <w:pgMar w:left="640" w:top="615" w:right="680" w:bottom="0" w:gutter="0" w:footer="0" w:header="0"/>
        </w:sectPr>
      </w:pP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118</w:t>
      </w:r>
    </w:p>
    <w:p>
      <w:pPr>
        <w:sectPr>
          <w:pgSz w:w="11880" w:h="15480" w:orient="portrait"/>
          <w:cols w:equalWidth="0" w:num="1">
            <w:col w:w="10560"/>
          </w:cols>
          <w:pgMar w:left="640" w:top="615" w:right="680" w:bottom="0" w:gutter="0" w:footer="0" w:header="0"/>
          <w:type w:val="continuous"/>
        </w:sectPr>
      </w:pPr>
    </w:p>
    <w:bookmarkStart w:id="124" w:name="page125"/>
    <w:bookmarkEnd w:id="124"/>
    <w:p>
      <w:pPr>
        <w:ind w:left="720" w:right="20" w:hanging="359"/>
        <w:spacing w:after="0" w:line="273" w:lineRule="auto"/>
        <w:tabs>
          <w:tab w:leader="none" w:pos="720" w:val="left"/>
        </w:tabs>
        <w:numPr>
          <w:ilvl w:val="0"/>
          <w:numId w:val="52"/>
        </w:numPr>
        <w:rPr>
          <w:rFonts w:ascii="Arial" w:cs="Arial" w:eastAsia="Arial" w:hAnsi="Arial"/>
          <w:sz w:val="24"/>
          <w:szCs w:val="24"/>
          <w:color w:val="auto"/>
        </w:rPr>
      </w:pPr>
      <w:r>
        <w:rPr>
          <w:rFonts w:ascii="Times New Roman" w:cs="Times New Roman" w:eastAsia="Times New Roman" w:hAnsi="Times New Roman"/>
          <w:sz w:val="20"/>
          <w:szCs w:val="20"/>
          <w:color w:val="auto"/>
        </w:rPr>
        <w:t>A right of first offer and last look protections for any third party merger and acquisition transactions involving Perspective for a twelve-month period.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 of these options and rights have been exercised as of December 31, 2024.</w:t>
      </w:r>
    </w:p>
    <w:p>
      <w:pPr>
        <w:spacing w:after="0" w:line="123" w:lineRule="exact"/>
        <w:rPr>
          <w:sz w:val="20"/>
          <w:szCs w:val="20"/>
          <w:color w:val="auto"/>
        </w:rPr>
      </w:pPr>
    </w:p>
    <w:p>
      <w:pPr>
        <w:ind w:right="120" w:firstLine="441"/>
        <w:spacing w:after="0" w:line="298" w:lineRule="auto"/>
        <w:rPr>
          <w:sz w:val="20"/>
          <w:szCs w:val="20"/>
          <w:color w:val="auto"/>
        </w:rPr>
      </w:pPr>
      <w:r>
        <w:rPr>
          <w:rFonts w:ascii="Times New Roman" w:cs="Times New Roman" w:eastAsia="Times New Roman" w:hAnsi="Times New Roman"/>
          <w:sz w:val="19"/>
          <w:szCs w:val="19"/>
          <w:color w:val="auto"/>
        </w:rPr>
        <w:t>Costs of IPR&amp;D projects acquired as part of an asset acquisition that have no alternative future use are expensed when incurred, and therefore, a charge of $28.0 million was recognized in research and development expenses during the first quarter of 2024.</w:t>
      </w:r>
    </w:p>
    <w:p>
      <w:pPr>
        <w:spacing w:after="0" w:line="45"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20"/>
          <w:szCs w:val="20"/>
          <w:color w:val="auto"/>
        </w:rPr>
        <w:t xml:space="preserve">Also effective January 8, 2024, the Company entered into an agreement with Perspective to transfer the Somerset Facility and the associated assets at the Somerset Facility for $8.0 million. The transfer of the sublease and completion of the asset sale occurred on March 1, 2024 at which time the Company had no further continuing legal obligations related to the lease. See Note 7, </w:t>
      </w:r>
      <w:r>
        <w:rPr>
          <w:rFonts w:ascii="Times New Roman" w:cs="Times New Roman" w:eastAsia="Times New Roman" w:hAnsi="Times New Roman"/>
          <w:sz w:val="20"/>
          <w:szCs w:val="20"/>
          <w:i w:val="1"/>
          <w:iCs w:val="1"/>
          <w:color w:val="auto"/>
        </w:rPr>
        <w:t>“Property,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Plant and Equipment, Net” </w:t>
      </w:r>
      <w:r>
        <w:rPr>
          <w:rFonts w:ascii="Times New Roman" w:cs="Times New Roman" w:eastAsia="Times New Roman" w:hAnsi="Times New Roman"/>
          <w:sz w:val="20"/>
          <w:szCs w:val="20"/>
          <w:color w:val="auto"/>
        </w:rPr>
        <w:t>to these consolidated financial statements for additional details.</w:t>
      </w:r>
    </w:p>
    <w:p>
      <w:pPr>
        <w:spacing w:after="0" w:line="85" w:lineRule="exact"/>
        <w:rPr>
          <w:sz w:val="20"/>
          <w:szCs w:val="20"/>
          <w:color w:val="auto"/>
        </w:rPr>
      </w:pPr>
    </w:p>
    <w:p>
      <w:pPr>
        <w:ind w:right="680" w:firstLine="441"/>
        <w:spacing w:after="0" w:line="271" w:lineRule="auto"/>
        <w:rPr>
          <w:sz w:val="20"/>
          <w:szCs w:val="20"/>
          <w:color w:val="auto"/>
        </w:rPr>
      </w:pPr>
      <w:r>
        <w:rPr>
          <w:rFonts w:ascii="Times New Roman" w:cs="Times New Roman" w:eastAsia="Times New Roman" w:hAnsi="Times New Roman"/>
          <w:sz w:val="20"/>
          <w:szCs w:val="20"/>
          <w:color w:val="auto"/>
        </w:rPr>
        <w:t>On June 14, 2024 Perspective effected a 1-for-10 reverse stock split, after which the Company held 11,677,339 shares of Perspective’s common stock.</w:t>
      </w:r>
    </w:p>
    <w:p>
      <w:pPr>
        <w:spacing w:after="0" w:line="69" w:lineRule="exact"/>
        <w:rPr>
          <w:sz w:val="20"/>
          <w:szCs w:val="20"/>
          <w:color w:val="auto"/>
        </w:rPr>
      </w:pPr>
    </w:p>
    <w:p>
      <w:pPr>
        <w:ind w:right="40" w:firstLine="441"/>
        <w:spacing w:after="0" w:line="264" w:lineRule="auto"/>
        <w:rPr>
          <w:sz w:val="20"/>
          <w:szCs w:val="20"/>
          <w:color w:val="auto"/>
        </w:rPr>
      </w:pPr>
      <w:r>
        <w:rPr>
          <w:rFonts w:ascii="Times New Roman" w:cs="Times New Roman" w:eastAsia="Times New Roman" w:hAnsi="Times New Roman"/>
          <w:sz w:val="19"/>
          <w:szCs w:val="19"/>
          <w:color w:val="auto"/>
        </w:rPr>
        <w:t>On June 15, 2024, the Company entered into an agreement with Radiopharm to acquire all of Radiopharm’s rights to two licensed preclinical assets for an upfront payment of $2.0 million. The Company acquired global exclusive rights to both an LRRC15-targeted monoclonal antibody (“LRRC15”) and to a Trophoblast cell surface antigen 2 (“TROP2”)-targeted nanobody. LRRC15 is a potential first-in-class, highly specific monoclonal antibody radio-conjugate with both Orphan Drug and Rare Pediatric Disease designations from the FDA for the treatment of osteosarcoma. The agent is designed to target the surrounding tumor micro-environment cells expressing the protein potentially treating a broad range of cancers. The TROP2-targeted nanobody radio-conjugate is designed to target TROP2, an intracellular calcium signal transducer that is overexpressed in various types of adenocarcinomas with minimal expression in normal tissues and is associated with tumor aggressiveness, poor prognosis and drug resistance.</w:t>
      </w:r>
    </w:p>
    <w:p>
      <w:pPr>
        <w:spacing w:after="0" w:line="77"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9"/>
          <w:szCs w:val="19"/>
          <w:color w:val="auto"/>
        </w:rPr>
        <w:t>In connection with this acquisition, the Company assumed the underlying license agreements related to the two preclinical assets, together with their respective milestone and royalty payment obligations. The Company could pay up to an additional $20.0 million in milestone payments upon achievement of specified regulatory milestones. The Company could also pay up to an additional</w:t>
      </w:r>
    </w:p>
    <w:p>
      <w:pPr>
        <w:spacing w:after="0" w:line="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20"/>
          <w:szCs w:val="20"/>
          <w:color w:val="auto"/>
        </w:rPr>
        <w:t>$6.5 million in sales milestone payments upon the achievement of specified annual commercial sales thresholds in the event the Company pursues commercialization, as well as royalty payments for commercial sales. Costs of IPR&amp;D projects acquired as part of an asset acquisition that have no alternative future use are expensed when incurred, and therefore, a charge of $2.0 million was recognized in research and development expenses during 2024 related to the Radiopharm transaction.</w:t>
      </w:r>
    </w:p>
    <w:p>
      <w:pPr>
        <w:spacing w:after="0" w:line="85" w:lineRule="exact"/>
        <w:rPr>
          <w:sz w:val="20"/>
          <w:szCs w:val="20"/>
          <w:color w:val="auto"/>
        </w:rPr>
      </w:pPr>
    </w:p>
    <w:p>
      <w:pPr>
        <w:ind w:right="20" w:firstLine="441"/>
        <w:spacing w:after="0" w:line="249" w:lineRule="auto"/>
        <w:rPr>
          <w:sz w:val="20"/>
          <w:szCs w:val="20"/>
          <w:color w:val="auto"/>
        </w:rPr>
      </w:pPr>
      <w:r>
        <w:rPr>
          <w:rFonts w:ascii="Times New Roman" w:cs="Times New Roman" w:eastAsia="Times New Roman" w:hAnsi="Times New Roman"/>
          <w:sz w:val="20"/>
          <w:szCs w:val="20"/>
          <w:color w:val="auto"/>
        </w:rPr>
        <w:t>The Company also entered an agreement with Radiopharm to make an initial equity investment of approximately $5.0 million to purchase 149,625,180 Radiopharm shares (the “Initial Shares”) at the fair market offering price of $0.03 per share upon the receipt of required approvals from Radiopharm’s shareholders, which were obtained during the third quarter of 2024. Included within the agreement is an option for the Company to invest an additional $5.0 million within six months of the issuance date of the Initial Shares on the same terms as the Company’s initial purchase, which would result in the Company purchasing approximately an additional 149,925,040 Radiopharm shares. No additional shares were purchased under the option during the three months ended December 31, 2024.</w:t>
      </w:r>
    </w:p>
    <w:p>
      <w:pPr>
        <w:spacing w:after="0" w:line="94" w:lineRule="exact"/>
        <w:rPr>
          <w:sz w:val="20"/>
          <w:szCs w:val="20"/>
          <w:color w:val="auto"/>
        </w:rPr>
      </w:pPr>
    </w:p>
    <w:p>
      <w:pPr>
        <w:ind w:right="120" w:firstLine="441"/>
        <w:spacing w:after="0" w:line="258" w:lineRule="auto"/>
        <w:rPr>
          <w:sz w:val="20"/>
          <w:szCs w:val="20"/>
          <w:color w:val="auto"/>
        </w:rPr>
      </w:pPr>
      <w:r>
        <w:rPr>
          <w:rFonts w:ascii="Times New Roman" w:cs="Times New Roman" w:eastAsia="Times New Roman" w:hAnsi="Times New Roman"/>
          <w:sz w:val="20"/>
          <w:szCs w:val="20"/>
          <w:color w:val="auto"/>
        </w:rPr>
        <w:t>On June 18, 2024, the Company acquired Meilleur, including its asset NAV-4694, an investigational F-18-labeled PET imaging agent that targets beta amyloids in Alzheimer’s disease. The Company determined that upon review of the Meilleur acquisition, the transaction did not meet the definition of a business combination and is therefore treated as an asset acquisition.</w:t>
      </w:r>
    </w:p>
    <w:p>
      <w:pPr>
        <w:spacing w:after="0" w:line="140" w:lineRule="exact"/>
        <w:rPr>
          <w:sz w:val="20"/>
          <w:szCs w:val="20"/>
          <w:color w:val="auto"/>
        </w:rPr>
      </w:pPr>
    </w:p>
    <w:p>
      <w:pPr>
        <w:ind w:right="60" w:firstLine="441"/>
        <w:spacing w:after="0" w:line="248" w:lineRule="auto"/>
        <w:rPr>
          <w:sz w:val="20"/>
          <w:szCs w:val="20"/>
          <w:color w:val="auto"/>
        </w:rPr>
      </w:pPr>
      <w:r>
        <w:rPr>
          <w:rFonts w:ascii="Times New Roman" w:cs="Times New Roman" w:eastAsia="Times New Roman" w:hAnsi="Times New Roman"/>
          <w:sz w:val="20"/>
          <w:szCs w:val="20"/>
          <w:color w:val="auto"/>
        </w:rPr>
        <w:t>The Company made an upfront payment of approximately $32.9 million to the stockholders of Meilleur (“Meilleur Stockholders”) on June 18, 2024 and paid an additional $10.0 million in August 2024 after the successful completion of a technology transfer. The Company could pay up to an additional $43.0 million in milestone payments upon achievement of specified U.S. regulatory milestones related to NAV-4694. The Meilleur Stockholders are also eligible to receive up to $830.0 million in sales milestone payments upon the achievement of specified annual commercial sales thresholds of NAV-4694 as well as up to $4.0 million in remaining research milestones upon achievement of specified clinical studies at academic institutions thresholds. Research revenue is derived from existing partnerships with pharmaceutical companies and academic institutions that use NAV-4694 in clinical trials. Additionally, the Company could pay the Meilleur Stockholders up to double-digit royalty payments for research revenue and commercial sales.</w:t>
      </w:r>
    </w:p>
    <w:p>
      <w:pPr>
        <w:spacing w:after="0" w:line="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On July 3, 2024, the Company acquired from Life Molecular Imaging Ltd. (“Life Molecular”) the global rights to RM2, 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gastrin-releasing peptide receptor (“GRPR”)-targeting agent, including the associated novel, clinical-stage radiotherapeutic and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radiodiagnostic pair, referred to as 177Lu-DOTA-RM2 and 68Ga-DOTA-RM2, for an upfront payment of $35.0 million plus 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 million payment made prior to the acquisition. The Company could pay up to an additional 132.5 million Euros in regulatory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milestone payments upon achievement of clinical trial thresholds and approvals in different regions. The Company could pay up to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280.0 million Euros in sales milestone payments upon the achievement of specified annual commercial sales threshold of RM2 in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event the Company pursues commercialization. Additionally, the Company could pay up to 25.0 million Euros for collaboration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payments inclusive of all costs including employee costs, payments due to certain universities, out-of-pocket expenses and services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costs, as well as up to 5.0 million Euros for any additional development services performed by Life Molecular through July 3, 2026.</w:t>
      </w:r>
    </w:p>
    <w:p>
      <w:pPr>
        <w:sectPr>
          <w:pgSz w:w="11880" w:h="15480" w:orient="portrait"/>
          <w:cols w:equalWidth="0" w:num="1">
            <w:col w:w="10600"/>
          </w:cols>
          <w:pgMar w:left="640" w:top="657" w:right="640" w:bottom="0" w:gutter="0" w:footer="0" w:header="0"/>
        </w:sect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ectPr>
          <w:pgSz w:w="11880" w:h="15480" w:orient="portrait"/>
          <w:cols w:equalWidth="0" w:num="1">
            <w:col w:w="10600"/>
          </w:cols>
          <w:pgMar w:left="640" w:top="657" w:right="640" w:bottom="0" w:gutter="0" w:footer="0" w:header="0"/>
          <w:type w:val="continuous"/>
        </w:sectPr>
      </w:pPr>
    </w:p>
    <w:bookmarkStart w:id="125" w:name="page126"/>
    <w:bookmarkEnd w:id="125"/>
    <w:p>
      <w:pPr>
        <w:ind w:right="200"/>
        <w:spacing w:after="0" w:line="254" w:lineRule="auto"/>
        <w:rPr>
          <w:sz w:val="20"/>
          <w:szCs w:val="20"/>
          <w:color w:val="auto"/>
        </w:rPr>
      </w:pPr>
      <w:r>
        <w:rPr>
          <w:rFonts w:ascii="Times New Roman" w:cs="Times New Roman" w:eastAsia="Times New Roman" w:hAnsi="Times New Roman"/>
          <w:sz w:val="20"/>
          <w:szCs w:val="20"/>
          <w:color w:val="auto"/>
        </w:rPr>
        <w:t>Costs of IPR&amp;D projects acquired as part of an asset acquisition that have no alternative future use are expensed when incurred, and therefore, a charge of $36.0 million was recognized in research and development expenses during 2024 related to the Life Molecular acquisition. Global rights are exclusive for therapeutic fields in all countries and diagnostic fields in the Americas and co-exclusive with Life Molecular for diagnostic fields outside of the Americas.</w:t>
      </w:r>
    </w:p>
    <w:p>
      <w:pPr>
        <w:spacing w:after="0" w:line="82" w:lineRule="exact"/>
        <w:rPr>
          <w:sz w:val="20"/>
          <w:szCs w:val="20"/>
          <w:color w:val="auto"/>
        </w:rPr>
      </w:pPr>
    </w:p>
    <w:p>
      <w:pPr>
        <w:ind w:right="840" w:firstLine="441"/>
        <w:spacing w:after="0" w:line="275" w:lineRule="auto"/>
        <w:rPr>
          <w:sz w:val="20"/>
          <w:szCs w:val="20"/>
          <w:color w:val="auto"/>
        </w:rPr>
      </w:pPr>
      <w:r>
        <w:rPr>
          <w:rFonts w:ascii="Times New Roman" w:cs="Times New Roman" w:eastAsia="Times New Roman" w:hAnsi="Times New Roman"/>
          <w:sz w:val="20"/>
          <w:szCs w:val="20"/>
          <w:color w:val="auto"/>
        </w:rPr>
        <w:t xml:space="preserve">See Note 23, </w:t>
      </w:r>
      <w:r>
        <w:rPr>
          <w:rFonts w:ascii="Times New Roman" w:cs="Times New Roman" w:eastAsia="Times New Roman" w:hAnsi="Times New Roman"/>
          <w:sz w:val="20"/>
          <w:szCs w:val="20"/>
          <w:i w:val="1"/>
          <w:iCs w:val="1"/>
          <w:color w:val="auto"/>
        </w:rPr>
        <w:t>“Subsequent Events,”</w:t>
      </w:r>
      <w:r>
        <w:rPr>
          <w:rFonts w:ascii="Times New Roman" w:cs="Times New Roman" w:eastAsia="Times New Roman" w:hAnsi="Times New Roman"/>
          <w:sz w:val="20"/>
          <w:szCs w:val="20"/>
          <w:color w:val="auto"/>
        </w:rPr>
        <w:t xml:space="preserve"> to these consolidated financial statements for subsequent events involving pending acquisitions.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22. Segment Information</w:t>
      </w:r>
    </w:p>
    <w:p>
      <w:pPr>
        <w:spacing w:after="0" w:line="130" w:lineRule="exact"/>
        <w:rPr>
          <w:sz w:val="20"/>
          <w:szCs w:val="20"/>
          <w:color w:val="auto"/>
        </w:rPr>
      </w:pPr>
    </w:p>
    <w:p>
      <w:pPr>
        <w:ind w:right="80" w:firstLine="441"/>
        <w:spacing w:after="0" w:line="249" w:lineRule="auto"/>
        <w:rPr>
          <w:sz w:val="20"/>
          <w:szCs w:val="20"/>
          <w:color w:val="auto"/>
        </w:rPr>
      </w:pPr>
      <w:r>
        <w:rPr>
          <w:rFonts w:ascii="Times New Roman" w:cs="Times New Roman" w:eastAsia="Times New Roman" w:hAnsi="Times New Roman"/>
          <w:sz w:val="20"/>
          <w:szCs w:val="20"/>
          <w:color w:val="auto"/>
        </w:rPr>
        <w:t>The Company operates as one business segment. The results of this operating segment are regularly reviewed by the Company’s chief operating decision maker (“CODM”), the Chief Executive Officer. The CODM does not manage any part of the Company separately, and the allocation of resources and assessment of performance are based on the Company’s consolidated operating results. In order to evaluate the reportable segment’s performance, the CODM uses net income and gross margin based on the consolidated statements of operations. The CODM uses net income to monitor budget and forecast versus actual results in assessing segment performance and to evaluate income generated from segment assets in deciding how to allocate resources. The measure of segment assets is reported on the consolidated balance sheets as total consolidated assets.</w:t>
      </w:r>
    </w:p>
    <w:p>
      <w:pPr>
        <w:spacing w:after="0" w:line="94" w:lineRule="exact"/>
        <w:rPr>
          <w:sz w:val="20"/>
          <w:szCs w:val="20"/>
          <w:color w:val="auto"/>
        </w:rPr>
      </w:pPr>
    </w:p>
    <w:p>
      <w:pPr>
        <w:ind w:right="80" w:firstLine="441"/>
        <w:spacing w:after="0" w:line="252" w:lineRule="auto"/>
        <w:rPr>
          <w:sz w:val="20"/>
          <w:szCs w:val="20"/>
          <w:color w:val="auto"/>
        </w:rPr>
      </w:pPr>
      <w:r>
        <w:rPr>
          <w:rFonts w:ascii="Times New Roman" w:cs="Times New Roman" w:eastAsia="Times New Roman" w:hAnsi="Times New Roman"/>
          <w:sz w:val="20"/>
          <w:szCs w:val="20"/>
          <w:color w:val="auto"/>
        </w:rPr>
        <w:t>Significant segment expenses reviewed by the CODM on a monthly basis include sales and marketing, general and administrative and research and development expenses as reported in the Company’s consolidated statements of operations. However, the CODM reviews research and development expenses in more detail for certain expenses related to the Company’s development of new products and clinical programs. The approximate disaggregated amounts that comprise research and development expenses regularly reviewed by the CODM are as follows:</w:t>
      </w:r>
    </w:p>
    <w:p>
      <w:pPr>
        <w:spacing w:after="0" w:line="200" w:lineRule="exact"/>
        <w:rPr>
          <w:sz w:val="20"/>
          <w:szCs w:val="20"/>
          <w:color w:val="auto"/>
        </w:rPr>
      </w:pPr>
    </w:p>
    <w:p>
      <w:pPr>
        <w:spacing w:after="0" w:line="248" w:lineRule="exact"/>
        <w:rPr>
          <w:sz w:val="20"/>
          <w:szCs w:val="20"/>
          <w:color w:val="auto"/>
        </w:rPr>
      </w:pPr>
    </w:p>
    <w:tbl>
      <w:tblPr>
        <w:tblLayout w:type="fixed"/>
        <w:tblInd w:w="440" w:type="dxa"/>
        <w:tblCellMar>
          <w:top w:w="0" w:type="dxa"/>
          <w:left w:w="0" w:type="dxa"/>
          <w:bottom w:w="0" w:type="dxa"/>
          <w:right w:w="0" w:type="dxa"/>
        </w:tblCellMar>
      </w:tblPr>
      <w:tr>
        <w:trPr>
          <w:trHeight w:val="262"/>
        </w:trPr>
        <w:tc>
          <w:tcPr>
            <w:tcW w:w="5000" w:type="dxa"/>
            <w:vAlign w:val="bottom"/>
            <w:tcBorders>
              <w:bottom w:val="single" w:sz="8" w:color="E9E9E9"/>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336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9"/>
        </w:trPr>
        <w:tc>
          <w:tcPr>
            <w:tcW w:w="5000" w:type="dxa"/>
            <w:vAlign w:val="bottom"/>
            <w:tcBorders>
              <w:bottom w:val="single" w:sz="8" w:color="E9E9E9"/>
            </w:tcBorders>
            <w:shd w:val="clear" w:color="auto" w:fill="E9E9E9"/>
          </w:tcPr>
          <w:p>
            <w:pPr>
              <w:spacing w:after="0"/>
              <w:rPr>
                <w:sz w:val="24"/>
                <w:szCs w:val="24"/>
                <w:color w:val="auto"/>
              </w:rPr>
            </w:pPr>
          </w:p>
        </w:tc>
        <w:tc>
          <w:tcPr>
            <w:tcW w:w="360" w:type="dxa"/>
            <w:vAlign w:val="bottom"/>
            <w:tcBorders>
              <w:bottom w:val="single" w:sz="8" w:color="auto"/>
            </w:tcBorders>
            <w:shd w:val="clear" w:color="auto" w:fill="E9E9E9"/>
          </w:tcPr>
          <w:p>
            <w:pPr>
              <w:spacing w:after="0"/>
              <w:rPr>
                <w:sz w:val="24"/>
                <w:szCs w:val="24"/>
                <w:color w:val="auto"/>
              </w:rPr>
            </w:pPr>
          </w:p>
        </w:tc>
        <w:tc>
          <w:tcPr>
            <w:tcW w:w="1200" w:type="dxa"/>
            <w:vAlign w:val="bottom"/>
            <w:tcBorders>
              <w:bottom w:val="single" w:sz="8" w:color="auto"/>
            </w:tcBorders>
            <w:shd w:val="clear" w:color="auto" w:fill="E9E9E9"/>
          </w:tcPr>
          <w:p>
            <w:pPr>
              <w:jc w:val="right"/>
              <w:ind w:right="482"/>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Borders>
              <w:bottom w:val="single" w:sz="8" w:color="E9E9E9"/>
            </w:tcBorders>
            <w:shd w:val="clear" w:color="auto" w:fill="E9E9E9"/>
          </w:tcPr>
          <w:p>
            <w:pPr>
              <w:spacing w:after="0"/>
              <w:rPr>
                <w:sz w:val="24"/>
                <w:szCs w:val="24"/>
                <w:color w:val="auto"/>
              </w:rPr>
            </w:pPr>
          </w:p>
        </w:tc>
        <w:tc>
          <w:tcPr>
            <w:tcW w:w="380" w:type="dxa"/>
            <w:vAlign w:val="bottom"/>
            <w:tcBorders>
              <w:bottom w:val="single" w:sz="8" w:color="auto"/>
            </w:tcBorders>
            <w:shd w:val="clear" w:color="auto" w:fill="E9E9E9"/>
          </w:tcPr>
          <w:p>
            <w:pPr>
              <w:spacing w:after="0"/>
              <w:rPr>
                <w:sz w:val="24"/>
                <w:szCs w:val="24"/>
                <w:color w:val="auto"/>
              </w:rPr>
            </w:pPr>
          </w:p>
        </w:tc>
        <w:tc>
          <w:tcPr>
            <w:tcW w:w="1200" w:type="dxa"/>
            <w:vAlign w:val="bottom"/>
            <w:tcBorders>
              <w:bottom w:val="single" w:sz="8" w:color="auto"/>
            </w:tcBorders>
            <w:shd w:val="clear" w:color="auto" w:fill="E9E9E9"/>
          </w:tcPr>
          <w:p>
            <w:pPr>
              <w:jc w:val="right"/>
              <w:ind w:right="502"/>
              <w:spacing w:after="0"/>
              <w:rPr>
                <w:sz w:val="20"/>
                <w:szCs w:val="20"/>
                <w:color w:val="auto"/>
              </w:rPr>
            </w:pPr>
            <w:r>
              <w:rPr>
                <w:rFonts w:ascii="Times New Roman" w:cs="Times New Roman" w:eastAsia="Times New Roman" w:hAnsi="Times New Roman"/>
                <w:sz w:val="20"/>
                <w:szCs w:val="20"/>
                <w:b w:val="1"/>
                <w:bCs w:val="1"/>
                <w:color w:val="auto"/>
              </w:rPr>
              <w:t>2023</w:t>
            </w:r>
          </w:p>
        </w:tc>
        <w:tc>
          <w:tcPr>
            <w:tcW w:w="120" w:type="dxa"/>
            <w:vAlign w:val="bottom"/>
            <w:tcBorders>
              <w:bottom w:val="single" w:sz="8" w:color="E9E9E9"/>
            </w:tcBorders>
            <w:shd w:val="clear" w:color="auto" w:fill="E9E9E9"/>
          </w:tcPr>
          <w:p>
            <w:pPr>
              <w:spacing w:after="0"/>
              <w:rPr>
                <w:sz w:val="24"/>
                <w:szCs w:val="24"/>
                <w:color w:val="auto"/>
              </w:rPr>
            </w:pPr>
          </w:p>
        </w:tc>
        <w:tc>
          <w:tcPr>
            <w:tcW w:w="400" w:type="dxa"/>
            <w:vAlign w:val="bottom"/>
            <w:tcBorders>
              <w:bottom w:val="single" w:sz="8" w:color="auto"/>
            </w:tcBorders>
            <w:shd w:val="clear" w:color="auto" w:fill="E9E9E9"/>
          </w:tcPr>
          <w:p>
            <w:pPr>
              <w:spacing w:after="0"/>
              <w:rPr>
                <w:sz w:val="24"/>
                <w:szCs w:val="24"/>
                <w:color w:val="auto"/>
              </w:rPr>
            </w:pPr>
          </w:p>
        </w:tc>
        <w:tc>
          <w:tcPr>
            <w:tcW w:w="1160" w:type="dxa"/>
            <w:vAlign w:val="bottom"/>
            <w:tcBorders>
              <w:bottom w:val="single" w:sz="8" w:color="auto"/>
            </w:tcBorders>
            <w:shd w:val="clear" w:color="auto" w:fill="E9E9E9"/>
          </w:tcPr>
          <w:p>
            <w:pPr>
              <w:jc w:val="right"/>
              <w:ind w:right="482"/>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292"/>
        </w:trPr>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Program third-party research and development expenses</w:t>
            </w:r>
          </w:p>
        </w:tc>
        <w:tc>
          <w:tcPr>
            <w:tcW w:w="36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31,957</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8,332</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8,180</w:t>
            </w:r>
          </w:p>
        </w:tc>
        <w:tc>
          <w:tcPr>
            <w:tcW w:w="0" w:type="dxa"/>
            <w:vAlign w:val="bottom"/>
          </w:tcPr>
          <w:p>
            <w:pPr>
              <w:spacing w:after="0"/>
              <w:rPr>
                <w:sz w:val="1"/>
                <w:szCs w:val="1"/>
                <w:color w:val="auto"/>
              </w:rPr>
            </w:pPr>
          </w:p>
        </w:tc>
      </w:tr>
      <w:tr>
        <w:trPr>
          <w:trHeight w:val="305"/>
        </w:trPr>
        <w:tc>
          <w:tcPr>
            <w:tcW w:w="5000" w:type="dxa"/>
            <w:vAlign w:val="bottom"/>
            <w:tcBorders>
              <w:bottom w:val="single" w:sz="8" w:color="E9E9E9"/>
            </w:tcBorders>
            <w:shd w:val="clear" w:color="auto" w:fill="E9E9E9"/>
          </w:tcPr>
          <w:p>
            <w:pPr>
              <w:ind w:left="60"/>
              <w:spacing w:after="0"/>
              <w:rPr>
                <w:sz w:val="20"/>
                <w:szCs w:val="20"/>
                <w:color w:val="auto"/>
              </w:rPr>
            </w:pPr>
            <w:r>
              <w:rPr>
                <w:rFonts w:ascii="Times New Roman" w:cs="Times New Roman" w:eastAsia="Times New Roman" w:hAnsi="Times New Roman"/>
                <w:sz w:val="20"/>
                <w:szCs w:val="20"/>
                <w:color w:val="auto"/>
              </w:rPr>
              <w:t>Other research and development expenses (1)</w:t>
            </w:r>
          </w:p>
        </w:tc>
        <w:tc>
          <w:tcPr>
            <w:tcW w:w="360" w:type="dxa"/>
            <w:vAlign w:val="bottom"/>
            <w:tcBorders>
              <w:bottom w:val="single" w:sz="8" w:color="auto"/>
            </w:tcBorders>
            <w:shd w:val="clear" w:color="auto" w:fill="E9E9E9"/>
          </w:tcPr>
          <w:p>
            <w:pPr>
              <w:spacing w:after="0"/>
              <w:rPr>
                <w:sz w:val="24"/>
                <w:szCs w:val="24"/>
                <w:color w:val="auto"/>
              </w:rPr>
            </w:pPr>
          </w:p>
        </w:tc>
        <w:tc>
          <w:tcPr>
            <w:tcW w:w="120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136,141</w:t>
            </w:r>
          </w:p>
        </w:tc>
        <w:tc>
          <w:tcPr>
            <w:tcW w:w="60" w:type="dxa"/>
            <w:vAlign w:val="bottom"/>
            <w:tcBorders>
              <w:bottom w:val="single" w:sz="8" w:color="E9E9E9"/>
            </w:tcBorders>
            <w:shd w:val="clear" w:color="auto" w:fill="E9E9E9"/>
          </w:tcPr>
          <w:p>
            <w:pPr>
              <w:spacing w:after="0"/>
              <w:rPr>
                <w:sz w:val="24"/>
                <w:szCs w:val="24"/>
                <w:color w:val="auto"/>
              </w:rPr>
            </w:pPr>
          </w:p>
        </w:tc>
        <w:tc>
          <w:tcPr>
            <w:tcW w:w="380" w:type="dxa"/>
            <w:vAlign w:val="bottom"/>
            <w:tcBorders>
              <w:bottom w:val="single" w:sz="8" w:color="auto"/>
            </w:tcBorders>
            <w:shd w:val="clear" w:color="auto" w:fill="E9E9E9"/>
          </w:tcPr>
          <w:p>
            <w:pPr>
              <w:spacing w:after="0"/>
              <w:rPr>
                <w:sz w:val="24"/>
                <w:szCs w:val="24"/>
                <w:color w:val="auto"/>
              </w:rPr>
            </w:pPr>
          </w:p>
        </w:tc>
        <w:tc>
          <w:tcPr>
            <w:tcW w:w="120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69,375</w:t>
            </w:r>
          </w:p>
        </w:tc>
        <w:tc>
          <w:tcPr>
            <w:tcW w:w="120" w:type="dxa"/>
            <w:vAlign w:val="bottom"/>
            <w:tcBorders>
              <w:bottom w:val="single" w:sz="8" w:color="E9E9E9"/>
            </w:tcBorders>
            <w:shd w:val="clear" w:color="auto" w:fill="E9E9E9"/>
          </w:tcPr>
          <w:p>
            <w:pPr>
              <w:spacing w:after="0"/>
              <w:rPr>
                <w:sz w:val="24"/>
                <w:szCs w:val="24"/>
                <w:color w:val="auto"/>
              </w:rPr>
            </w:pPr>
          </w:p>
        </w:tc>
        <w:tc>
          <w:tcPr>
            <w:tcW w:w="400" w:type="dxa"/>
            <w:vAlign w:val="bottom"/>
            <w:tcBorders>
              <w:bottom w:val="single" w:sz="8" w:color="auto"/>
            </w:tcBorders>
            <w:shd w:val="clear" w:color="auto" w:fill="E9E9E9"/>
          </w:tcPr>
          <w:p>
            <w:pPr>
              <w:spacing w:after="0"/>
              <w:rPr>
                <w:sz w:val="24"/>
                <w:szCs w:val="24"/>
                <w:color w:val="auto"/>
              </w:rPr>
            </w:pPr>
          </w:p>
        </w:tc>
        <w:tc>
          <w:tcPr>
            <w:tcW w:w="1160" w:type="dxa"/>
            <w:vAlign w:val="bottom"/>
            <w:tcBorders>
              <w:bottom w:val="single" w:sz="8" w:color="auto"/>
            </w:tcBorders>
            <w:shd w:val="clear" w:color="auto" w:fill="E9E9E9"/>
          </w:tcPr>
          <w:p>
            <w:pPr>
              <w:jc w:val="right"/>
              <w:spacing w:after="0"/>
              <w:rPr>
                <w:sz w:val="20"/>
                <w:szCs w:val="20"/>
                <w:color w:val="auto"/>
              </w:rPr>
            </w:pPr>
            <w:r>
              <w:rPr>
                <w:rFonts w:ascii="Times New Roman" w:cs="Times New Roman" w:eastAsia="Times New Roman" w:hAnsi="Times New Roman"/>
                <w:sz w:val="20"/>
                <w:szCs w:val="20"/>
                <w:color w:val="auto"/>
              </w:rPr>
              <w:t>303,501</w:t>
            </w:r>
          </w:p>
        </w:tc>
        <w:tc>
          <w:tcPr>
            <w:tcW w:w="0" w:type="dxa"/>
            <w:vAlign w:val="bottom"/>
          </w:tcPr>
          <w:p>
            <w:pPr>
              <w:spacing w:after="0"/>
              <w:rPr>
                <w:sz w:val="1"/>
                <w:szCs w:val="1"/>
                <w:color w:val="auto"/>
              </w:rPr>
            </w:pPr>
          </w:p>
        </w:tc>
      </w:tr>
      <w:tr>
        <w:trPr>
          <w:trHeight w:val="270"/>
        </w:trPr>
        <w:tc>
          <w:tcPr>
            <w:tcW w:w="5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Total research and development expenses</w:t>
            </w:r>
          </w:p>
        </w:tc>
        <w:tc>
          <w:tcPr>
            <w:tcW w:w="36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168,098</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77,707</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311,681</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__________________________</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0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-196850</wp:posOffset>
            </wp:positionV>
            <wp:extent cx="3133725" cy="501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133725" cy="50165"/>
                    </a:xfrm>
                    <a:prstGeom prst="rect">
                      <a:avLst/>
                    </a:prstGeom>
                    <a:noFill/>
                  </pic:spPr>
                </pic:pic>
              </a:graphicData>
            </a:graphic>
          </wp:anchor>
        </w:drawing>
      </w:r>
    </w:p>
    <w:p>
      <w:pPr>
        <w:ind w:left="800" w:right="180" w:hanging="351"/>
        <w:spacing w:after="0" w:line="234" w:lineRule="auto"/>
        <w:tabs>
          <w:tab w:leader="none" w:pos="800"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research and development expenses consist of all other research and development costs incurred for the benefit of multiple research and development programs, including legal, employee costs, depreciation, information technology, other facility-bases expenses and other third-party costs.</w:t>
      </w:r>
    </w:p>
    <w:p>
      <w:pPr>
        <w:spacing w:after="0" w:line="184" w:lineRule="exact"/>
        <w:rPr>
          <w:rFonts w:ascii="Times New Roman" w:cs="Times New Roman" w:eastAsia="Times New Roman" w:hAnsi="Times New Roman"/>
          <w:sz w:val="20"/>
          <w:szCs w:val="20"/>
          <w:color w:val="auto"/>
        </w:rPr>
      </w:pPr>
    </w:p>
    <w:p>
      <w:pPr>
        <w:ind w:left="300" w:hanging="292"/>
        <w:spacing w:after="0"/>
        <w:tabs>
          <w:tab w:leader="none" w:pos="300" w:val="left"/>
        </w:tabs>
        <w:numPr>
          <w:ilvl w:val="0"/>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Subsequent Events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Pending Acquisition of Life Molecular</w:t>
      </w:r>
    </w:p>
    <w:p>
      <w:pPr>
        <w:spacing w:after="0" w:line="131" w:lineRule="exact"/>
        <w:rPr>
          <w:sz w:val="20"/>
          <w:szCs w:val="20"/>
          <w:color w:val="auto"/>
        </w:rPr>
      </w:pPr>
    </w:p>
    <w:p>
      <w:pPr>
        <w:ind w:right="40" w:firstLine="441"/>
        <w:spacing w:after="0" w:line="252" w:lineRule="auto"/>
        <w:rPr>
          <w:sz w:val="20"/>
          <w:szCs w:val="20"/>
          <w:color w:val="auto"/>
        </w:rPr>
      </w:pPr>
      <w:r>
        <w:rPr>
          <w:rFonts w:ascii="Times New Roman" w:cs="Times New Roman" w:eastAsia="Times New Roman" w:hAnsi="Times New Roman"/>
          <w:sz w:val="20"/>
          <w:szCs w:val="20"/>
          <w:color w:val="auto"/>
        </w:rPr>
        <w:t>On January 13, 2025, the Company announced that it entered into a definitive agreement to acquire Life Molecular, a subsidiary of Life Healthcare Group Holdings Ltd. Life Molecular is based in Berlin, Germany and is dedicated to advancing novel PET radiopharmaceutical diagnostics. The definitive agreement provides for an upfront payment of $350.0 million and up to an additional $400.0 million in potential earn-out and milestone payments. The transaction is expected to close in the second half of 2025, subject to the satisfaction of customary regulatory and closing conditions.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Pending Acquisition of Evergreen Theragnostics</w:t>
      </w:r>
    </w:p>
    <w:p>
      <w:pPr>
        <w:spacing w:after="0" w:line="131" w:lineRule="exact"/>
        <w:rPr>
          <w:sz w:val="20"/>
          <w:szCs w:val="20"/>
          <w:color w:val="auto"/>
        </w:rPr>
      </w:pPr>
    </w:p>
    <w:p>
      <w:pPr>
        <w:ind w:right="20" w:firstLine="441"/>
        <w:spacing w:after="0" w:line="268" w:lineRule="auto"/>
        <w:rPr>
          <w:sz w:val="20"/>
          <w:szCs w:val="20"/>
          <w:color w:val="auto"/>
        </w:rPr>
      </w:pPr>
      <w:r>
        <w:rPr>
          <w:rFonts w:ascii="Times New Roman" w:cs="Times New Roman" w:eastAsia="Times New Roman" w:hAnsi="Times New Roman"/>
          <w:sz w:val="19"/>
          <w:szCs w:val="19"/>
          <w:color w:val="auto"/>
        </w:rPr>
        <w:t>On January 27, 2025, the Company announced that it entered into an Agreement and Plan of Merger (the “Evergreen Merger Agreement”) with Evergreen Theragnostics, Inc. (“Evergreen”) and Shareholder Representative Services LLC, pursuant to which the Company will acquire Evergreen by means of a statutory merger of a subsidiary with and into Evergreen, with Evergreen surviving as the Company’s wholly-owned subsidiary (the “Evergreen Merger”). Evergreen is a clinical-stage radiopharmaceutical company engaged in contract development and manufacturing services as well as drug discovery and commercialization of proprietary products.</w:t>
      </w:r>
    </w:p>
    <w:p>
      <w:pPr>
        <w:spacing w:after="0" w:line="74" w:lineRule="exact"/>
        <w:rPr>
          <w:sz w:val="20"/>
          <w:szCs w:val="20"/>
          <w:color w:val="auto"/>
        </w:rPr>
      </w:pPr>
    </w:p>
    <w:p>
      <w:pPr>
        <w:ind w:firstLine="441"/>
        <w:spacing w:after="0" w:line="250" w:lineRule="auto"/>
        <w:rPr>
          <w:sz w:val="20"/>
          <w:szCs w:val="20"/>
          <w:color w:val="auto"/>
        </w:rPr>
      </w:pPr>
      <w:r>
        <w:rPr>
          <w:rFonts w:ascii="Times New Roman" w:cs="Times New Roman" w:eastAsia="Times New Roman" w:hAnsi="Times New Roman"/>
          <w:sz w:val="20"/>
          <w:szCs w:val="20"/>
          <w:color w:val="auto"/>
        </w:rPr>
        <w:t>Pursuant to the Evergreen Merger Agreement, the Company will pay an upfront payment of $250.0 million, payable in cash at closing and subject to customary adjustments as set forth in the Evergreen Merger Agreement, and milestone payments in an aggregate cash amount of up to $752.5 million upon the occurrence of certain Milestone Triggering Events (as set forth in the Evergreen Merger Agreement). The Company also agreed to provide up to $18.0 million in unsecured loans to Evergreen on the terms set forth in the Merger Agreement. The Evergreen Merger is expected to close in the second half of 2025, subject to the satisfaction of customary regulatory and closing conditions.</w:t>
      </w:r>
    </w:p>
    <w:p>
      <w:pPr>
        <w:sectPr>
          <w:pgSz w:w="11880" w:h="15480" w:orient="portrait"/>
          <w:cols w:equalWidth="0" w:num="1">
            <w:col w:w="10600"/>
          </w:cols>
          <w:pgMar w:left="640" w:top="622"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120</w:t>
      </w:r>
    </w:p>
    <w:p>
      <w:pPr>
        <w:sectPr>
          <w:pgSz w:w="11880" w:h="15480" w:orient="portrait"/>
          <w:cols w:equalWidth="0" w:num="1">
            <w:col w:w="10600"/>
          </w:cols>
          <w:pgMar w:left="640" w:top="622" w:right="640" w:bottom="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Not applicable.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130" w:lineRule="exact"/>
        <w:rPr>
          <w:sz w:val="20"/>
          <w:szCs w:val="20"/>
          <w:color w:val="auto"/>
        </w:rPr>
      </w:pPr>
    </w:p>
    <w:p>
      <w:pPr>
        <w:ind w:right="80" w:firstLine="441"/>
        <w:spacing w:after="0" w:line="250" w:lineRule="auto"/>
        <w:rPr>
          <w:sz w:val="20"/>
          <w:szCs w:val="20"/>
          <w:color w:val="auto"/>
        </w:rPr>
      </w:pPr>
      <w:r>
        <w:rPr>
          <w:rFonts w:ascii="Times New Roman" w:cs="Times New Roman" w:eastAsia="Times New Roman" w:hAnsi="Times New Roman"/>
          <w:sz w:val="20"/>
          <w:szCs w:val="20"/>
          <w:color w:val="auto"/>
        </w:rPr>
        <w:t>The Company’s management, with the participation of the Company’s Chief Executive Officer (“CEO”) and Chief Financial Officer (“CFO”), its principal executive officer and principal financial officer, respectively, has evaluated the effectiveness of the Company’s disclosure controls and procedures as defined in Rule 13a-15(e) and 15d-15(e) of the Securities Exchange Act of 1934, as amended (the “Exchange Act”). Based on that evaluation, the Company’s CEO and CFO concluded that the Company’s disclosure controls and procedures (as defined in Exchange Act Rules 13a-15(e) and 15d-15(e)) were effective as of the period covered by this report.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Annual Report on Internal Control Over Financial Reporting</w:t>
      </w:r>
    </w:p>
    <w:p>
      <w:pPr>
        <w:spacing w:after="0" w:line="130"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20"/>
          <w:szCs w:val="20"/>
          <w:color w:val="auto"/>
        </w:rPr>
        <w:t>Our management, with the participation of our CEO and CFO, is responsible for establishing and maintaining adequate internal control over financial reporting as defined in Rules 13a-15(f) and 15d-15(f) under the Exchange Act. Our internal control system is designed to provide reasonable assurance to our management and Board of Directors regarding the preparation and fair presentation of published financial statements.</w:t>
      </w:r>
    </w:p>
    <w:p>
      <w:pPr>
        <w:spacing w:after="0" w:line="202" w:lineRule="exact"/>
        <w:rPr>
          <w:sz w:val="20"/>
          <w:szCs w:val="20"/>
          <w:color w:val="auto"/>
        </w:rPr>
      </w:pPr>
    </w:p>
    <w:p>
      <w:pPr>
        <w:ind w:right="100" w:firstLine="441"/>
        <w:spacing w:after="0" w:line="254" w:lineRule="auto"/>
        <w:rPr>
          <w:sz w:val="20"/>
          <w:szCs w:val="20"/>
          <w:color w:val="auto"/>
        </w:rPr>
      </w:pPr>
      <w:r>
        <w:rPr>
          <w:rFonts w:ascii="Times New Roman" w:cs="Times New Roman" w:eastAsia="Times New Roman" w:hAnsi="Times New Roman"/>
          <w:sz w:val="20"/>
          <w:szCs w:val="20"/>
          <w:color w:val="auto"/>
        </w:rPr>
        <w:t>Our management assessed the effectiveness of our internal control over financial reporting as of December 31, 2024. In making its assessment of internal control over financial reporting, our management used the criteria set forth by the Committee of Sponsoring Organizations of the Treadway Commission in Internal Control—Integrated Framework (2013). Based on this assessment, management concluded that, as of December 31, 2024, our internal control over financial reporting was effective.</w:t>
      </w:r>
    </w:p>
    <w:p>
      <w:pPr>
        <w:spacing w:after="0" w:line="202"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20"/>
          <w:szCs w:val="20"/>
          <w:color w:val="auto"/>
        </w:rPr>
        <w:t>Deloitte &amp; Touche LLP, an independent registered public accounting firm that audited our financial statements for the fiscal year ended December 31, 2024, included in this report, has issued an attestation report on the effectiveness of our internal control over financial reporting. This report is set forth below:</w:t>
      </w:r>
    </w:p>
    <w:p>
      <w:pPr>
        <w:spacing w:after="0" w:line="192" w:lineRule="exact"/>
        <w:rPr>
          <w:sz w:val="20"/>
          <w:szCs w:val="20"/>
          <w:color w:val="auto"/>
        </w:rPr>
      </w:pPr>
    </w:p>
    <w:p>
      <w:pPr>
        <w:ind w:left="440" w:right="1920" w:firstLine="1494"/>
        <w:spacing w:after="0" w:line="401"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To the Stockholders and the Board of Directors of Lantheus Holdings, Inc.</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130" w:lineRule="exact"/>
        <w:rPr>
          <w:sz w:val="20"/>
          <w:szCs w:val="20"/>
          <w:color w:val="auto"/>
        </w:rPr>
      </w:pPr>
    </w:p>
    <w:p>
      <w:pPr>
        <w:ind w:right="100" w:firstLine="441"/>
        <w:spacing w:after="0" w:line="252" w:lineRule="auto"/>
        <w:rPr>
          <w:sz w:val="20"/>
          <w:szCs w:val="20"/>
          <w:color w:val="auto"/>
        </w:rPr>
      </w:pPr>
      <w:r>
        <w:rPr>
          <w:rFonts w:ascii="Times New Roman" w:cs="Times New Roman" w:eastAsia="Times New Roman" w:hAnsi="Times New Roman"/>
          <w:sz w:val="20"/>
          <w:szCs w:val="20"/>
          <w:color w:val="auto"/>
        </w:rPr>
        <w:t xml:space="preserve">We have audited the internal control over financial reporting of Lantheus Holdings, Inc. and subsidiaries (the “Company”) as of December 31, 2024, based on criteria established in </w:t>
      </w:r>
      <w:r>
        <w:rPr>
          <w:rFonts w:ascii="Times New Roman" w:cs="Times New Roman" w:eastAsia="Times New Roman" w:hAnsi="Times New Roman"/>
          <w:sz w:val="20"/>
          <w:szCs w:val="20"/>
          <w:i w:val="1"/>
          <w:iCs w:val="1"/>
          <w:color w:val="auto"/>
        </w:rPr>
        <w:t>Internal Control — Integrated Framework (2013)</w:t>
      </w:r>
      <w:r>
        <w:rPr>
          <w:rFonts w:ascii="Times New Roman" w:cs="Times New Roman" w:eastAsia="Times New Roman" w:hAnsi="Times New Roman"/>
          <w:sz w:val="20"/>
          <w:szCs w:val="20"/>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20"/>
          <w:szCs w:val="20"/>
          <w:i w:val="1"/>
          <w:iCs w:val="1"/>
          <w:color w:val="auto"/>
        </w:rPr>
        <w:t>Internal Control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Integrated Framework (2013) </w:t>
      </w:r>
      <w:r>
        <w:rPr>
          <w:rFonts w:ascii="Times New Roman" w:cs="Times New Roman" w:eastAsia="Times New Roman" w:hAnsi="Times New Roman"/>
          <w:sz w:val="20"/>
          <w:szCs w:val="20"/>
          <w:color w:val="auto"/>
        </w:rPr>
        <w:t>issued by COSO.</w:t>
      </w:r>
    </w:p>
    <w:p>
      <w:pPr>
        <w:spacing w:after="0" w:line="204"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20"/>
          <w:szCs w:val="20"/>
          <w:color w:val="auto"/>
        </w:rPr>
        <w:t>We have also audited, in accordance with the standards of the Public Company Accounting Oversight Board (United States) (PCAOB), the consolidated financial statements as of and for the year ended December 31, 2024, of the Company and our report dated February 26, 2025, expressed an unqualified opinion on those financial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30" w:lineRule="exact"/>
        <w:rPr>
          <w:sz w:val="20"/>
          <w:szCs w:val="20"/>
          <w:color w:val="auto"/>
        </w:rPr>
      </w:pPr>
    </w:p>
    <w:p>
      <w:pPr>
        <w:ind w:right="160" w:firstLine="441"/>
        <w:spacing w:after="0" w:line="250" w:lineRule="auto"/>
        <w:rPr>
          <w:sz w:val="20"/>
          <w:szCs w:val="20"/>
          <w:color w:val="auto"/>
        </w:rPr>
      </w:pPr>
      <w:r>
        <w:rPr>
          <w:rFonts w:ascii="Times New Roman" w:cs="Times New Roman" w:eastAsia="Times New Roman" w:hAnsi="Times New Roman"/>
          <w:sz w:val="20"/>
          <w:szCs w:val="20"/>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 w:cs="Times New Roman" w:eastAsia="Times New Roman" w:hAnsi="Times New Roman"/>
          <w:sz w:val="20"/>
          <w:szCs w:val="20"/>
          <w:i w:val="1"/>
          <w:iCs w:val="1"/>
          <w:color w:val="auto"/>
        </w:rPr>
        <w:t>Management’s Annual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Report on Internal Control Over Financial Reporting</w:t>
      </w:r>
      <w:r>
        <w:rPr>
          <w:rFonts w:ascii="Times New Roman" w:cs="Times New Roman" w:eastAsia="Times New Roman" w:hAnsi="Times New Roman"/>
          <w:sz w:val="20"/>
          <w:szCs w:val="20"/>
          <w:color w:val="auto"/>
        </w:rPr>
        <w:t>. Our responsibility is to express an opinion on the Company’s internal control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9" w:lineRule="exact"/>
        <w:rPr>
          <w:sz w:val="20"/>
          <w:szCs w:val="20"/>
          <w:color w:val="auto"/>
        </w:rPr>
      </w:pPr>
    </w:p>
    <w:p>
      <w:pPr>
        <w:ind w:right="180" w:firstLine="441"/>
        <w:spacing w:after="0" w:line="250"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ectPr>
          <w:pgSz w:w="11880" w:h="15480" w:orient="portrait"/>
          <w:cols w:equalWidth="0" w:num="1">
            <w:col w:w="10580"/>
          </w:cols>
          <w:pgMar w:left="640" w:top="615" w:right="660" w:bottom="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121</w:t>
      </w:r>
    </w:p>
    <w:p>
      <w:pPr>
        <w:sectPr>
          <w:pgSz w:w="11880" w:h="15480" w:orient="portrait"/>
          <w:cols w:equalWidth="0" w:num="1">
            <w:col w:w="10580"/>
          </w:cols>
          <w:pgMar w:left="640" w:top="615" w:right="660" w:bottom="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130" w:lineRule="exact"/>
        <w:rPr>
          <w:sz w:val="20"/>
          <w:szCs w:val="20"/>
          <w:color w:val="auto"/>
        </w:rPr>
      </w:pPr>
    </w:p>
    <w:p>
      <w:pPr>
        <w:ind w:right="160" w:firstLine="441"/>
        <w:spacing w:after="0" w:line="248"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3" w:lineRule="exact"/>
        <w:rPr>
          <w:sz w:val="20"/>
          <w:szCs w:val="20"/>
          <w:color w:val="auto"/>
        </w:rPr>
      </w:pPr>
    </w:p>
    <w:p>
      <w:pPr>
        <w:ind w:right="100" w:firstLine="441"/>
        <w:spacing w:after="0" w:line="258"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Boston, Massachusetts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26, 2025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Controls Over Financial Reporting</w:t>
      </w:r>
    </w:p>
    <w:p>
      <w:pPr>
        <w:spacing w:after="0" w:line="130" w:lineRule="exact"/>
        <w:rPr>
          <w:sz w:val="20"/>
          <w:szCs w:val="20"/>
          <w:color w:val="auto"/>
        </w:rPr>
      </w:pPr>
    </w:p>
    <w:p>
      <w:pPr>
        <w:ind w:right="620" w:firstLine="441"/>
        <w:spacing w:after="0" w:line="271" w:lineRule="auto"/>
        <w:rPr>
          <w:sz w:val="20"/>
          <w:szCs w:val="20"/>
          <w:color w:val="auto"/>
        </w:rPr>
      </w:pPr>
      <w:r>
        <w:rPr>
          <w:rFonts w:ascii="Times New Roman" w:cs="Times New Roman" w:eastAsia="Times New Roman" w:hAnsi="Times New Roman"/>
          <w:sz w:val="20"/>
          <w:szCs w:val="20"/>
          <w:color w:val="auto"/>
        </w:rPr>
        <w:t>There were no changes in our internal control over financial reporting for the quarter ended December 31, 2024 that have materially affected, or are reasonably likely to materially affect, our internal control over financial reporting.</w:t>
      </w:r>
    </w:p>
    <w:p>
      <w:pPr>
        <w:spacing w:after="0" w:line="186" w:lineRule="exact"/>
        <w:rPr>
          <w:sz w:val="20"/>
          <w:szCs w:val="20"/>
          <w:color w:val="auto"/>
        </w:rPr>
      </w:pPr>
    </w:p>
    <w:p>
      <w:pPr>
        <w:ind w:right="200" w:firstLine="441"/>
        <w:spacing w:after="0" w:line="271" w:lineRule="auto"/>
        <w:rPr>
          <w:sz w:val="20"/>
          <w:szCs w:val="20"/>
          <w:color w:val="auto"/>
        </w:rPr>
      </w:pPr>
      <w:r>
        <w:rPr>
          <w:rFonts w:ascii="Times New Roman" w:cs="Times New Roman" w:eastAsia="Times New Roman" w:hAnsi="Times New Roman"/>
          <w:sz w:val="20"/>
          <w:szCs w:val="20"/>
          <w:color w:val="auto"/>
        </w:rPr>
        <w:t>We are continually monitoring and assessing the geopolitical environment to determine any potential impact on the design and operating effectiveness of our internal controls over financial reporting.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130" w:lineRule="exact"/>
        <w:rPr>
          <w:sz w:val="20"/>
          <w:szCs w:val="20"/>
          <w:color w:val="auto"/>
        </w:rPr>
      </w:pPr>
    </w:p>
    <w:p>
      <w:pPr>
        <w:ind w:firstLine="441"/>
        <w:spacing w:after="0" w:line="271" w:lineRule="auto"/>
        <w:rPr>
          <w:sz w:val="20"/>
          <w:szCs w:val="20"/>
          <w:color w:val="auto"/>
        </w:rPr>
      </w:pPr>
      <w:r>
        <w:rPr>
          <w:rFonts w:ascii="Times New Roman" w:cs="Times New Roman" w:eastAsia="Times New Roman" w:hAnsi="Times New Roman"/>
          <w:sz w:val="20"/>
          <w:szCs w:val="20"/>
          <w:color w:val="auto"/>
        </w:rPr>
        <w:t>During the fourth quarter of 2024, none of our directors or officers (as defined in Rule 16a-1(f) of the Securities Exchange Act of 1934, as amended) adopted, modified, or terminated a Rule 10b5-1 trading arrangement.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Nonqualified Deferred Compensation Plan</w:t>
      </w:r>
    </w:p>
    <w:p>
      <w:pPr>
        <w:spacing w:after="0" w:line="295" w:lineRule="exact"/>
        <w:rPr>
          <w:sz w:val="20"/>
          <w:szCs w:val="20"/>
          <w:color w:val="auto"/>
        </w:rPr>
      </w:pPr>
    </w:p>
    <w:p>
      <w:pPr>
        <w:ind w:right="220" w:firstLine="441"/>
        <w:spacing w:after="0" w:line="250" w:lineRule="auto"/>
        <w:rPr>
          <w:sz w:val="20"/>
          <w:szCs w:val="20"/>
          <w:color w:val="auto"/>
        </w:rPr>
      </w:pPr>
      <w:r>
        <w:rPr>
          <w:rFonts w:ascii="Times New Roman" w:cs="Times New Roman" w:eastAsia="Times New Roman" w:hAnsi="Times New Roman"/>
          <w:sz w:val="20"/>
          <w:szCs w:val="20"/>
          <w:color w:val="auto"/>
        </w:rPr>
        <w:t>On July 22, 2024, the Talent and Compensation Committee of the Board adopted a Nonqualified Deferred Compensation Plan (the “Deferred Compensation Plan”), effective October 1, 2024. The Deferred Compensation Plan allows a select group of advisors, management and highly compensated employees, including all of our executive officers, to elect to defer the receipt of a portion of their base salaries and bonuses, and to receive such deferred compensation in the form of a lump sum or periodic installments, as elected by the participant. The Deferred Compensation Plan also permits the Company, in its sole discretion, to credit additional amounts to the deferral accounts of some or all Deferred Compensation Plan participants.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10580"/>
          </w:cols>
          <w:pgMar w:left="640" w:top="615"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122</w:t>
      </w:r>
    </w:p>
    <w:p>
      <w:pPr>
        <w:sectPr>
          <w:pgSz w:w="11880" w:h="15480" w:orient="portrait"/>
          <w:cols w:equalWidth="0" w:num="1">
            <w:col w:w="10580"/>
          </w:cols>
          <w:pgMar w:left="640" w:top="615" w:right="660" w:bottom="0" w:gutter="0" w:footer="0" w:header="0"/>
          <w:type w:val="continuous"/>
        </w:sectPr>
      </w:pPr>
    </w:p>
    <w:bookmarkStart w:id="128" w:name="page129"/>
    <w:bookmarkEnd w:id="128"/>
    <w:p>
      <w:pPr>
        <w:ind w:left="490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30" w:lineRule="exact"/>
        <w:rPr>
          <w:sz w:val="20"/>
          <w:szCs w:val="20"/>
          <w:color w:val="auto"/>
        </w:rPr>
      </w:pPr>
    </w:p>
    <w:p>
      <w:pPr>
        <w:ind w:right="20" w:firstLine="441"/>
        <w:spacing w:after="0" w:line="250" w:lineRule="auto"/>
        <w:rPr>
          <w:sz w:val="20"/>
          <w:szCs w:val="20"/>
          <w:color w:val="auto"/>
        </w:rPr>
      </w:pPr>
      <w:r>
        <w:rPr>
          <w:rFonts w:ascii="Times New Roman" w:cs="Times New Roman" w:eastAsia="Times New Roman" w:hAnsi="Times New Roman"/>
          <w:sz w:val="20"/>
          <w:szCs w:val="20"/>
          <w:color w:val="auto"/>
        </w:rPr>
        <w:t>Pursuant to Section 406 of the Sarbanes-Oxley Act of 2002, we have adopted a code of conduct and ethics (our “Code of Conduct”) for all of our employees, including our CEO, CFO and other senior financial officers, or persons performing similar functions, and each of the non-employee directors on our Board. Our Code of Conduct is currently available on our website, www.lantheus.com. The information on our web site is not part of, and is not incorporated into, this Form 10-K. We intend to provide any required disclosure of any amendment to or waiver from such code that applies to our CEO, CFO and other senior financial officers, or persons performing similar functions, in a Current Report on Form 8-K filed with the SEC.</w:t>
      </w:r>
    </w:p>
    <w:p>
      <w:pPr>
        <w:spacing w:after="0" w:line="209" w:lineRule="exact"/>
        <w:rPr>
          <w:sz w:val="20"/>
          <w:szCs w:val="20"/>
          <w:color w:val="auto"/>
        </w:rPr>
      </w:pPr>
    </w:p>
    <w:p>
      <w:pPr>
        <w:jc w:val="both"/>
        <w:ind w:right="280" w:firstLine="441"/>
        <w:spacing w:after="0" w:line="258" w:lineRule="auto"/>
        <w:rPr>
          <w:sz w:val="20"/>
          <w:szCs w:val="20"/>
          <w:color w:val="auto"/>
        </w:rPr>
      </w:pPr>
      <w:r>
        <w:rPr>
          <w:rFonts w:ascii="Times New Roman" w:cs="Times New Roman" w:eastAsia="Times New Roman" w:hAnsi="Times New Roman"/>
          <w:sz w:val="20"/>
          <w:szCs w:val="20"/>
          <w:color w:val="auto"/>
        </w:rPr>
        <w:t>The additional information required with respect to this item will be incorporated herein by reference to our Definitive Proxy Statement for our 2025 Annual Meeting of Stockholders or an amendment of this report to be filed with the SEC no later than 120 days after the close of our year ended December 31,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30"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20"/>
          <w:szCs w:val="20"/>
          <w:color w:val="auto"/>
        </w:rPr>
        <w:t>The information required with respect to this item will be incorporated herein by reference to our Definitive Proxy Statement for our 2025 Annual Meeting of Stockholders or an amendment of this report to be filed with the SEC no later than 120 days after the close of our year ended December 31,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30"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20"/>
          <w:szCs w:val="20"/>
          <w:color w:val="auto"/>
        </w:rPr>
        <w:t>The information required with respect to this item will be incorporated herein by reference to our Definitive Proxy Statement for our 2025 Annual Meeting of Stockholders or an amendment of this report to be filed with the SEC no later than 120 days after the close of our year ended December 31,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30"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20"/>
          <w:szCs w:val="20"/>
          <w:color w:val="auto"/>
        </w:rPr>
        <w:t>The information required with respect to this item will be incorporated herein by reference to our Definitive Proxy Statement for our 2025 Annual Meeting of Stockholders or an amendment of this report to be filed with the SEC no later than 120 days after the close of our year ended December 31,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130"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20"/>
          <w:szCs w:val="20"/>
          <w:color w:val="auto"/>
        </w:rPr>
        <w:t>The information required with respect to this item will be incorporated herein by reference to our Definitive Proxy Statement for our 2025 Annual Meeting of Stockholders or an amendment of this report to be filed with the SEC no later than 120 days after the close of our year ended December 31, 2024.</w:t>
      </w:r>
    </w:p>
    <w:p>
      <w:pPr>
        <w:sectPr>
          <w:pgSz w:w="11880" w:h="15480" w:orient="portrait"/>
          <w:cols w:equalWidth="0" w:num="1">
            <w:col w:w="10520"/>
          </w:cols>
          <w:pgMar w:left="640" w:top="61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123</w:t>
      </w:r>
    </w:p>
    <w:p>
      <w:pPr>
        <w:sectPr>
          <w:pgSz w:w="11880" w:h="15480" w:orient="portrait"/>
          <w:cols w:equalWidth="0" w:num="1">
            <w:col w:w="10520"/>
          </w:cols>
          <w:pgMar w:left="640" w:top="615" w:right="720" w:bottom="0" w:gutter="0" w:footer="0" w:header="0"/>
          <w:type w:val="continuous"/>
        </w:sectPr>
      </w:pPr>
    </w:p>
    <w:bookmarkStart w:id="129" w:name="page130"/>
    <w:bookmarkEnd w:id="129"/>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24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b w:val="1"/>
          <w:bCs w:val="1"/>
          <w:color w:val="auto"/>
        </w:rPr>
        <w:t>(a)(1)</w:t>
        <w:tab/>
        <w:t>Financial Statements</w:t>
      </w:r>
    </w:p>
    <w:p>
      <w:pPr>
        <w:spacing w:after="0" w:line="130" w:lineRule="exact"/>
        <w:rPr>
          <w:sz w:val="20"/>
          <w:szCs w:val="20"/>
          <w:color w:val="auto"/>
        </w:rPr>
      </w:pPr>
    </w:p>
    <w:p>
      <w:pPr>
        <w:ind w:right="20" w:firstLine="441"/>
        <w:spacing w:after="0" w:line="265" w:lineRule="auto"/>
        <w:rPr>
          <w:sz w:val="20"/>
          <w:szCs w:val="20"/>
          <w:color w:val="auto"/>
        </w:rPr>
      </w:pPr>
      <w:r>
        <w:rPr>
          <w:rFonts w:ascii="Times New Roman" w:cs="Times New Roman" w:eastAsia="Times New Roman" w:hAnsi="Times New Roman"/>
          <w:sz w:val="20"/>
          <w:szCs w:val="20"/>
          <w:color w:val="auto"/>
        </w:rPr>
        <w:t>The following consolidated financial statements of Lantheus Holdings, Inc. are filed as part of this Form 10-K under Part II, Item 8. Financial Statements and Supplementary Data:</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62"/>
        </w:trPr>
        <w:tc>
          <w:tcPr>
            <w:tcW w:w="9480" w:type="dxa"/>
            <w:vAlign w:val="bottom"/>
          </w:tcPr>
          <w:p>
            <w:pPr>
              <w:spacing w:after="0"/>
              <w:rPr>
                <w:sz w:val="22"/>
                <w:szCs w:val="22"/>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Page</w:t>
            </w:r>
          </w:p>
        </w:tc>
      </w:tr>
      <w:tr>
        <w:trPr>
          <w:trHeight w:val="221"/>
        </w:trPr>
        <w:tc>
          <w:tcPr>
            <w:tcW w:w="9480" w:type="dxa"/>
            <w:vAlign w:val="bottom"/>
          </w:tcPr>
          <w:p>
            <w:pPr>
              <w:spacing w:after="0" w:line="221" w:lineRule="exact"/>
              <w:rPr>
                <w:sz w:val="20"/>
                <w:szCs w:val="20"/>
                <w:color w:val="auto"/>
              </w:rPr>
            </w:pPr>
            <w:r>
              <w:rPr>
                <w:rFonts w:ascii="Times New Roman" w:cs="Times New Roman" w:eastAsia="Times New Roman" w:hAnsi="Times New Roman"/>
                <w:sz w:val="20"/>
                <w:szCs w:val="20"/>
                <w:color w:val="313131"/>
              </w:rPr>
              <w:t>Report of Independent Registered Public Accounting Firm (PCAOB ID No. 34)</w:t>
            </w:r>
          </w:p>
        </w:tc>
        <w:tc>
          <w:tcPr>
            <w:tcW w:w="1060" w:type="dxa"/>
            <w:vAlign w:val="bottom"/>
          </w:tcPr>
          <w:p>
            <w:pPr>
              <w:jc w:val="center"/>
              <w:spacing w:after="0" w:line="221" w:lineRule="exact"/>
              <w:rPr>
                <w:sz w:val="20"/>
                <w:szCs w:val="20"/>
                <w:color w:val="auto"/>
              </w:rPr>
            </w:pPr>
            <w:r>
              <w:rPr>
                <w:rFonts w:ascii="Times New Roman" w:cs="Times New Roman" w:eastAsia="Times New Roman" w:hAnsi="Times New Roman"/>
                <w:sz w:val="20"/>
                <w:szCs w:val="20"/>
                <w:color w:val="313131"/>
                <w:w w:val="99"/>
              </w:rPr>
              <w:t>78</w:t>
            </w:r>
          </w:p>
        </w:tc>
      </w:tr>
      <w:tr>
        <w:trPr>
          <w:trHeight w:val="250"/>
        </w:trPr>
        <w:tc>
          <w:tcPr>
            <w:tcW w:w="9480" w:type="dxa"/>
            <w:vAlign w:val="bottom"/>
          </w:tcPr>
          <w:p>
            <w:pPr>
              <w:spacing w:after="0"/>
              <w:rPr>
                <w:sz w:val="20"/>
                <w:szCs w:val="20"/>
                <w:color w:val="auto"/>
              </w:rPr>
            </w:pPr>
            <w:r>
              <w:rPr>
                <w:rFonts w:ascii="Times New Roman" w:cs="Times New Roman" w:eastAsia="Times New Roman" w:hAnsi="Times New Roman"/>
                <w:sz w:val="20"/>
                <w:szCs w:val="20"/>
                <w:color w:val="313131"/>
              </w:rPr>
              <w:t>Consolidated Balance Sheets</w:t>
            </w: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313131"/>
                <w:w w:val="99"/>
              </w:rPr>
              <w:t>80</w:t>
            </w:r>
          </w:p>
        </w:tc>
      </w:tr>
      <w:tr>
        <w:trPr>
          <w:trHeight w:val="250"/>
        </w:trPr>
        <w:tc>
          <w:tcPr>
            <w:tcW w:w="9480" w:type="dxa"/>
            <w:vAlign w:val="bottom"/>
          </w:tcPr>
          <w:p>
            <w:pPr>
              <w:spacing w:after="0"/>
              <w:rPr>
                <w:sz w:val="20"/>
                <w:szCs w:val="20"/>
                <w:color w:val="auto"/>
              </w:rPr>
            </w:pPr>
            <w:r>
              <w:rPr>
                <w:rFonts w:ascii="Times New Roman" w:cs="Times New Roman" w:eastAsia="Times New Roman" w:hAnsi="Times New Roman"/>
                <w:sz w:val="20"/>
                <w:szCs w:val="20"/>
                <w:color w:val="313131"/>
              </w:rPr>
              <w:t>Consolidated Statements of Operations</w:t>
            </w: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313131"/>
                <w:w w:val="99"/>
              </w:rPr>
              <w:t>81</w:t>
            </w:r>
          </w:p>
        </w:tc>
      </w:tr>
      <w:tr>
        <w:trPr>
          <w:trHeight w:val="250"/>
        </w:trPr>
        <w:tc>
          <w:tcPr>
            <w:tcW w:w="9480" w:type="dxa"/>
            <w:vAlign w:val="bottom"/>
          </w:tcPr>
          <w:p>
            <w:pPr>
              <w:spacing w:after="0"/>
              <w:rPr>
                <w:sz w:val="20"/>
                <w:szCs w:val="20"/>
                <w:color w:val="auto"/>
              </w:rPr>
            </w:pPr>
            <w:r>
              <w:rPr>
                <w:rFonts w:ascii="Times New Roman" w:cs="Times New Roman" w:eastAsia="Times New Roman" w:hAnsi="Times New Roman"/>
                <w:sz w:val="20"/>
                <w:szCs w:val="20"/>
                <w:color w:val="313131"/>
              </w:rPr>
              <w:t>Consolidated Statements of Comprehensive Income</w:t>
            </w: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313131"/>
                <w:w w:val="99"/>
              </w:rPr>
              <w:t>82</w:t>
            </w:r>
          </w:p>
        </w:tc>
      </w:tr>
      <w:tr>
        <w:trPr>
          <w:trHeight w:val="250"/>
        </w:trPr>
        <w:tc>
          <w:tcPr>
            <w:tcW w:w="9480" w:type="dxa"/>
            <w:vAlign w:val="bottom"/>
          </w:tcPr>
          <w:p>
            <w:pPr>
              <w:spacing w:after="0"/>
              <w:rPr>
                <w:sz w:val="20"/>
                <w:szCs w:val="20"/>
                <w:color w:val="auto"/>
              </w:rPr>
            </w:pPr>
            <w:r>
              <w:rPr>
                <w:rFonts w:ascii="Times New Roman" w:cs="Times New Roman" w:eastAsia="Times New Roman" w:hAnsi="Times New Roman"/>
                <w:sz w:val="20"/>
                <w:szCs w:val="20"/>
                <w:color w:val="313131"/>
              </w:rPr>
              <w:t>Consolidated Statements of Changes in Stockholders’ Equity</w:t>
            </w: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313131"/>
                <w:w w:val="99"/>
              </w:rPr>
              <w:t>83</w:t>
            </w:r>
          </w:p>
        </w:tc>
      </w:tr>
      <w:tr>
        <w:trPr>
          <w:trHeight w:val="250"/>
        </w:trPr>
        <w:tc>
          <w:tcPr>
            <w:tcW w:w="9480" w:type="dxa"/>
            <w:vAlign w:val="bottom"/>
          </w:tcPr>
          <w:p>
            <w:pPr>
              <w:spacing w:after="0"/>
              <w:rPr>
                <w:sz w:val="20"/>
                <w:szCs w:val="20"/>
                <w:color w:val="auto"/>
              </w:rPr>
            </w:pPr>
            <w:r>
              <w:rPr>
                <w:rFonts w:ascii="Times New Roman" w:cs="Times New Roman" w:eastAsia="Times New Roman" w:hAnsi="Times New Roman"/>
                <w:sz w:val="20"/>
                <w:szCs w:val="20"/>
                <w:color w:val="313131"/>
              </w:rPr>
              <w:t>Consolidated Statements of Cash Flows</w:t>
            </w: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313131"/>
                <w:w w:val="99"/>
              </w:rPr>
              <w:t>84</w:t>
            </w:r>
          </w:p>
        </w:tc>
      </w:tr>
      <w:tr>
        <w:trPr>
          <w:trHeight w:val="286"/>
        </w:trPr>
        <w:tc>
          <w:tcPr>
            <w:tcW w:w="9480" w:type="dxa"/>
            <w:vAlign w:val="bottom"/>
          </w:tcPr>
          <w:p>
            <w:pPr>
              <w:spacing w:after="0"/>
              <w:rPr>
                <w:sz w:val="20"/>
                <w:szCs w:val="20"/>
                <w:color w:val="auto"/>
              </w:rPr>
            </w:pPr>
            <w:r>
              <w:rPr>
                <w:rFonts w:ascii="Times New Roman" w:cs="Times New Roman" w:eastAsia="Times New Roman" w:hAnsi="Times New Roman"/>
                <w:sz w:val="20"/>
                <w:szCs w:val="20"/>
                <w:color w:val="313131"/>
              </w:rPr>
              <w:t>Notes to Consolidated Financial Statements</w:t>
            </w: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313131"/>
                <w:w w:val="99"/>
              </w:rPr>
              <w:t>86</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(a)(2) Schedules</w:t>
      </w:r>
    </w:p>
    <w:p>
      <w:pPr>
        <w:spacing w:after="0" w:line="130" w:lineRule="exact"/>
        <w:rPr>
          <w:sz w:val="20"/>
          <w:szCs w:val="20"/>
          <w:color w:val="auto"/>
        </w:rPr>
      </w:pPr>
    </w:p>
    <w:p>
      <w:pPr>
        <w:jc w:val="both"/>
        <w:ind w:right="320" w:firstLine="441"/>
        <w:spacing w:after="0" w:line="271" w:lineRule="auto"/>
        <w:rPr>
          <w:sz w:val="20"/>
          <w:szCs w:val="20"/>
          <w:color w:val="auto"/>
        </w:rPr>
      </w:pPr>
      <w:r>
        <w:rPr>
          <w:rFonts w:ascii="Times New Roman" w:cs="Times New Roman" w:eastAsia="Times New Roman" w:hAnsi="Times New Roman"/>
          <w:sz w:val="20"/>
          <w:szCs w:val="20"/>
          <w:color w:val="auto"/>
        </w:rPr>
        <w:t>All schedules are omitted because they are not applicable, not required, or because the required information is included in the consolidated financial statements or notes thereto.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(a)(3) Exhibits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INDEX</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0" w:type="dxa"/>
            <w:vAlign w:val="bottom"/>
          </w:tcPr>
          <w:p>
            <w:pPr>
              <w:spacing w:after="0"/>
              <w:rPr>
                <w:sz w:val="1"/>
                <w:szCs w:val="1"/>
                <w:color w:val="auto"/>
              </w:rPr>
            </w:pPr>
          </w:p>
        </w:tc>
      </w:tr>
      <w:tr>
        <w:trPr>
          <w:trHeight w:val="182"/>
        </w:trPr>
        <w:tc>
          <w:tcPr>
            <w:tcW w:w="1000" w:type="dxa"/>
            <w:vAlign w:val="bottom"/>
            <w:gridSpan w:val="3"/>
          </w:tcPr>
          <w:p>
            <w:pPr>
              <w:jc w:val="center"/>
              <w:ind w:right="140"/>
              <w:spacing w:after="0" w:line="182" w:lineRule="exact"/>
              <w:rPr>
                <w:sz w:val="20"/>
                <w:szCs w:val="20"/>
                <w:color w:val="auto"/>
              </w:rPr>
            </w:pPr>
            <w:r>
              <w:rPr>
                <w:rFonts w:ascii="Times New Roman" w:cs="Times New Roman" w:eastAsia="Times New Roman" w:hAnsi="Times New Roman"/>
                <w:sz w:val="16"/>
                <w:szCs w:val="16"/>
                <w:b w:val="1"/>
                <w:bCs w:val="1"/>
                <w:color w:val="auto"/>
                <w:w w:val="98"/>
              </w:rPr>
              <w:t>Exhibit</w:t>
            </w: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360" w:type="dxa"/>
            <w:vAlign w:val="bottom"/>
            <w:gridSpan w:val="27"/>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Description of Exhibits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Form</w:t>
            </w:r>
          </w:p>
        </w:tc>
        <w:tc>
          <w:tcPr>
            <w:tcW w:w="80" w:type="dxa"/>
            <w:vAlign w:val="bottom"/>
          </w:tcPr>
          <w:p>
            <w:pPr>
              <w:spacing w:after="0"/>
              <w:rPr>
                <w:sz w:val="15"/>
                <w:szCs w:val="15"/>
                <w:color w:val="auto"/>
              </w:rPr>
            </w:pP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File Number</w:t>
            </w:r>
          </w:p>
        </w:tc>
        <w:tc>
          <w:tcPr>
            <w:tcW w:w="60" w:type="dxa"/>
            <w:vAlign w:val="bottom"/>
          </w:tcPr>
          <w:p>
            <w:pPr>
              <w:spacing w:after="0"/>
              <w:rPr>
                <w:sz w:val="15"/>
                <w:szCs w:val="15"/>
                <w:color w:val="auto"/>
              </w:rPr>
            </w:pPr>
          </w:p>
        </w:tc>
        <w:tc>
          <w:tcPr>
            <w:tcW w:w="8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80" w:type="dxa"/>
            <w:vAlign w:val="bottom"/>
          </w:tcPr>
          <w:p>
            <w:pPr>
              <w:spacing w:after="0"/>
              <w:rPr>
                <w:sz w:val="15"/>
                <w:szCs w:val="15"/>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Filing Date</w:t>
            </w:r>
          </w:p>
        </w:tc>
        <w:tc>
          <w:tcPr>
            <w:tcW w:w="0" w:type="dxa"/>
            <w:vAlign w:val="bottom"/>
          </w:tcPr>
          <w:p>
            <w:pPr>
              <w:spacing w:after="0"/>
              <w:rPr>
                <w:sz w:val="1"/>
                <w:szCs w:val="1"/>
                <w:color w:val="auto"/>
              </w:rPr>
            </w:pPr>
          </w:p>
        </w:tc>
      </w:tr>
      <w:tr>
        <w:trPr>
          <w:trHeight w:val="210"/>
        </w:trPr>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80" w:type="dxa"/>
            <w:vAlign w:val="bottom"/>
            <w:tcBorders>
              <w:bottom w:val="single" w:sz="8" w:color="E9E9E9"/>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27"/>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E9E9E9"/>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9E9E9"/>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E9E9E9"/>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9E9E9"/>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000" w:type="dxa"/>
            <w:vAlign w:val="bottom"/>
            <w:gridSpan w:val="3"/>
            <w:shd w:val="clear" w:color="auto" w:fill="E9E9E9"/>
          </w:tcPr>
          <w:p>
            <w:pPr>
              <w:jc w:val="center"/>
              <w:ind w:right="120"/>
              <w:spacing w:after="0"/>
              <w:rPr>
                <w:sz w:val="20"/>
                <w:szCs w:val="20"/>
                <w:color w:val="auto"/>
              </w:rPr>
            </w:pPr>
            <w:r>
              <w:rPr>
                <w:rFonts w:ascii="Times New Roman" w:cs="Times New Roman" w:eastAsia="Times New Roman" w:hAnsi="Times New Roman"/>
                <w:sz w:val="16"/>
                <w:szCs w:val="16"/>
                <w:color w:val="auto"/>
                <w:w w:val="99"/>
              </w:rPr>
              <w:t>2.1††#</w:t>
            </w:r>
          </w:p>
        </w:tc>
        <w:tc>
          <w:tcPr>
            <w:tcW w:w="5080" w:type="dxa"/>
            <w:vAlign w:val="bottom"/>
            <w:gridSpan w:val="30"/>
            <w:shd w:val="clear" w:color="auto" w:fill="E9E9E9"/>
          </w:tcPr>
          <w:p>
            <w:pPr>
              <w:spacing w:after="0"/>
              <w:rPr>
                <w:sz w:val="20"/>
                <w:szCs w:val="20"/>
                <w:color w:val="auto"/>
              </w:rPr>
            </w:pPr>
            <w:r>
              <w:rPr>
                <w:rFonts w:ascii="Times New Roman" w:cs="Times New Roman" w:eastAsia="Times New Roman" w:hAnsi="Times New Roman"/>
                <w:sz w:val="16"/>
                <w:szCs w:val="16"/>
                <w:color w:val="313131"/>
              </w:rPr>
              <w:t>Agreement and Plan of Merger, dated as of January 27, 2025, by and among</w:t>
            </w:r>
          </w:p>
        </w:tc>
        <w:tc>
          <w:tcPr>
            <w:tcW w:w="100" w:type="dxa"/>
            <w:vAlign w:val="bottom"/>
            <w:shd w:val="clear" w:color="auto" w:fill="E9E9E9"/>
          </w:tcPr>
          <w:p>
            <w:pPr>
              <w:spacing w:after="0"/>
              <w:rPr>
                <w:sz w:val="16"/>
                <w:szCs w:val="16"/>
                <w:color w:val="auto"/>
              </w:rPr>
            </w:pPr>
          </w:p>
        </w:tc>
        <w:tc>
          <w:tcPr>
            <w:tcW w:w="80" w:type="dxa"/>
            <w:vAlign w:val="bottom"/>
            <w:shd w:val="clear" w:color="auto" w:fill="E9E9E9"/>
          </w:tcPr>
          <w:p>
            <w:pPr>
              <w:spacing w:after="0"/>
              <w:rPr>
                <w:sz w:val="16"/>
                <w:szCs w:val="16"/>
                <w:color w:val="auto"/>
              </w:rPr>
            </w:pPr>
          </w:p>
        </w:tc>
        <w:tc>
          <w:tcPr>
            <w:tcW w:w="72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060" w:type="dxa"/>
            <w:vAlign w:val="bottom"/>
            <w:gridSpan w:val="2"/>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8"/>
              </w:rPr>
              <w:t>001-36569</w:t>
            </w:r>
          </w:p>
        </w:tc>
        <w:tc>
          <w:tcPr>
            <w:tcW w:w="940" w:type="dxa"/>
            <w:vAlign w:val="bottom"/>
            <w:gridSpan w:val="2"/>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80" w:type="dxa"/>
            <w:vAlign w:val="bottom"/>
            <w:shd w:val="clear" w:color="auto" w:fill="E9E9E9"/>
          </w:tcPr>
          <w:p>
            <w:pPr>
              <w:spacing w:after="0"/>
              <w:rPr>
                <w:sz w:val="16"/>
                <w:szCs w:val="16"/>
                <w:color w:val="auto"/>
              </w:rPr>
            </w:pPr>
          </w:p>
        </w:tc>
        <w:tc>
          <w:tcPr>
            <w:tcW w:w="150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8"/>
              </w:rPr>
              <w:t>January 28, 2025</w:t>
            </w:r>
          </w:p>
        </w:tc>
        <w:tc>
          <w:tcPr>
            <w:tcW w:w="0" w:type="dxa"/>
            <w:vAlign w:val="bottom"/>
          </w:tcPr>
          <w:p>
            <w:pPr>
              <w:spacing w:after="0"/>
              <w:rPr>
                <w:sz w:val="1"/>
                <w:szCs w:val="1"/>
                <w:color w:val="auto"/>
              </w:rPr>
            </w:pPr>
          </w:p>
        </w:tc>
      </w:tr>
      <w:tr>
        <w:trPr>
          <w:trHeight w:val="137"/>
        </w:trPr>
        <w:tc>
          <w:tcPr>
            <w:tcW w:w="880" w:type="dxa"/>
            <w:vAlign w:val="bottom"/>
            <w:tcBorders>
              <w:top w:val="single" w:sz="8" w:color="E9E9E9"/>
              <w:bottom w:val="single" w:sz="8" w:color="E9E9E9"/>
            </w:tcBorders>
            <w:shd w:val="clear" w:color="auto" w:fill="E9E9E9"/>
          </w:tcPr>
          <w:p>
            <w:pPr>
              <w:spacing w:after="0"/>
              <w:rPr>
                <w:sz w:val="11"/>
                <w:szCs w:val="11"/>
                <w:color w:val="auto"/>
              </w:rPr>
            </w:pPr>
          </w:p>
        </w:tc>
        <w:tc>
          <w:tcPr>
            <w:tcW w:w="80" w:type="dxa"/>
            <w:vAlign w:val="bottom"/>
            <w:tcBorders>
              <w:top w:val="single" w:sz="8" w:color="E9E9E9"/>
              <w:bottom w:val="single" w:sz="8" w:color="E9E9E9"/>
            </w:tcBorders>
            <w:shd w:val="clear" w:color="auto" w:fill="E9E9E9"/>
          </w:tcPr>
          <w:p>
            <w:pPr>
              <w:spacing w:after="0"/>
              <w:rPr>
                <w:sz w:val="11"/>
                <w:szCs w:val="11"/>
                <w:color w:val="auto"/>
              </w:rPr>
            </w:pPr>
          </w:p>
        </w:tc>
        <w:tc>
          <w:tcPr>
            <w:tcW w:w="40" w:type="dxa"/>
            <w:vAlign w:val="bottom"/>
            <w:tcBorders>
              <w:top w:val="single" w:sz="8" w:color="E9E9E9"/>
              <w:bottom w:val="single" w:sz="8" w:color="E9E9E9"/>
            </w:tcBorders>
            <w:shd w:val="clear" w:color="auto" w:fill="E9E9E9"/>
          </w:tcPr>
          <w:p>
            <w:pPr>
              <w:spacing w:after="0"/>
              <w:rPr>
                <w:sz w:val="11"/>
                <w:szCs w:val="11"/>
                <w:color w:val="auto"/>
              </w:rPr>
            </w:pPr>
          </w:p>
        </w:tc>
        <w:tc>
          <w:tcPr>
            <w:tcW w:w="4800" w:type="dxa"/>
            <w:vAlign w:val="bottom"/>
            <w:tcBorders>
              <w:top w:val="single" w:sz="8" w:color="313131"/>
              <w:bottom w:val="single" w:sz="8" w:color="313131"/>
            </w:tcBorders>
            <w:gridSpan w:val="23"/>
            <w:shd w:val="clear" w:color="auto" w:fill="E9E9E9"/>
          </w:tcPr>
          <w:p>
            <w:pPr>
              <w:spacing w:after="0" w:line="137" w:lineRule="exact"/>
              <w:rPr>
                <w:sz w:val="20"/>
                <w:szCs w:val="20"/>
                <w:color w:val="auto"/>
              </w:rPr>
            </w:pPr>
            <w:r>
              <w:rPr>
                <w:rFonts w:ascii="Times New Roman" w:cs="Times New Roman" w:eastAsia="Times New Roman" w:hAnsi="Times New Roman"/>
                <w:sz w:val="15"/>
                <w:szCs w:val="15"/>
                <w:color w:val="313131"/>
              </w:rPr>
              <w:t>Lantheus Medical Imaging, Inc., Project Hazel Merger Sub, Inc., Evergreen</w:t>
            </w:r>
          </w:p>
        </w:tc>
        <w:tc>
          <w:tcPr>
            <w:tcW w:w="20" w:type="dxa"/>
            <w:vAlign w:val="bottom"/>
            <w:tcBorders>
              <w:top w:val="single" w:sz="8" w:color="313131"/>
              <w:bottom w:val="single" w:sz="8" w:color="E9E9E9"/>
            </w:tcBorders>
            <w:shd w:val="clear" w:color="auto" w:fill="E9E9E9"/>
          </w:tcPr>
          <w:p>
            <w:pPr>
              <w:spacing w:after="0"/>
              <w:rPr>
                <w:sz w:val="11"/>
                <w:szCs w:val="11"/>
                <w:color w:val="auto"/>
              </w:rPr>
            </w:pPr>
          </w:p>
        </w:tc>
        <w:tc>
          <w:tcPr>
            <w:tcW w:w="80" w:type="dxa"/>
            <w:vAlign w:val="bottom"/>
            <w:tcBorders>
              <w:top w:val="single" w:sz="8" w:color="E9E9E9"/>
              <w:bottom w:val="single" w:sz="8" w:color="E9E9E9"/>
            </w:tcBorders>
            <w:shd w:val="clear" w:color="auto" w:fill="E9E9E9"/>
          </w:tcPr>
          <w:p>
            <w:pPr>
              <w:spacing w:after="0"/>
              <w:rPr>
                <w:sz w:val="11"/>
                <w:szCs w:val="11"/>
                <w:color w:val="auto"/>
              </w:rPr>
            </w:pPr>
          </w:p>
        </w:tc>
        <w:tc>
          <w:tcPr>
            <w:tcW w:w="40" w:type="dxa"/>
            <w:vAlign w:val="bottom"/>
            <w:tcBorders>
              <w:top w:val="single" w:sz="8" w:color="E9E9E9"/>
              <w:bottom w:val="single" w:sz="8" w:color="E9E9E9"/>
            </w:tcBorders>
            <w:shd w:val="clear" w:color="auto" w:fill="E9E9E9"/>
          </w:tcPr>
          <w:p>
            <w:pPr>
              <w:spacing w:after="0"/>
              <w:rPr>
                <w:sz w:val="11"/>
                <w:szCs w:val="11"/>
                <w:color w:val="auto"/>
              </w:rPr>
            </w:pPr>
          </w:p>
        </w:tc>
        <w:tc>
          <w:tcPr>
            <w:tcW w:w="20" w:type="dxa"/>
            <w:vAlign w:val="bottom"/>
            <w:tcBorders>
              <w:top w:val="single" w:sz="8" w:color="E9E9E9"/>
              <w:bottom w:val="single" w:sz="8" w:color="E9E9E9"/>
            </w:tcBorders>
            <w:shd w:val="clear" w:color="auto" w:fill="E9E9E9"/>
          </w:tcPr>
          <w:p>
            <w:pPr>
              <w:spacing w:after="0"/>
              <w:rPr>
                <w:sz w:val="11"/>
                <w:szCs w:val="11"/>
                <w:color w:val="auto"/>
              </w:rPr>
            </w:pPr>
          </w:p>
        </w:tc>
        <w:tc>
          <w:tcPr>
            <w:tcW w:w="20" w:type="dxa"/>
            <w:vAlign w:val="bottom"/>
            <w:tcBorders>
              <w:top w:val="single" w:sz="8" w:color="E9E9E9"/>
              <w:bottom w:val="single" w:sz="8" w:color="E9E9E9"/>
            </w:tcBorders>
            <w:shd w:val="clear" w:color="auto" w:fill="E9E9E9"/>
          </w:tcPr>
          <w:p>
            <w:pPr>
              <w:spacing w:after="0"/>
              <w:rPr>
                <w:sz w:val="11"/>
                <w:szCs w:val="11"/>
                <w:color w:val="auto"/>
              </w:rPr>
            </w:pPr>
          </w:p>
        </w:tc>
        <w:tc>
          <w:tcPr>
            <w:tcW w:w="80" w:type="dxa"/>
            <w:vAlign w:val="bottom"/>
            <w:tcBorders>
              <w:top w:val="single" w:sz="8" w:color="E9E9E9"/>
              <w:bottom w:val="single" w:sz="8" w:color="E9E9E9"/>
            </w:tcBorders>
            <w:shd w:val="clear" w:color="auto" w:fill="E9E9E9"/>
          </w:tcPr>
          <w:p>
            <w:pPr>
              <w:spacing w:after="0"/>
              <w:rPr>
                <w:sz w:val="11"/>
                <w:szCs w:val="11"/>
                <w:color w:val="auto"/>
              </w:rPr>
            </w:pPr>
          </w:p>
        </w:tc>
        <w:tc>
          <w:tcPr>
            <w:tcW w:w="20" w:type="dxa"/>
            <w:vAlign w:val="bottom"/>
            <w:tcBorders>
              <w:top w:val="single" w:sz="8" w:color="E9E9E9"/>
              <w:bottom w:val="single" w:sz="8" w:color="E9E9E9"/>
            </w:tcBorders>
            <w:shd w:val="clear" w:color="auto" w:fill="E9E9E9"/>
          </w:tcPr>
          <w:p>
            <w:pPr>
              <w:spacing w:after="0"/>
              <w:rPr>
                <w:sz w:val="11"/>
                <w:szCs w:val="11"/>
                <w:color w:val="auto"/>
              </w:rPr>
            </w:pPr>
          </w:p>
        </w:tc>
        <w:tc>
          <w:tcPr>
            <w:tcW w:w="100" w:type="dxa"/>
            <w:vAlign w:val="bottom"/>
            <w:tcBorders>
              <w:top w:val="single" w:sz="8" w:color="E9E9E9"/>
              <w:bottom w:val="single" w:sz="8" w:color="E9E9E9"/>
            </w:tcBorders>
            <w:shd w:val="clear" w:color="auto" w:fill="E9E9E9"/>
          </w:tcPr>
          <w:p>
            <w:pPr>
              <w:spacing w:after="0"/>
              <w:rPr>
                <w:sz w:val="11"/>
                <w:szCs w:val="11"/>
                <w:color w:val="auto"/>
              </w:rPr>
            </w:pPr>
          </w:p>
        </w:tc>
        <w:tc>
          <w:tcPr>
            <w:tcW w:w="80" w:type="dxa"/>
            <w:vAlign w:val="bottom"/>
            <w:tcBorders>
              <w:top w:val="single" w:sz="8" w:color="E9E9E9"/>
              <w:bottom w:val="single" w:sz="8" w:color="E9E9E9"/>
            </w:tcBorders>
            <w:shd w:val="clear" w:color="auto" w:fill="E9E9E9"/>
          </w:tcPr>
          <w:p>
            <w:pPr>
              <w:spacing w:after="0"/>
              <w:rPr>
                <w:sz w:val="11"/>
                <w:szCs w:val="11"/>
                <w:color w:val="auto"/>
              </w:rPr>
            </w:pPr>
          </w:p>
        </w:tc>
        <w:tc>
          <w:tcPr>
            <w:tcW w:w="720" w:type="dxa"/>
            <w:vAlign w:val="bottom"/>
            <w:tcBorders>
              <w:top w:val="single" w:sz="8" w:color="E9E9E9"/>
              <w:bottom w:val="single" w:sz="8" w:color="E9E9E9"/>
            </w:tcBorders>
            <w:shd w:val="clear" w:color="auto" w:fill="E9E9E9"/>
          </w:tcPr>
          <w:p>
            <w:pPr>
              <w:spacing w:after="0"/>
              <w:rPr>
                <w:sz w:val="11"/>
                <w:szCs w:val="11"/>
                <w:color w:val="auto"/>
              </w:rPr>
            </w:pPr>
          </w:p>
        </w:tc>
        <w:tc>
          <w:tcPr>
            <w:tcW w:w="80" w:type="dxa"/>
            <w:vAlign w:val="bottom"/>
            <w:tcBorders>
              <w:top w:val="single" w:sz="8" w:color="E9E9E9"/>
              <w:bottom w:val="single" w:sz="8" w:color="E9E9E9"/>
            </w:tcBorders>
            <w:shd w:val="clear" w:color="auto" w:fill="E9E9E9"/>
          </w:tcPr>
          <w:p>
            <w:pPr>
              <w:spacing w:after="0"/>
              <w:rPr>
                <w:sz w:val="11"/>
                <w:szCs w:val="11"/>
                <w:color w:val="auto"/>
              </w:rPr>
            </w:pPr>
          </w:p>
        </w:tc>
        <w:tc>
          <w:tcPr>
            <w:tcW w:w="980" w:type="dxa"/>
            <w:vAlign w:val="bottom"/>
            <w:tcBorders>
              <w:top w:val="single" w:sz="8" w:color="E9E9E9"/>
              <w:bottom w:val="single" w:sz="8" w:color="E9E9E9"/>
            </w:tcBorders>
            <w:shd w:val="clear" w:color="auto" w:fill="E9E9E9"/>
          </w:tcPr>
          <w:p>
            <w:pPr>
              <w:spacing w:after="0"/>
              <w:rPr>
                <w:sz w:val="11"/>
                <w:szCs w:val="11"/>
                <w:color w:val="auto"/>
              </w:rPr>
            </w:pPr>
          </w:p>
        </w:tc>
        <w:tc>
          <w:tcPr>
            <w:tcW w:w="60" w:type="dxa"/>
            <w:vAlign w:val="bottom"/>
            <w:tcBorders>
              <w:top w:val="single" w:sz="8" w:color="E9E9E9"/>
              <w:bottom w:val="single" w:sz="8" w:color="E9E9E9"/>
            </w:tcBorders>
            <w:shd w:val="clear" w:color="auto" w:fill="E9E9E9"/>
          </w:tcPr>
          <w:p>
            <w:pPr>
              <w:spacing w:after="0"/>
              <w:rPr>
                <w:sz w:val="11"/>
                <w:szCs w:val="11"/>
                <w:color w:val="auto"/>
              </w:rPr>
            </w:pPr>
          </w:p>
        </w:tc>
        <w:tc>
          <w:tcPr>
            <w:tcW w:w="880" w:type="dxa"/>
            <w:vAlign w:val="bottom"/>
            <w:tcBorders>
              <w:top w:val="single" w:sz="8" w:color="E9E9E9"/>
              <w:bottom w:val="single" w:sz="8" w:color="E9E9E9"/>
            </w:tcBorders>
            <w:shd w:val="clear" w:color="auto" w:fill="E9E9E9"/>
          </w:tcPr>
          <w:p>
            <w:pPr>
              <w:spacing w:after="0"/>
              <w:rPr>
                <w:sz w:val="11"/>
                <w:szCs w:val="11"/>
                <w:color w:val="auto"/>
              </w:rPr>
            </w:pPr>
          </w:p>
        </w:tc>
        <w:tc>
          <w:tcPr>
            <w:tcW w:w="80" w:type="dxa"/>
            <w:vAlign w:val="bottom"/>
            <w:tcBorders>
              <w:top w:val="single" w:sz="8" w:color="E9E9E9"/>
              <w:bottom w:val="single" w:sz="8" w:color="E9E9E9"/>
            </w:tcBorders>
            <w:shd w:val="clear" w:color="auto" w:fill="E9E9E9"/>
          </w:tcPr>
          <w:p>
            <w:pPr>
              <w:spacing w:after="0"/>
              <w:rPr>
                <w:sz w:val="11"/>
                <w:szCs w:val="11"/>
                <w:color w:val="auto"/>
              </w:rPr>
            </w:pPr>
          </w:p>
        </w:tc>
        <w:tc>
          <w:tcPr>
            <w:tcW w:w="1500" w:type="dxa"/>
            <w:vAlign w:val="bottom"/>
            <w:tcBorders>
              <w:top w:val="single" w:sz="8" w:color="E9E9E9"/>
              <w:bottom w:val="single" w:sz="8" w:color="E9E9E9"/>
            </w:tcBorders>
            <w:shd w:val="clear" w:color="auto" w:fill="E9E9E9"/>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80" w:type="dxa"/>
            <w:vAlign w:val="bottom"/>
            <w:tcBorders>
              <w:bottom w:val="single" w:sz="8" w:color="E9E9E9"/>
            </w:tcBorders>
            <w:shd w:val="clear" w:color="auto" w:fill="E9E9E9"/>
          </w:tcPr>
          <w:p>
            <w:pPr>
              <w:spacing w:after="0"/>
              <w:rPr>
                <w:sz w:val="11"/>
                <w:szCs w:val="11"/>
                <w:color w:val="auto"/>
              </w:rPr>
            </w:pPr>
          </w:p>
        </w:tc>
        <w:tc>
          <w:tcPr>
            <w:tcW w:w="80" w:type="dxa"/>
            <w:vAlign w:val="bottom"/>
            <w:tcBorders>
              <w:bottom w:val="single" w:sz="8" w:color="E9E9E9"/>
            </w:tcBorders>
            <w:shd w:val="clear" w:color="auto" w:fill="E9E9E9"/>
          </w:tcPr>
          <w:p>
            <w:pPr>
              <w:spacing w:after="0"/>
              <w:rPr>
                <w:sz w:val="11"/>
                <w:szCs w:val="11"/>
                <w:color w:val="auto"/>
              </w:rPr>
            </w:pPr>
          </w:p>
        </w:tc>
        <w:tc>
          <w:tcPr>
            <w:tcW w:w="40" w:type="dxa"/>
            <w:vAlign w:val="bottom"/>
            <w:tcBorders>
              <w:bottom w:val="single" w:sz="8" w:color="E9E9E9"/>
            </w:tcBorders>
            <w:shd w:val="clear" w:color="auto" w:fill="E9E9E9"/>
          </w:tcPr>
          <w:p>
            <w:pPr>
              <w:spacing w:after="0"/>
              <w:rPr>
                <w:sz w:val="11"/>
                <w:szCs w:val="11"/>
                <w:color w:val="auto"/>
              </w:rPr>
            </w:pPr>
          </w:p>
        </w:tc>
        <w:tc>
          <w:tcPr>
            <w:tcW w:w="5080" w:type="dxa"/>
            <w:vAlign w:val="bottom"/>
            <w:tcBorders>
              <w:bottom w:val="single" w:sz="8" w:color="313131"/>
            </w:tcBorders>
            <w:gridSpan w:val="30"/>
            <w:shd w:val="clear" w:color="auto" w:fill="E9E9E9"/>
          </w:tcPr>
          <w:p>
            <w:pPr>
              <w:spacing w:after="0" w:line="137" w:lineRule="exact"/>
              <w:rPr>
                <w:sz w:val="20"/>
                <w:szCs w:val="20"/>
                <w:color w:val="auto"/>
              </w:rPr>
            </w:pPr>
            <w:r>
              <w:rPr>
                <w:rFonts w:ascii="Times New Roman" w:cs="Times New Roman" w:eastAsia="Times New Roman" w:hAnsi="Times New Roman"/>
                <w:sz w:val="15"/>
                <w:szCs w:val="15"/>
                <w:color w:val="313131"/>
              </w:rPr>
              <w:t>Theragnostics, Inc., Shareholder Representative Services LLC and, for purposes</w:t>
            </w:r>
          </w:p>
        </w:tc>
        <w:tc>
          <w:tcPr>
            <w:tcW w:w="100" w:type="dxa"/>
            <w:vAlign w:val="bottom"/>
            <w:tcBorders>
              <w:bottom w:val="single" w:sz="8" w:color="E9E9E9"/>
            </w:tcBorders>
            <w:shd w:val="clear" w:color="auto" w:fill="E9E9E9"/>
          </w:tcPr>
          <w:p>
            <w:pPr>
              <w:spacing w:after="0"/>
              <w:rPr>
                <w:sz w:val="11"/>
                <w:szCs w:val="11"/>
                <w:color w:val="auto"/>
              </w:rPr>
            </w:pPr>
          </w:p>
        </w:tc>
        <w:tc>
          <w:tcPr>
            <w:tcW w:w="80" w:type="dxa"/>
            <w:vAlign w:val="bottom"/>
            <w:tcBorders>
              <w:bottom w:val="single" w:sz="8" w:color="E9E9E9"/>
            </w:tcBorders>
            <w:shd w:val="clear" w:color="auto" w:fill="E9E9E9"/>
          </w:tcPr>
          <w:p>
            <w:pPr>
              <w:spacing w:after="0"/>
              <w:rPr>
                <w:sz w:val="11"/>
                <w:szCs w:val="11"/>
                <w:color w:val="auto"/>
              </w:rPr>
            </w:pPr>
          </w:p>
        </w:tc>
        <w:tc>
          <w:tcPr>
            <w:tcW w:w="720" w:type="dxa"/>
            <w:vAlign w:val="bottom"/>
            <w:tcBorders>
              <w:bottom w:val="single" w:sz="8" w:color="E9E9E9"/>
            </w:tcBorders>
            <w:shd w:val="clear" w:color="auto" w:fill="E9E9E9"/>
          </w:tcPr>
          <w:p>
            <w:pPr>
              <w:spacing w:after="0"/>
              <w:rPr>
                <w:sz w:val="11"/>
                <w:szCs w:val="11"/>
                <w:color w:val="auto"/>
              </w:rPr>
            </w:pPr>
          </w:p>
        </w:tc>
        <w:tc>
          <w:tcPr>
            <w:tcW w:w="80" w:type="dxa"/>
            <w:vAlign w:val="bottom"/>
            <w:tcBorders>
              <w:bottom w:val="single" w:sz="8" w:color="E9E9E9"/>
            </w:tcBorders>
            <w:shd w:val="clear" w:color="auto" w:fill="E9E9E9"/>
          </w:tcPr>
          <w:p>
            <w:pPr>
              <w:spacing w:after="0"/>
              <w:rPr>
                <w:sz w:val="11"/>
                <w:szCs w:val="11"/>
                <w:color w:val="auto"/>
              </w:rPr>
            </w:pPr>
          </w:p>
        </w:tc>
        <w:tc>
          <w:tcPr>
            <w:tcW w:w="980" w:type="dxa"/>
            <w:vAlign w:val="bottom"/>
            <w:tcBorders>
              <w:bottom w:val="single" w:sz="8" w:color="E9E9E9"/>
            </w:tcBorders>
            <w:shd w:val="clear" w:color="auto" w:fill="E9E9E9"/>
          </w:tcPr>
          <w:p>
            <w:pPr>
              <w:spacing w:after="0"/>
              <w:rPr>
                <w:sz w:val="11"/>
                <w:szCs w:val="11"/>
                <w:color w:val="auto"/>
              </w:rPr>
            </w:pPr>
          </w:p>
        </w:tc>
        <w:tc>
          <w:tcPr>
            <w:tcW w:w="60" w:type="dxa"/>
            <w:vAlign w:val="bottom"/>
            <w:tcBorders>
              <w:bottom w:val="single" w:sz="8" w:color="E9E9E9"/>
            </w:tcBorders>
            <w:shd w:val="clear" w:color="auto" w:fill="E9E9E9"/>
          </w:tcPr>
          <w:p>
            <w:pPr>
              <w:spacing w:after="0"/>
              <w:rPr>
                <w:sz w:val="11"/>
                <w:szCs w:val="11"/>
                <w:color w:val="auto"/>
              </w:rPr>
            </w:pPr>
          </w:p>
        </w:tc>
        <w:tc>
          <w:tcPr>
            <w:tcW w:w="880" w:type="dxa"/>
            <w:vAlign w:val="bottom"/>
            <w:tcBorders>
              <w:bottom w:val="single" w:sz="8" w:color="E9E9E9"/>
            </w:tcBorders>
            <w:shd w:val="clear" w:color="auto" w:fill="E9E9E9"/>
          </w:tcPr>
          <w:p>
            <w:pPr>
              <w:spacing w:after="0"/>
              <w:rPr>
                <w:sz w:val="11"/>
                <w:szCs w:val="11"/>
                <w:color w:val="auto"/>
              </w:rPr>
            </w:pPr>
          </w:p>
        </w:tc>
        <w:tc>
          <w:tcPr>
            <w:tcW w:w="80" w:type="dxa"/>
            <w:vAlign w:val="bottom"/>
            <w:tcBorders>
              <w:bottom w:val="single" w:sz="8" w:color="E9E9E9"/>
            </w:tcBorders>
            <w:shd w:val="clear" w:color="auto" w:fill="E9E9E9"/>
          </w:tcPr>
          <w:p>
            <w:pPr>
              <w:spacing w:after="0"/>
              <w:rPr>
                <w:sz w:val="11"/>
                <w:szCs w:val="11"/>
                <w:color w:val="auto"/>
              </w:rPr>
            </w:pPr>
          </w:p>
        </w:tc>
        <w:tc>
          <w:tcPr>
            <w:tcW w:w="1500" w:type="dxa"/>
            <w:vAlign w:val="bottom"/>
            <w:tcBorders>
              <w:bottom w:val="single" w:sz="8" w:color="E9E9E9"/>
            </w:tcBorders>
            <w:shd w:val="clear" w:color="auto" w:fill="E9E9E9"/>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880" w:type="dxa"/>
            <w:vAlign w:val="bottom"/>
            <w:tcBorders>
              <w:bottom w:val="single" w:sz="8" w:color="E9E9E9"/>
            </w:tcBorders>
            <w:shd w:val="clear" w:color="auto" w:fill="E9E9E9"/>
          </w:tcPr>
          <w:p>
            <w:pPr>
              <w:spacing w:after="0"/>
              <w:rPr>
                <w:sz w:val="13"/>
                <w:szCs w:val="13"/>
                <w:color w:val="auto"/>
              </w:rPr>
            </w:pPr>
          </w:p>
        </w:tc>
        <w:tc>
          <w:tcPr>
            <w:tcW w:w="80" w:type="dxa"/>
            <w:vAlign w:val="bottom"/>
            <w:tcBorders>
              <w:bottom w:val="single" w:sz="8" w:color="E9E9E9"/>
            </w:tcBorders>
            <w:shd w:val="clear" w:color="auto" w:fill="E9E9E9"/>
          </w:tcPr>
          <w:p>
            <w:pPr>
              <w:spacing w:after="0"/>
              <w:rPr>
                <w:sz w:val="13"/>
                <w:szCs w:val="13"/>
                <w:color w:val="auto"/>
              </w:rPr>
            </w:pPr>
          </w:p>
        </w:tc>
        <w:tc>
          <w:tcPr>
            <w:tcW w:w="40" w:type="dxa"/>
            <w:vAlign w:val="bottom"/>
            <w:tcBorders>
              <w:bottom w:val="single" w:sz="8" w:color="E9E9E9"/>
            </w:tcBorders>
            <w:shd w:val="clear" w:color="auto" w:fill="E9E9E9"/>
          </w:tcPr>
          <w:p>
            <w:pPr>
              <w:spacing w:after="0"/>
              <w:rPr>
                <w:sz w:val="13"/>
                <w:szCs w:val="13"/>
                <w:color w:val="auto"/>
              </w:rPr>
            </w:pPr>
          </w:p>
        </w:tc>
        <w:tc>
          <w:tcPr>
            <w:tcW w:w="2860" w:type="dxa"/>
            <w:vAlign w:val="bottom"/>
            <w:tcBorders>
              <w:bottom w:val="single" w:sz="8" w:color="313131"/>
            </w:tcBorders>
            <w:gridSpan w:val="6"/>
            <w:shd w:val="clear" w:color="auto" w:fill="E9E9E9"/>
          </w:tcPr>
          <w:p>
            <w:pPr>
              <w:spacing w:after="0" w:line="137" w:lineRule="exact"/>
              <w:rPr>
                <w:sz w:val="20"/>
                <w:szCs w:val="20"/>
                <w:color w:val="auto"/>
              </w:rPr>
            </w:pPr>
            <w:r>
              <w:rPr>
                <w:rFonts w:ascii="Times New Roman" w:cs="Times New Roman" w:eastAsia="Times New Roman" w:hAnsi="Times New Roman"/>
                <w:sz w:val="15"/>
                <w:szCs w:val="15"/>
                <w:color w:val="313131"/>
              </w:rPr>
              <w:t>of Section 11.2 only, Lantheus Holdings, Inc.</w:t>
            </w:r>
          </w:p>
        </w:tc>
        <w:tc>
          <w:tcPr>
            <w:tcW w:w="2220" w:type="dxa"/>
            <w:vAlign w:val="bottom"/>
            <w:tcBorders>
              <w:bottom w:val="single" w:sz="8" w:color="E9E9E9"/>
            </w:tcBorders>
            <w:gridSpan w:val="24"/>
            <w:shd w:val="clear" w:color="auto" w:fill="E9E9E9"/>
          </w:tcPr>
          <w:p>
            <w:pPr>
              <w:spacing w:after="0"/>
              <w:rPr>
                <w:sz w:val="13"/>
                <w:szCs w:val="13"/>
                <w:color w:val="auto"/>
              </w:rPr>
            </w:pPr>
          </w:p>
        </w:tc>
        <w:tc>
          <w:tcPr>
            <w:tcW w:w="100" w:type="dxa"/>
            <w:vAlign w:val="bottom"/>
            <w:tcBorders>
              <w:bottom w:val="single" w:sz="8" w:color="E9E9E9"/>
            </w:tcBorders>
            <w:shd w:val="clear" w:color="auto" w:fill="E9E9E9"/>
          </w:tcPr>
          <w:p>
            <w:pPr>
              <w:spacing w:after="0"/>
              <w:rPr>
                <w:sz w:val="13"/>
                <w:szCs w:val="13"/>
                <w:color w:val="auto"/>
              </w:rPr>
            </w:pPr>
          </w:p>
        </w:tc>
        <w:tc>
          <w:tcPr>
            <w:tcW w:w="80" w:type="dxa"/>
            <w:vAlign w:val="bottom"/>
            <w:tcBorders>
              <w:bottom w:val="single" w:sz="8" w:color="E9E9E9"/>
            </w:tcBorders>
            <w:shd w:val="clear" w:color="auto" w:fill="E9E9E9"/>
          </w:tcPr>
          <w:p>
            <w:pPr>
              <w:spacing w:after="0"/>
              <w:rPr>
                <w:sz w:val="13"/>
                <w:szCs w:val="13"/>
                <w:color w:val="auto"/>
              </w:rPr>
            </w:pPr>
          </w:p>
        </w:tc>
        <w:tc>
          <w:tcPr>
            <w:tcW w:w="720" w:type="dxa"/>
            <w:vAlign w:val="bottom"/>
            <w:tcBorders>
              <w:bottom w:val="single" w:sz="8" w:color="E9E9E9"/>
            </w:tcBorders>
            <w:shd w:val="clear" w:color="auto" w:fill="E9E9E9"/>
          </w:tcPr>
          <w:p>
            <w:pPr>
              <w:spacing w:after="0"/>
              <w:rPr>
                <w:sz w:val="13"/>
                <w:szCs w:val="13"/>
                <w:color w:val="auto"/>
              </w:rPr>
            </w:pPr>
          </w:p>
        </w:tc>
        <w:tc>
          <w:tcPr>
            <w:tcW w:w="80" w:type="dxa"/>
            <w:vAlign w:val="bottom"/>
            <w:tcBorders>
              <w:bottom w:val="single" w:sz="8" w:color="E9E9E9"/>
            </w:tcBorders>
            <w:shd w:val="clear" w:color="auto" w:fill="E9E9E9"/>
          </w:tcPr>
          <w:p>
            <w:pPr>
              <w:spacing w:after="0"/>
              <w:rPr>
                <w:sz w:val="13"/>
                <w:szCs w:val="13"/>
                <w:color w:val="auto"/>
              </w:rPr>
            </w:pPr>
          </w:p>
        </w:tc>
        <w:tc>
          <w:tcPr>
            <w:tcW w:w="980" w:type="dxa"/>
            <w:vAlign w:val="bottom"/>
            <w:tcBorders>
              <w:bottom w:val="single" w:sz="8" w:color="E9E9E9"/>
            </w:tcBorders>
            <w:shd w:val="clear" w:color="auto" w:fill="E9E9E9"/>
          </w:tcPr>
          <w:p>
            <w:pPr>
              <w:spacing w:after="0"/>
              <w:rPr>
                <w:sz w:val="13"/>
                <w:szCs w:val="13"/>
                <w:color w:val="auto"/>
              </w:rPr>
            </w:pPr>
          </w:p>
        </w:tc>
        <w:tc>
          <w:tcPr>
            <w:tcW w:w="60" w:type="dxa"/>
            <w:vAlign w:val="bottom"/>
            <w:tcBorders>
              <w:bottom w:val="single" w:sz="8" w:color="E9E9E9"/>
            </w:tcBorders>
            <w:shd w:val="clear" w:color="auto" w:fill="E9E9E9"/>
          </w:tcPr>
          <w:p>
            <w:pPr>
              <w:spacing w:after="0"/>
              <w:rPr>
                <w:sz w:val="13"/>
                <w:szCs w:val="13"/>
                <w:color w:val="auto"/>
              </w:rPr>
            </w:pPr>
          </w:p>
        </w:tc>
        <w:tc>
          <w:tcPr>
            <w:tcW w:w="880" w:type="dxa"/>
            <w:vAlign w:val="bottom"/>
            <w:tcBorders>
              <w:bottom w:val="single" w:sz="8" w:color="E9E9E9"/>
            </w:tcBorders>
            <w:shd w:val="clear" w:color="auto" w:fill="E9E9E9"/>
          </w:tcPr>
          <w:p>
            <w:pPr>
              <w:spacing w:after="0"/>
              <w:rPr>
                <w:sz w:val="13"/>
                <w:szCs w:val="13"/>
                <w:color w:val="auto"/>
              </w:rPr>
            </w:pPr>
          </w:p>
        </w:tc>
        <w:tc>
          <w:tcPr>
            <w:tcW w:w="80" w:type="dxa"/>
            <w:vAlign w:val="bottom"/>
            <w:tcBorders>
              <w:bottom w:val="single" w:sz="8" w:color="E9E9E9"/>
            </w:tcBorders>
            <w:shd w:val="clear" w:color="auto" w:fill="E9E9E9"/>
          </w:tcPr>
          <w:p>
            <w:pPr>
              <w:spacing w:after="0"/>
              <w:rPr>
                <w:sz w:val="13"/>
                <w:szCs w:val="13"/>
                <w:color w:val="auto"/>
              </w:rPr>
            </w:pPr>
          </w:p>
        </w:tc>
        <w:tc>
          <w:tcPr>
            <w:tcW w:w="1500" w:type="dxa"/>
            <w:vAlign w:val="bottom"/>
            <w:tcBorders>
              <w:bottom w:val="single" w:sz="8" w:color="E9E9E9"/>
            </w:tcBorders>
            <w:shd w:val="clear" w:color="auto" w:fill="E9E9E9"/>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80" w:type="dxa"/>
            <w:vAlign w:val="bottom"/>
            <w:gridSpan w:val="30"/>
          </w:tcPr>
          <w:p>
            <w:pPr>
              <w:spacing w:after="0"/>
              <w:rPr>
                <w:sz w:val="20"/>
                <w:szCs w:val="20"/>
                <w:color w:val="auto"/>
              </w:rPr>
            </w:pPr>
            <w:r>
              <w:rPr>
                <w:rFonts w:ascii="Times New Roman" w:cs="Times New Roman" w:eastAsia="Times New Roman" w:hAnsi="Times New Roman"/>
                <w:sz w:val="16"/>
                <w:szCs w:val="16"/>
                <w:color w:val="313131"/>
              </w:rPr>
              <w:t>Amended and Restated Certificate of Incorporation of Lantheus Holdings, Inc.</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001-36569</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April 27, 2018</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Borders>
              <w:top w:val="single" w:sz="8" w:color="313131"/>
            </w:tcBorders>
          </w:tcPr>
          <w:p>
            <w:pPr>
              <w:spacing w:after="0"/>
              <w:rPr>
                <w:sz w:val="17"/>
                <w:szCs w:val="17"/>
                <w:color w:val="auto"/>
              </w:rPr>
            </w:pPr>
          </w:p>
        </w:tc>
        <w:tc>
          <w:tcPr>
            <w:tcW w:w="460" w:type="dxa"/>
            <w:vAlign w:val="bottom"/>
            <w:tcBorders>
              <w:top w:val="single" w:sz="8" w:color="313131"/>
            </w:tcBorders>
          </w:tcPr>
          <w:p>
            <w:pPr>
              <w:spacing w:after="0"/>
              <w:rPr>
                <w:sz w:val="17"/>
                <w:szCs w:val="17"/>
                <w:color w:val="auto"/>
              </w:rPr>
            </w:pPr>
          </w:p>
        </w:tc>
        <w:tc>
          <w:tcPr>
            <w:tcW w:w="920" w:type="dxa"/>
            <w:vAlign w:val="bottom"/>
            <w:tcBorders>
              <w:top w:val="single" w:sz="8" w:color="313131"/>
            </w:tcBorders>
          </w:tcPr>
          <w:p>
            <w:pPr>
              <w:spacing w:after="0"/>
              <w:rPr>
                <w:sz w:val="17"/>
                <w:szCs w:val="17"/>
                <w:color w:val="auto"/>
              </w:rPr>
            </w:pPr>
          </w:p>
        </w:tc>
        <w:tc>
          <w:tcPr>
            <w:tcW w:w="640" w:type="dxa"/>
            <w:vAlign w:val="bottom"/>
            <w:tcBorders>
              <w:top w:val="single" w:sz="8" w:color="313131"/>
            </w:tcBorders>
          </w:tcPr>
          <w:p>
            <w:pPr>
              <w:spacing w:after="0"/>
              <w:rPr>
                <w:sz w:val="17"/>
                <w:szCs w:val="17"/>
                <w:color w:val="auto"/>
              </w:rPr>
            </w:pPr>
          </w:p>
        </w:tc>
        <w:tc>
          <w:tcPr>
            <w:tcW w:w="360" w:type="dxa"/>
            <w:vAlign w:val="bottom"/>
            <w:tcBorders>
              <w:top w:val="single" w:sz="8" w:color="313131"/>
            </w:tcBorders>
          </w:tcPr>
          <w:p>
            <w:pPr>
              <w:spacing w:after="0"/>
              <w:rPr>
                <w:sz w:val="17"/>
                <w:szCs w:val="17"/>
                <w:color w:val="auto"/>
              </w:rPr>
            </w:pPr>
          </w:p>
        </w:tc>
        <w:tc>
          <w:tcPr>
            <w:tcW w:w="140" w:type="dxa"/>
            <w:vAlign w:val="bottom"/>
            <w:tcBorders>
              <w:top w:val="single" w:sz="8" w:color="313131"/>
            </w:tcBorders>
          </w:tcPr>
          <w:p>
            <w:pPr>
              <w:spacing w:after="0"/>
              <w:rPr>
                <w:sz w:val="17"/>
                <w:szCs w:val="17"/>
                <w:color w:val="auto"/>
              </w:rPr>
            </w:pPr>
          </w:p>
        </w:tc>
        <w:tc>
          <w:tcPr>
            <w:tcW w:w="260" w:type="dxa"/>
            <w:vAlign w:val="bottom"/>
            <w:tcBorders>
              <w:top w:val="single" w:sz="8" w:color="313131"/>
            </w:tcBorders>
          </w:tcPr>
          <w:p>
            <w:pPr>
              <w:spacing w:after="0"/>
              <w:rPr>
                <w:sz w:val="17"/>
                <w:szCs w:val="17"/>
                <w:color w:val="auto"/>
              </w:rPr>
            </w:pPr>
          </w:p>
        </w:tc>
        <w:tc>
          <w:tcPr>
            <w:tcW w:w="180" w:type="dxa"/>
            <w:vAlign w:val="bottom"/>
            <w:tcBorders>
              <w:top w:val="single" w:sz="8" w:color="313131"/>
            </w:tcBorders>
          </w:tcPr>
          <w:p>
            <w:pPr>
              <w:spacing w:after="0"/>
              <w:rPr>
                <w:sz w:val="17"/>
                <w:szCs w:val="17"/>
                <w:color w:val="auto"/>
              </w:rPr>
            </w:pPr>
          </w:p>
        </w:tc>
        <w:tc>
          <w:tcPr>
            <w:tcW w:w="120" w:type="dxa"/>
            <w:vAlign w:val="bottom"/>
            <w:tcBorders>
              <w:top w:val="single" w:sz="8" w:color="313131"/>
            </w:tcBorders>
          </w:tcPr>
          <w:p>
            <w:pPr>
              <w:spacing w:after="0"/>
              <w:rPr>
                <w:sz w:val="17"/>
                <w:szCs w:val="17"/>
                <w:color w:val="auto"/>
              </w:rPr>
            </w:pPr>
          </w:p>
        </w:tc>
        <w:tc>
          <w:tcPr>
            <w:tcW w:w="160" w:type="dxa"/>
            <w:vAlign w:val="bottom"/>
            <w:tcBorders>
              <w:top w:val="single" w:sz="8" w:color="313131"/>
            </w:tcBorders>
          </w:tcPr>
          <w:p>
            <w:pPr>
              <w:spacing w:after="0"/>
              <w:rPr>
                <w:sz w:val="17"/>
                <w:szCs w:val="17"/>
                <w:color w:val="auto"/>
              </w:rPr>
            </w:pPr>
          </w:p>
        </w:tc>
        <w:tc>
          <w:tcPr>
            <w:tcW w:w="100" w:type="dxa"/>
            <w:vAlign w:val="bottom"/>
            <w:tcBorders>
              <w:top w:val="single" w:sz="8" w:color="313131"/>
            </w:tcBorders>
          </w:tcPr>
          <w:p>
            <w:pPr>
              <w:spacing w:after="0"/>
              <w:rPr>
                <w:sz w:val="17"/>
                <w:szCs w:val="17"/>
                <w:color w:val="auto"/>
              </w:rPr>
            </w:pPr>
          </w:p>
        </w:tc>
        <w:tc>
          <w:tcPr>
            <w:tcW w:w="500" w:type="dxa"/>
            <w:vAlign w:val="bottom"/>
            <w:tcBorders>
              <w:top w:val="single" w:sz="8" w:color="313131"/>
            </w:tcBorders>
          </w:tcPr>
          <w:p>
            <w:pPr>
              <w:spacing w:after="0"/>
              <w:rPr>
                <w:sz w:val="17"/>
                <w:szCs w:val="17"/>
                <w:color w:val="auto"/>
              </w:rPr>
            </w:pPr>
          </w:p>
        </w:tc>
        <w:tc>
          <w:tcPr>
            <w:tcW w:w="80" w:type="dxa"/>
            <w:vAlign w:val="bottom"/>
            <w:tcBorders>
              <w:top w:val="single" w:sz="8" w:color="313131"/>
            </w:tcBorders>
          </w:tcPr>
          <w:p>
            <w:pPr>
              <w:spacing w:after="0"/>
              <w:rPr>
                <w:sz w:val="17"/>
                <w:szCs w:val="17"/>
                <w:color w:val="auto"/>
              </w:rPr>
            </w:pPr>
          </w:p>
        </w:tc>
        <w:tc>
          <w:tcPr>
            <w:tcW w:w="20" w:type="dxa"/>
            <w:vAlign w:val="bottom"/>
            <w:tcBorders>
              <w:top w:val="single" w:sz="8" w:color="313131"/>
            </w:tcBorders>
          </w:tcPr>
          <w:p>
            <w:pPr>
              <w:spacing w:after="0"/>
              <w:rPr>
                <w:sz w:val="17"/>
                <w:szCs w:val="17"/>
                <w:color w:val="auto"/>
              </w:rPr>
            </w:pPr>
          </w:p>
        </w:tc>
        <w:tc>
          <w:tcPr>
            <w:tcW w:w="20" w:type="dxa"/>
            <w:vAlign w:val="bottom"/>
            <w:tcBorders>
              <w:top w:val="single" w:sz="8" w:color="313131"/>
            </w:tcBorders>
          </w:tcPr>
          <w:p>
            <w:pPr>
              <w:spacing w:after="0"/>
              <w:rPr>
                <w:sz w:val="17"/>
                <w:szCs w:val="17"/>
                <w:color w:val="auto"/>
              </w:rPr>
            </w:pPr>
          </w:p>
        </w:tc>
        <w:tc>
          <w:tcPr>
            <w:tcW w:w="80" w:type="dxa"/>
            <w:vAlign w:val="bottom"/>
            <w:tcBorders>
              <w:top w:val="single" w:sz="8" w:color="313131"/>
            </w:tcBorders>
          </w:tcPr>
          <w:p>
            <w:pPr>
              <w:spacing w:after="0"/>
              <w:rPr>
                <w:sz w:val="17"/>
                <w:szCs w:val="17"/>
                <w:color w:val="auto"/>
              </w:rPr>
            </w:pPr>
          </w:p>
        </w:tc>
        <w:tc>
          <w:tcPr>
            <w:tcW w:w="20" w:type="dxa"/>
            <w:vAlign w:val="bottom"/>
            <w:tcBorders>
              <w:top w:val="single" w:sz="8" w:color="313131"/>
            </w:tcBorders>
          </w:tcPr>
          <w:p>
            <w:pPr>
              <w:spacing w:after="0"/>
              <w:rPr>
                <w:sz w:val="17"/>
                <w:szCs w:val="17"/>
                <w:color w:val="auto"/>
              </w:rPr>
            </w:pPr>
          </w:p>
        </w:tc>
        <w:tc>
          <w:tcPr>
            <w:tcW w:w="200" w:type="dxa"/>
            <w:vAlign w:val="bottom"/>
            <w:tcBorders>
              <w:top w:val="single" w:sz="8" w:color="313131"/>
            </w:tcBorders>
          </w:tcPr>
          <w:p>
            <w:pPr>
              <w:spacing w:after="0"/>
              <w:rPr>
                <w:sz w:val="17"/>
                <w:szCs w:val="17"/>
                <w:color w:val="auto"/>
              </w:rPr>
            </w:pPr>
          </w:p>
        </w:tc>
        <w:tc>
          <w:tcPr>
            <w:tcW w:w="20" w:type="dxa"/>
            <w:vAlign w:val="bottom"/>
            <w:tcBorders>
              <w:top w:val="single" w:sz="8" w:color="313131"/>
            </w:tcBorders>
          </w:tcPr>
          <w:p>
            <w:pPr>
              <w:spacing w:after="0"/>
              <w:rPr>
                <w:sz w:val="17"/>
                <w:szCs w:val="17"/>
                <w:color w:val="auto"/>
              </w:rPr>
            </w:pPr>
          </w:p>
        </w:tc>
        <w:tc>
          <w:tcPr>
            <w:tcW w:w="80" w:type="dxa"/>
            <w:vAlign w:val="bottom"/>
            <w:tcBorders>
              <w:top w:val="single" w:sz="8" w:color="313131"/>
            </w:tcBorders>
          </w:tcPr>
          <w:p>
            <w:pPr>
              <w:spacing w:after="0"/>
              <w:rPr>
                <w:sz w:val="17"/>
                <w:szCs w:val="17"/>
                <w:color w:val="auto"/>
              </w:rPr>
            </w:pPr>
          </w:p>
        </w:tc>
        <w:tc>
          <w:tcPr>
            <w:tcW w:w="20" w:type="dxa"/>
            <w:vAlign w:val="bottom"/>
            <w:tcBorders>
              <w:top w:val="single" w:sz="8" w:color="313131"/>
            </w:tcBorders>
          </w:tcPr>
          <w:p>
            <w:pPr>
              <w:spacing w:after="0"/>
              <w:rPr>
                <w:sz w:val="17"/>
                <w:szCs w:val="17"/>
                <w:color w:val="auto"/>
              </w:rPr>
            </w:pPr>
          </w:p>
        </w:tc>
        <w:tc>
          <w:tcPr>
            <w:tcW w:w="20" w:type="dxa"/>
            <w:vAlign w:val="bottom"/>
            <w:tcBorders>
              <w:top w:val="single" w:sz="8" w:color="313131"/>
            </w:tcBorders>
          </w:tcPr>
          <w:p>
            <w:pPr>
              <w:spacing w:after="0"/>
              <w:rPr>
                <w:sz w:val="17"/>
                <w:szCs w:val="17"/>
                <w:color w:val="auto"/>
              </w:rPr>
            </w:pPr>
          </w:p>
        </w:tc>
        <w:tc>
          <w:tcPr>
            <w:tcW w:w="60" w:type="dxa"/>
            <w:vAlign w:val="bottom"/>
            <w:tcBorders>
              <w:top w:val="single" w:sz="8" w:color="313131"/>
            </w:tcBorders>
          </w:tcPr>
          <w:p>
            <w:pPr>
              <w:spacing w:after="0"/>
              <w:rPr>
                <w:sz w:val="17"/>
                <w:szCs w:val="17"/>
                <w:color w:val="auto"/>
              </w:rPr>
            </w:pPr>
          </w:p>
        </w:tc>
        <w:tc>
          <w:tcPr>
            <w:tcW w:w="20" w:type="dxa"/>
            <w:vAlign w:val="bottom"/>
            <w:tcBorders>
              <w:top w:val="single" w:sz="8" w:color="313131"/>
            </w:tcBorders>
          </w:tcPr>
          <w:p>
            <w:pPr>
              <w:spacing w:after="0"/>
              <w:rPr>
                <w:sz w:val="17"/>
                <w:szCs w:val="17"/>
                <w:color w:val="auto"/>
              </w:rPr>
            </w:pPr>
          </w:p>
        </w:tc>
        <w:tc>
          <w:tcPr>
            <w:tcW w:w="80" w:type="dxa"/>
            <w:vAlign w:val="bottom"/>
            <w:tcBorders>
              <w:top w:val="single" w:sz="8" w:color="313131"/>
            </w:tcBorders>
          </w:tcPr>
          <w:p>
            <w:pPr>
              <w:spacing w:after="0"/>
              <w:rPr>
                <w:sz w:val="17"/>
                <w:szCs w:val="17"/>
                <w:color w:val="auto"/>
              </w:rPr>
            </w:pPr>
          </w:p>
        </w:tc>
        <w:tc>
          <w:tcPr>
            <w:tcW w:w="40" w:type="dxa"/>
            <w:vAlign w:val="bottom"/>
            <w:tcBorders>
              <w:top w:val="single" w:sz="8" w:color="313131"/>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80" w:type="dxa"/>
            <w:vAlign w:val="bottom"/>
            <w:shd w:val="clear" w:color="auto" w:fill="E9E9E9"/>
          </w:tcPr>
          <w:p>
            <w:pPr>
              <w:spacing w:after="0"/>
              <w:rPr>
                <w:sz w:val="19"/>
                <w:szCs w:val="19"/>
                <w:color w:val="auto"/>
              </w:rPr>
            </w:pPr>
          </w:p>
        </w:tc>
        <w:tc>
          <w:tcPr>
            <w:tcW w:w="40" w:type="dxa"/>
            <w:vAlign w:val="bottom"/>
            <w:shd w:val="clear" w:color="auto" w:fill="E9E9E9"/>
          </w:tcPr>
          <w:p>
            <w:pPr>
              <w:spacing w:after="0"/>
              <w:rPr>
                <w:sz w:val="19"/>
                <w:szCs w:val="19"/>
                <w:color w:val="auto"/>
              </w:rPr>
            </w:pPr>
          </w:p>
        </w:tc>
        <w:tc>
          <w:tcPr>
            <w:tcW w:w="5080" w:type="dxa"/>
            <w:vAlign w:val="bottom"/>
            <w:gridSpan w:val="30"/>
            <w:shd w:val="clear" w:color="auto" w:fill="E9E9E9"/>
          </w:tcPr>
          <w:p>
            <w:pPr>
              <w:spacing w:after="0"/>
              <w:rPr>
                <w:sz w:val="20"/>
                <w:szCs w:val="20"/>
                <w:color w:val="auto"/>
              </w:rPr>
            </w:pPr>
            <w:r>
              <w:rPr>
                <w:rFonts w:ascii="Times New Roman" w:cs="Times New Roman" w:eastAsia="Times New Roman" w:hAnsi="Times New Roman"/>
                <w:sz w:val="16"/>
                <w:szCs w:val="16"/>
                <w:color w:val="313131"/>
              </w:rPr>
              <w:t>Amended and Restated Bylaws of Lantheus Holdings, Inc.</w:t>
            </w:r>
          </w:p>
        </w:tc>
        <w:tc>
          <w:tcPr>
            <w:tcW w:w="10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72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060" w:type="dxa"/>
            <w:vAlign w:val="bottom"/>
            <w:gridSpan w:val="2"/>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8"/>
              </w:rPr>
              <w:t>001-36569</w:t>
            </w:r>
          </w:p>
        </w:tc>
        <w:tc>
          <w:tcPr>
            <w:tcW w:w="940" w:type="dxa"/>
            <w:vAlign w:val="bottom"/>
            <w:gridSpan w:val="2"/>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80" w:type="dxa"/>
            <w:vAlign w:val="bottom"/>
            <w:shd w:val="clear" w:color="auto" w:fill="E9E9E9"/>
          </w:tcPr>
          <w:p>
            <w:pPr>
              <w:spacing w:after="0"/>
              <w:rPr>
                <w:sz w:val="19"/>
                <w:szCs w:val="19"/>
                <w:color w:val="auto"/>
              </w:rPr>
            </w:pPr>
          </w:p>
        </w:tc>
        <w:tc>
          <w:tcPr>
            <w:tcW w:w="150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6"/>
              </w:rPr>
              <w:t>December 28, 2022</w:t>
            </w:r>
          </w:p>
        </w:tc>
        <w:tc>
          <w:tcPr>
            <w:tcW w:w="0" w:type="dxa"/>
            <w:vAlign w:val="bottom"/>
          </w:tcPr>
          <w:p>
            <w:pPr>
              <w:spacing w:after="0"/>
              <w:rPr>
                <w:sz w:val="1"/>
                <w:szCs w:val="1"/>
                <w:color w:val="auto"/>
              </w:rPr>
            </w:pPr>
          </w:p>
        </w:tc>
      </w:tr>
      <w:tr>
        <w:trPr>
          <w:trHeight w:val="195"/>
        </w:trPr>
        <w:tc>
          <w:tcPr>
            <w:tcW w:w="880" w:type="dxa"/>
            <w:vAlign w:val="bottom"/>
            <w:tcBorders>
              <w:top w:val="single" w:sz="8" w:color="E9E9E9"/>
            </w:tcBorders>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80" w:type="dxa"/>
            <w:vAlign w:val="bottom"/>
            <w:tcBorders>
              <w:top w:val="single" w:sz="8" w:color="E9E9E9"/>
            </w:tcBorders>
          </w:tcPr>
          <w:p>
            <w:pPr>
              <w:spacing w:after="0"/>
              <w:rPr>
                <w:sz w:val="16"/>
                <w:szCs w:val="16"/>
                <w:color w:val="auto"/>
              </w:rPr>
            </w:pPr>
          </w:p>
        </w:tc>
        <w:tc>
          <w:tcPr>
            <w:tcW w:w="40" w:type="dxa"/>
            <w:vAlign w:val="bottom"/>
            <w:tcBorders>
              <w:top w:val="single" w:sz="8" w:color="E9E9E9"/>
            </w:tcBorders>
          </w:tcPr>
          <w:p>
            <w:pPr>
              <w:spacing w:after="0"/>
              <w:rPr>
                <w:sz w:val="16"/>
                <w:szCs w:val="16"/>
                <w:color w:val="auto"/>
              </w:rPr>
            </w:pPr>
          </w:p>
        </w:tc>
        <w:tc>
          <w:tcPr>
            <w:tcW w:w="3680" w:type="dxa"/>
            <w:vAlign w:val="bottom"/>
            <w:tcBorders>
              <w:top w:val="single" w:sz="8" w:color="313131"/>
            </w:tcBorders>
            <w:gridSpan w:val="11"/>
          </w:tcPr>
          <w:p>
            <w:pPr>
              <w:spacing w:after="0"/>
              <w:rPr>
                <w:sz w:val="20"/>
                <w:szCs w:val="20"/>
                <w:color w:val="auto"/>
              </w:rPr>
            </w:pPr>
            <w:r>
              <w:rPr>
                <w:rFonts w:ascii="Times New Roman" w:cs="Times New Roman" w:eastAsia="Times New Roman" w:hAnsi="Times New Roman"/>
                <w:sz w:val="16"/>
                <w:szCs w:val="16"/>
                <w:color w:val="313131"/>
              </w:rPr>
              <w:t>Common Stock Certificate.</w:t>
            </w:r>
          </w:p>
        </w:tc>
        <w:tc>
          <w:tcPr>
            <w:tcW w:w="1400" w:type="dxa"/>
            <w:vAlign w:val="bottom"/>
            <w:tcBorders>
              <w:top w:val="single" w:sz="8" w:color="E9E9E9"/>
            </w:tcBorders>
            <w:gridSpan w:val="19"/>
          </w:tcPr>
          <w:p>
            <w:pPr>
              <w:spacing w:after="0"/>
              <w:rPr>
                <w:sz w:val="16"/>
                <w:szCs w:val="16"/>
                <w:color w:val="auto"/>
              </w:rPr>
            </w:pPr>
          </w:p>
        </w:tc>
        <w:tc>
          <w:tcPr>
            <w:tcW w:w="100" w:type="dxa"/>
            <w:vAlign w:val="bottom"/>
            <w:tcBorders>
              <w:top w:val="single" w:sz="8" w:color="E9E9E9"/>
            </w:tcBorders>
          </w:tcPr>
          <w:p>
            <w:pPr>
              <w:spacing w:after="0"/>
              <w:rPr>
                <w:sz w:val="16"/>
                <w:szCs w:val="16"/>
                <w:color w:val="auto"/>
              </w:rPr>
            </w:pPr>
          </w:p>
        </w:tc>
        <w:tc>
          <w:tcPr>
            <w:tcW w:w="80" w:type="dxa"/>
            <w:vAlign w:val="bottom"/>
            <w:tcBorders>
              <w:top w:val="single" w:sz="8" w:color="E9E9E9"/>
            </w:tcBorders>
          </w:tcPr>
          <w:p>
            <w:pPr>
              <w:spacing w:after="0"/>
              <w:rPr>
                <w:sz w:val="16"/>
                <w:szCs w:val="16"/>
                <w:color w:val="auto"/>
              </w:rPr>
            </w:pPr>
          </w:p>
        </w:tc>
        <w:tc>
          <w:tcPr>
            <w:tcW w:w="720" w:type="dxa"/>
            <w:vAlign w:val="bottom"/>
            <w:tcBorders>
              <w:top w:val="single" w:sz="8" w:color="E9E9E9"/>
            </w:tcBorders>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060" w:type="dxa"/>
            <w:vAlign w:val="bottom"/>
            <w:tcBorders>
              <w:top w:val="single" w:sz="8" w:color="E9E9E9"/>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8"/>
              </w:rPr>
              <w:t>001-36569</w:t>
            </w:r>
          </w:p>
        </w:tc>
        <w:tc>
          <w:tcPr>
            <w:tcW w:w="940" w:type="dxa"/>
            <w:vAlign w:val="bottom"/>
            <w:tcBorders>
              <w:top w:val="single" w:sz="8" w:color="E9E9E9"/>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80" w:type="dxa"/>
            <w:vAlign w:val="bottom"/>
            <w:tcBorders>
              <w:top w:val="single" w:sz="8" w:color="E9E9E9"/>
            </w:tcBorders>
          </w:tcPr>
          <w:p>
            <w:pPr>
              <w:spacing w:after="0"/>
              <w:rPr>
                <w:sz w:val="16"/>
                <w:szCs w:val="16"/>
                <w:color w:val="auto"/>
              </w:rPr>
            </w:pPr>
          </w:p>
        </w:tc>
        <w:tc>
          <w:tcPr>
            <w:tcW w:w="1500" w:type="dxa"/>
            <w:vAlign w:val="bottom"/>
            <w:tcBorders>
              <w:top w:val="single" w:sz="8" w:color="E9E9E9"/>
            </w:tcBorders>
          </w:tcPr>
          <w:p>
            <w:pPr>
              <w:jc w:val="center"/>
              <w:spacing w:after="0"/>
              <w:rPr>
                <w:sz w:val="20"/>
                <w:szCs w:val="20"/>
                <w:color w:val="auto"/>
              </w:rPr>
            </w:pPr>
            <w:r>
              <w:rPr>
                <w:rFonts w:ascii="Times New Roman" w:cs="Times New Roman" w:eastAsia="Times New Roman" w:hAnsi="Times New Roman"/>
                <w:sz w:val="16"/>
                <w:szCs w:val="16"/>
                <w:color w:val="auto"/>
                <w:w w:val="98"/>
              </w:rPr>
              <w:t>June 30, 2015</w:t>
            </w:r>
          </w:p>
        </w:tc>
        <w:tc>
          <w:tcPr>
            <w:tcW w:w="0" w:type="dxa"/>
            <w:vAlign w:val="bottom"/>
          </w:tcPr>
          <w:p>
            <w:pPr>
              <w:spacing w:after="0"/>
              <w:rPr>
                <w:sz w:val="1"/>
                <w:szCs w:val="1"/>
                <w:color w:val="auto"/>
              </w:rPr>
            </w:pPr>
          </w:p>
        </w:tc>
      </w:tr>
      <w:tr>
        <w:trPr>
          <w:trHeight w:val="35"/>
        </w:trPr>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top w:val="single" w:sz="8" w:color="313131"/>
            </w:tcBorders>
          </w:tcPr>
          <w:p>
            <w:pPr>
              <w:spacing w:after="0"/>
              <w:rPr>
                <w:sz w:val="3"/>
                <w:szCs w:val="3"/>
                <w:color w:val="auto"/>
              </w:rPr>
            </w:pPr>
          </w:p>
        </w:tc>
        <w:tc>
          <w:tcPr>
            <w:tcW w:w="460" w:type="dxa"/>
            <w:vAlign w:val="bottom"/>
            <w:tcBorders>
              <w:top w:val="single" w:sz="8" w:color="313131"/>
            </w:tcBorders>
          </w:tcPr>
          <w:p>
            <w:pPr>
              <w:spacing w:after="0"/>
              <w:rPr>
                <w:sz w:val="3"/>
                <w:szCs w:val="3"/>
                <w:color w:val="auto"/>
              </w:rPr>
            </w:pPr>
          </w:p>
        </w:tc>
        <w:tc>
          <w:tcPr>
            <w:tcW w:w="920" w:type="dxa"/>
            <w:vAlign w:val="bottom"/>
            <w:tcBorders>
              <w:top w:val="single" w:sz="8" w:color="313131"/>
            </w:tcBorders>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80" w:type="dxa"/>
            <w:vAlign w:val="bottom"/>
            <w:tcBorders>
              <w:bottom w:val="single" w:sz="8" w:color="E9E9E9"/>
            </w:tcBorders>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80" w:type="dxa"/>
            <w:vAlign w:val="bottom"/>
            <w:tcBorders>
              <w:bottom w:val="single" w:sz="8" w:color="E9E9E9"/>
            </w:tcBorders>
            <w:shd w:val="clear" w:color="auto" w:fill="E9E9E9"/>
          </w:tcPr>
          <w:p>
            <w:pPr>
              <w:spacing w:after="0"/>
              <w:rPr>
                <w:sz w:val="19"/>
                <w:szCs w:val="19"/>
                <w:color w:val="auto"/>
              </w:rPr>
            </w:pPr>
          </w:p>
        </w:tc>
        <w:tc>
          <w:tcPr>
            <w:tcW w:w="40" w:type="dxa"/>
            <w:vAlign w:val="bottom"/>
            <w:tcBorders>
              <w:bottom w:val="single" w:sz="8" w:color="E9E9E9"/>
            </w:tcBorders>
            <w:shd w:val="clear" w:color="auto" w:fill="E9E9E9"/>
          </w:tcPr>
          <w:p>
            <w:pPr>
              <w:spacing w:after="0"/>
              <w:rPr>
                <w:sz w:val="19"/>
                <w:szCs w:val="19"/>
                <w:color w:val="auto"/>
              </w:rPr>
            </w:pPr>
          </w:p>
        </w:tc>
        <w:tc>
          <w:tcPr>
            <w:tcW w:w="2360" w:type="dxa"/>
            <w:vAlign w:val="bottom"/>
            <w:tcBorders>
              <w:bottom w:val="single" w:sz="8" w:color="313131"/>
            </w:tcBorders>
            <w:gridSpan w:val="4"/>
            <w:shd w:val="clear" w:color="auto" w:fill="E9E9E9"/>
          </w:tcPr>
          <w:p>
            <w:pPr>
              <w:spacing w:after="0"/>
              <w:rPr>
                <w:sz w:val="20"/>
                <w:szCs w:val="20"/>
                <w:color w:val="auto"/>
              </w:rPr>
            </w:pPr>
            <w:r>
              <w:rPr>
                <w:rFonts w:ascii="Times New Roman" w:cs="Times New Roman" w:eastAsia="Times New Roman" w:hAnsi="Times New Roman"/>
                <w:sz w:val="16"/>
                <w:szCs w:val="16"/>
                <w:color w:val="313131"/>
                <w:w w:val="97"/>
              </w:rPr>
              <w:t>Description of Registrant’s Securities</w:t>
            </w:r>
          </w:p>
        </w:tc>
        <w:tc>
          <w:tcPr>
            <w:tcW w:w="2720" w:type="dxa"/>
            <w:vAlign w:val="bottom"/>
            <w:tcBorders>
              <w:bottom w:val="single" w:sz="8" w:color="E9E9E9"/>
            </w:tcBorders>
            <w:gridSpan w:val="26"/>
            <w:shd w:val="clear" w:color="auto" w:fill="E9E9E9"/>
          </w:tcPr>
          <w:p>
            <w:pPr>
              <w:spacing w:after="0"/>
              <w:rPr>
                <w:sz w:val="19"/>
                <w:szCs w:val="19"/>
                <w:color w:val="auto"/>
              </w:rPr>
            </w:pPr>
          </w:p>
        </w:tc>
        <w:tc>
          <w:tcPr>
            <w:tcW w:w="100" w:type="dxa"/>
            <w:vAlign w:val="bottom"/>
            <w:tcBorders>
              <w:bottom w:val="single" w:sz="8" w:color="E9E9E9"/>
            </w:tcBorders>
            <w:shd w:val="clear" w:color="auto" w:fill="E9E9E9"/>
          </w:tcPr>
          <w:p>
            <w:pPr>
              <w:spacing w:after="0"/>
              <w:rPr>
                <w:sz w:val="19"/>
                <w:szCs w:val="19"/>
                <w:color w:val="auto"/>
              </w:rPr>
            </w:pPr>
          </w:p>
        </w:tc>
        <w:tc>
          <w:tcPr>
            <w:tcW w:w="80" w:type="dxa"/>
            <w:vAlign w:val="bottom"/>
            <w:tcBorders>
              <w:bottom w:val="single" w:sz="8" w:color="E9E9E9"/>
            </w:tcBorders>
            <w:shd w:val="clear" w:color="auto" w:fill="E9E9E9"/>
          </w:tcPr>
          <w:p>
            <w:pPr>
              <w:spacing w:after="0"/>
              <w:rPr>
                <w:sz w:val="19"/>
                <w:szCs w:val="19"/>
                <w:color w:val="auto"/>
              </w:rPr>
            </w:pPr>
          </w:p>
        </w:tc>
        <w:tc>
          <w:tcPr>
            <w:tcW w:w="720" w:type="dxa"/>
            <w:vAlign w:val="bottom"/>
            <w:tcBorders>
              <w:bottom w:val="single" w:sz="8" w:color="E9E9E9"/>
            </w:tcBorders>
            <w:shd w:val="clear" w:color="auto" w:fill="E9E9E9"/>
          </w:tcPr>
          <w:p>
            <w:pPr>
              <w:spacing w:after="0"/>
              <w:rPr>
                <w:sz w:val="19"/>
                <w:szCs w:val="19"/>
                <w:color w:val="auto"/>
              </w:rPr>
            </w:pPr>
          </w:p>
        </w:tc>
        <w:tc>
          <w:tcPr>
            <w:tcW w:w="80" w:type="dxa"/>
            <w:vAlign w:val="bottom"/>
            <w:tcBorders>
              <w:bottom w:val="single" w:sz="8" w:color="E9E9E9"/>
            </w:tcBorders>
            <w:shd w:val="clear" w:color="auto" w:fill="E9E9E9"/>
          </w:tcPr>
          <w:p>
            <w:pPr>
              <w:spacing w:after="0"/>
              <w:rPr>
                <w:sz w:val="19"/>
                <w:szCs w:val="19"/>
                <w:color w:val="auto"/>
              </w:rPr>
            </w:pPr>
          </w:p>
        </w:tc>
        <w:tc>
          <w:tcPr>
            <w:tcW w:w="980" w:type="dxa"/>
            <w:vAlign w:val="bottom"/>
            <w:tcBorders>
              <w:bottom w:val="single" w:sz="8" w:color="E9E9E9"/>
            </w:tcBorders>
            <w:shd w:val="clear" w:color="auto" w:fill="E9E9E9"/>
          </w:tcPr>
          <w:p>
            <w:pPr>
              <w:spacing w:after="0"/>
              <w:rPr>
                <w:sz w:val="19"/>
                <w:szCs w:val="19"/>
                <w:color w:val="auto"/>
              </w:rPr>
            </w:pPr>
          </w:p>
        </w:tc>
        <w:tc>
          <w:tcPr>
            <w:tcW w:w="60" w:type="dxa"/>
            <w:vAlign w:val="bottom"/>
            <w:tcBorders>
              <w:bottom w:val="single" w:sz="8" w:color="E9E9E9"/>
            </w:tcBorders>
            <w:shd w:val="clear" w:color="auto" w:fill="E9E9E9"/>
          </w:tcPr>
          <w:p>
            <w:pPr>
              <w:spacing w:after="0"/>
              <w:rPr>
                <w:sz w:val="19"/>
                <w:szCs w:val="19"/>
                <w:color w:val="auto"/>
              </w:rPr>
            </w:pPr>
          </w:p>
        </w:tc>
        <w:tc>
          <w:tcPr>
            <w:tcW w:w="880" w:type="dxa"/>
            <w:vAlign w:val="bottom"/>
            <w:tcBorders>
              <w:bottom w:val="single" w:sz="8" w:color="E9E9E9"/>
            </w:tcBorders>
            <w:shd w:val="clear" w:color="auto" w:fill="E9E9E9"/>
          </w:tcPr>
          <w:p>
            <w:pPr>
              <w:spacing w:after="0"/>
              <w:rPr>
                <w:sz w:val="19"/>
                <w:szCs w:val="19"/>
                <w:color w:val="auto"/>
              </w:rPr>
            </w:pPr>
          </w:p>
        </w:tc>
        <w:tc>
          <w:tcPr>
            <w:tcW w:w="80" w:type="dxa"/>
            <w:vAlign w:val="bottom"/>
            <w:tcBorders>
              <w:bottom w:val="single" w:sz="8" w:color="E9E9E9"/>
            </w:tcBorders>
            <w:shd w:val="clear" w:color="auto" w:fill="E9E9E9"/>
          </w:tcPr>
          <w:p>
            <w:pPr>
              <w:spacing w:after="0"/>
              <w:rPr>
                <w:sz w:val="19"/>
                <w:szCs w:val="19"/>
                <w:color w:val="auto"/>
              </w:rPr>
            </w:pPr>
          </w:p>
        </w:tc>
        <w:tc>
          <w:tcPr>
            <w:tcW w:w="1500" w:type="dxa"/>
            <w:vAlign w:val="bottom"/>
            <w:tcBorders>
              <w:bottom w:val="single" w:sz="8" w:color="E9E9E9"/>
            </w:tcBorders>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80" w:type="dxa"/>
            <w:vAlign w:val="bottom"/>
            <w:gridSpan w:val="30"/>
          </w:tcPr>
          <w:p>
            <w:pPr>
              <w:spacing w:after="0"/>
              <w:rPr>
                <w:sz w:val="20"/>
                <w:szCs w:val="20"/>
                <w:color w:val="auto"/>
              </w:rPr>
            </w:pPr>
            <w:r>
              <w:rPr>
                <w:rFonts w:ascii="Times New Roman" w:cs="Times New Roman" w:eastAsia="Times New Roman" w:hAnsi="Times New Roman"/>
                <w:sz w:val="16"/>
                <w:szCs w:val="16"/>
                <w:color w:val="313131"/>
              </w:rPr>
              <w:t>Indenture, dated as of December 8, 2022, between Lantheus Holdings, Inc., as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001-36569</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December 8, 2022</w:t>
            </w:r>
          </w:p>
        </w:tc>
        <w:tc>
          <w:tcPr>
            <w:tcW w:w="0" w:type="dxa"/>
            <w:vAlign w:val="bottom"/>
          </w:tcPr>
          <w:p>
            <w:pPr>
              <w:spacing w:after="0"/>
              <w:rPr>
                <w:sz w:val="1"/>
                <w:szCs w:val="1"/>
                <w:color w:val="auto"/>
              </w:rPr>
            </w:pPr>
          </w:p>
        </w:tc>
      </w:tr>
      <w:tr>
        <w:trPr>
          <w:trHeight w:val="137"/>
        </w:trPr>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940" w:type="dxa"/>
            <w:vAlign w:val="bottom"/>
            <w:tcBorders>
              <w:top w:val="single" w:sz="8" w:color="313131"/>
            </w:tcBorders>
            <w:gridSpan w:val="26"/>
          </w:tcPr>
          <w:p>
            <w:pPr>
              <w:spacing w:after="0" w:line="137" w:lineRule="exact"/>
              <w:rPr>
                <w:sz w:val="20"/>
                <w:szCs w:val="20"/>
                <w:color w:val="auto"/>
              </w:rPr>
            </w:pPr>
            <w:r>
              <w:rPr>
                <w:rFonts w:ascii="Times New Roman" w:cs="Times New Roman" w:eastAsia="Times New Roman" w:hAnsi="Times New Roman"/>
                <w:sz w:val="15"/>
                <w:szCs w:val="15"/>
                <w:color w:val="313131"/>
              </w:rPr>
              <w:t>Issuer, Lantheus Medical Imaging, Inc., as Guarantor, and U.S. Bank Trust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740" w:type="dxa"/>
            <w:vAlign w:val="bottom"/>
            <w:tcBorders>
              <w:top w:val="single" w:sz="8" w:color="313131"/>
            </w:tcBorders>
            <w:gridSpan w:val="22"/>
          </w:tcPr>
          <w:p>
            <w:pPr>
              <w:spacing w:after="0" w:line="137" w:lineRule="exact"/>
              <w:rPr>
                <w:sz w:val="20"/>
                <w:szCs w:val="20"/>
                <w:color w:val="auto"/>
              </w:rPr>
            </w:pPr>
            <w:r>
              <w:rPr>
                <w:rFonts w:ascii="Times New Roman" w:cs="Times New Roman" w:eastAsia="Times New Roman" w:hAnsi="Times New Roman"/>
                <w:sz w:val="15"/>
                <w:szCs w:val="15"/>
                <w:color w:val="313131"/>
              </w:rPr>
              <w:t>Company, National Association, as Trustee</w:t>
            </w:r>
          </w:p>
        </w:tc>
        <w:tc>
          <w:tcPr>
            <w:tcW w:w="160" w:type="dxa"/>
            <w:vAlign w:val="bottom"/>
            <w:gridSpan w:val="3"/>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top w:val="single" w:sz="8" w:color="313131"/>
            </w:tcBorders>
          </w:tcPr>
          <w:p>
            <w:pPr>
              <w:spacing w:after="0"/>
              <w:rPr>
                <w:sz w:val="3"/>
                <w:szCs w:val="3"/>
                <w:color w:val="auto"/>
              </w:rPr>
            </w:pPr>
          </w:p>
        </w:tc>
        <w:tc>
          <w:tcPr>
            <w:tcW w:w="460" w:type="dxa"/>
            <w:vAlign w:val="bottom"/>
            <w:tcBorders>
              <w:top w:val="single" w:sz="8" w:color="313131"/>
            </w:tcBorders>
          </w:tcPr>
          <w:p>
            <w:pPr>
              <w:spacing w:after="0"/>
              <w:rPr>
                <w:sz w:val="3"/>
                <w:szCs w:val="3"/>
                <w:color w:val="auto"/>
              </w:rPr>
            </w:pPr>
          </w:p>
        </w:tc>
        <w:tc>
          <w:tcPr>
            <w:tcW w:w="920" w:type="dxa"/>
            <w:vAlign w:val="bottom"/>
            <w:tcBorders>
              <w:top w:val="single" w:sz="8" w:color="313131"/>
            </w:tcBorders>
          </w:tcPr>
          <w:p>
            <w:pPr>
              <w:spacing w:after="0"/>
              <w:rPr>
                <w:sz w:val="3"/>
                <w:szCs w:val="3"/>
                <w:color w:val="auto"/>
              </w:rPr>
            </w:pPr>
          </w:p>
        </w:tc>
        <w:tc>
          <w:tcPr>
            <w:tcW w:w="640" w:type="dxa"/>
            <w:vAlign w:val="bottom"/>
            <w:tcBorders>
              <w:top w:val="single" w:sz="8" w:color="313131"/>
            </w:tcBorders>
          </w:tcPr>
          <w:p>
            <w:pPr>
              <w:spacing w:after="0"/>
              <w:rPr>
                <w:sz w:val="3"/>
                <w:szCs w:val="3"/>
                <w:color w:val="auto"/>
              </w:rPr>
            </w:pPr>
          </w:p>
        </w:tc>
        <w:tc>
          <w:tcPr>
            <w:tcW w:w="360" w:type="dxa"/>
            <w:vAlign w:val="bottom"/>
            <w:tcBorders>
              <w:top w:val="single" w:sz="8" w:color="313131"/>
            </w:tcBorders>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80" w:type="dxa"/>
            <w:vAlign w:val="bottom"/>
            <w:tcBorders>
              <w:bottom w:val="single" w:sz="8" w:color="E9E9E9"/>
            </w:tcBorders>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7"/>
              </w:rPr>
              <w:t>10.1+</w:t>
            </w:r>
          </w:p>
        </w:tc>
        <w:tc>
          <w:tcPr>
            <w:tcW w:w="80" w:type="dxa"/>
            <w:vAlign w:val="bottom"/>
            <w:tcBorders>
              <w:bottom w:val="single" w:sz="8" w:color="E9E9E9"/>
            </w:tcBorders>
            <w:shd w:val="clear" w:color="auto" w:fill="E9E9E9"/>
          </w:tcPr>
          <w:p>
            <w:pPr>
              <w:spacing w:after="0"/>
              <w:rPr>
                <w:sz w:val="19"/>
                <w:szCs w:val="19"/>
                <w:color w:val="auto"/>
              </w:rPr>
            </w:pPr>
          </w:p>
        </w:tc>
        <w:tc>
          <w:tcPr>
            <w:tcW w:w="40" w:type="dxa"/>
            <w:vAlign w:val="bottom"/>
            <w:tcBorders>
              <w:bottom w:val="single" w:sz="8" w:color="E9E9E9"/>
            </w:tcBorders>
            <w:shd w:val="clear" w:color="auto" w:fill="E9E9E9"/>
          </w:tcPr>
          <w:p>
            <w:pPr>
              <w:spacing w:after="0"/>
              <w:rPr>
                <w:sz w:val="19"/>
                <w:szCs w:val="19"/>
                <w:color w:val="auto"/>
              </w:rPr>
            </w:pPr>
          </w:p>
        </w:tc>
        <w:tc>
          <w:tcPr>
            <w:tcW w:w="3300" w:type="dxa"/>
            <w:vAlign w:val="bottom"/>
            <w:tcBorders>
              <w:bottom w:val="single" w:sz="8" w:color="313131"/>
            </w:tcBorders>
            <w:gridSpan w:val="8"/>
            <w:shd w:val="clear" w:color="auto" w:fill="E9E9E9"/>
          </w:tcPr>
          <w:p>
            <w:pPr>
              <w:spacing w:after="0"/>
              <w:rPr>
                <w:sz w:val="20"/>
                <w:szCs w:val="20"/>
                <w:color w:val="auto"/>
              </w:rPr>
            </w:pPr>
            <w:r>
              <w:rPr>
                <w:rFonts w:ascii="Times New Roman" w:cs="Times New Roman" w:eastAsia="Times New Roman" w:hAnsi="Times New Roman"/>
                <w:sz w:val="16"/>
                <w:szCs w:val="16"/>
                <w:color w:val="313131"/>
                <w:w w:val="97"/>
              </w:rPr>
              <w:t>Lantheus Holdings, Inc. 2013 Equity Incentive Plan.</w:t>
            </w:r>
          </w:p>
        </w:tc>
        <w:tc>
          <w:tcPr>
            <w:tcW w:w="1780" w:type="dxa"/>
            <w:vAlign w:val="bottom"/>
            <w:tcBorders>
              <w:bottom w:val="single" w:sz="8" w:color="E9E9E9"/>
            </w:tcBorders>
            <w:gridSpan w:val="22"/>
            <w:shd w:val="clear" w:color="auto" w:fill="E9E9E9"/>
          </w:tcPr>
          <w:p>
            <w:pPr>
              <w:spacing w:after="0"/>
              <w:rPr>
                <w:sz w:val="19"/>
                <w:szCs w:val="19"/>
                <w:color w:val="auto"/>
              </w:rPr>
            </w:pPr>
          </w:p>
        </w:tc>
        <w:tc>
          <w:tcPr>
            <w:tcW w:w="100" w:type="dxa"/>
            <w:vAlign w:val="bottom"/>
            <w:tcBorders>
              <w:bottom w:val="single" w:sz="8" w:color="E9E9E9"/>
            </w:tcBorders>
            <w:shd w:val="clear" w:color="auto" w:fill="E9E9E9"/>
          </w:tcPr>
          <w:p>
            <w:pPr>
              <w:spacing w:after="0"/>
              <w:rPr>
                <w:sz w:val="19"/>
                <w:szCs w:val="19"/>
                <w:color w:val="auto"/>
              </w:rPr>
            </w:pPr>
          </w:p>
        </w:tc>
        <w:tc>
          <w:tcPr>
            <w:tcW w:w="80" w:type="dxa"/>
            <w:vAlign w:val="bottom"/>
            <w:tcBorders>
              <w:bottom w:val="single" w:sz="8" w:color="E9E9E9"/>
            </w:tcBorders>
            <w:shd w:val="clear" w:color="auto" w:fill="E9E9E9"/>
          </w:tcPr>
          <w:p>
            <w:pPr>
              <w:spacing w:after="0"/>
              <w:rPr>
                <w:sz w:val="19"/>
                <w:szCs w:val="19"/>
                <w:color w:val="auto"/>
              </w:rPr>
            </w:pPr>
          </w:p>
        </w:tc>
        <w:tc>
          <w:tcPr>
            <w:tcW w:w="720" w:type="dxa"/>
            <w:vAlign w:val="bottom"/>
            <w:tcBorders>
              <w:bottom w:val="single" w:sz="8" w:color="E9E9E9"/>
            </w:tcBorders>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060" w:type="dxa"/>
            <w:vAlign w:val="bottom"/>
            <w:tcBorders>
              <w:bottom w:val="single" w:sz="8" w:color="E9E9E9"/>
            </w:tcBorders>
            <w:gridSpan w:val="2"/>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8"/>
              </w:rPr>
              <w:t>333-169785</w:t>
            </w:r>
          </w:p>
        </w:tc>
        <w:tc>
          <w:tcPr>
            <w:tcW w:w="940" w:type="dxa"/>
            <w:vAlign w:val="bottom"/>
            <w:tcBorders>
              <w:bottom w:val="single" w:sz="8" w:color="E9E9E9"/>
            </w:tcBorders>
            <w:gridSpan w:val="2"/>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80" w:type="dxa"/>
            <w:vAlign w:val="bottom"/>
            <w:tcBorders>
              <w:bottom w:val="single" w:sz="8" w:color="E9E9E9"/>
            </w:tcBorders>
            <w:shd w:val="clear" w:color="auto" w:fill="E9E9E9"/>
          </w:tcPr>
          <w:p>
            <w:pPr>
              <w:spacing w:after="0"/>
              <w:rPr>
                <w:sz w:val="19"/>
                <w:szCs w:val="19"/>
                <w:color w:val="auto"/>
              </w:rPr>
            </w:pPr>
          </w:p>
        </w:tc>
        <w:tc>
          <w:tcPr>
            <w:tcW w:w="1500" w:type="dxa"/>
            <w:vAlign w:val="bottom"/>
            <w:tcBorders>
              <w:bottom w:val="single" w:sz="8" w:color="E9E9E9"/>
            </w:tcBorders>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8"/>
              </w:rPr>
              <w:t>May 6, 2013</w:t>
            </w:r>
          </w:p>
        </w:tc>
        <w:tc>
          <w:tcPr>
            <w:tcW w:w="0" w:type="dxa"/>
            <w:vAlign w:val="bottom"/>
          </w:tcPr>
          <w:p>
            <w:pPr>
              <w:spacing w:after="0"/>
              <w:rPr>
                <w:sz w:val="1"/>
                <w:szCs w:val="1"/>
                <w:color w:val="auto"/>
              </w:rPr>
            </w:pPr>
          </w:p>
        </w:tc>
      </w:tr>
      <w:tr>
        <w:trPr>
          <w:trHeight w:val="195"/>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80" w:type="dxa"/>
            <w:vAlign w:val="bottom"/>
            <w:gridSpan w:val="30"/>
          </w:tcPr>
          <w:p>
            <w:pPr>
              <w:spacing w:after="0"/>
              <w:rPr>
                <w:sz w:val="20"/>
                <w:szCs w:val="20"/>
                <w:color w:val="auto"/>
              </w:rPr>
            </w:pPr>
            <w:r>
              <w:rPr>
                <w:rFonts w:ascii="Times New Roman" w:cs="Times New Roman" w:eastAsia="Times New Roman" w:hAnsi="Times New Roman"/>
                <w:sz w:val="16"/>
                <w:szCs w:val="16"/>
                <w:color w:val="313131"/>
              </w:rPr>
              <w:t>Form of Employee Option Grant Award Agreement.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333-169785</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May 6, 2013</w:t>
            </w:r>
          </w:p>
        </w:tc>
        <w:tc>
          <w:tcPr>
            <w:tcW w:w="0" w:type="dxa"/>
            <w:vAlign w:val="bottom"/>
          </w:tcPr>
          <w:p>
            <w:pPr>
              <w:spacing w:after="0"/>
              <w:rPr>
                <w:sz w:val="1"/>
                <w:szCs w:val="1"/>
                <w:color w:val="auto"/>
              </w:rPr>
            </w:pPr>
          </w:p>
        </w:tc>
      </w:tr>
      <w:tr>
        <w:trPr>
          <w:trHeight w:val="35"/>
        </w:trPr>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top w:val="single" w:sz="8" w:color="313131"/>
            </w:tcBorders>
          </w:tcPr>
          <w:p>
            <w:pPr>
              <w:spacing w:after="0"/>
              <w:rPr>
                <w:sz w:val="3"/>
                <w:szCs w:val="3"/>
                <w:color w:val="auto"/>
              </w:rPr>
            </w:pPr>
          </w:p>
        </w:tc>
        <w:tc>
          <w:tcPr>
            <w:tcW w:w="460" w:type="dxa"/>
            <w:vAlign w:val="bottom"/>
            <w:tcBorders>
              <w:top w:val="single" w:sz="8" w:color="313131"/>
            </w:tcBorders>
          </w:tcPr>
          <w:p>
            <w:pPr>
              <w:spacing w:after="0"/>
              <w:rPr>
                <w:sz w:val="3"/>
                <w:szCs w:val="3"/>
                <w:color w:val="auto"/>
              </w:rPr>
            </w:pPr>
          </w:p>
        </w:tc>
        <w:tc>
          <w:tcPr>
            <w:tcW w:w="920" w:type="dxa"/>
            <w:vAlign w:val="bottom"/>
            <w:tcBorders>
              <w:top w:val="single" w:sz="8" w:color="313131"/>
            </w:tcBorders>
          </w:tcPr>
          <w:p>
            <w:pPr>
              <w:spacing w:after="0"/>
              <w:rPr>
                <w:sz w:val="3"/>
                <w:szCs w:val="3"/>
                <w:color w:val="auto"/>
              </w:rPr>
            </w:pPr>
          </w:p>
        </w:tc>
        <w:tc>
          <w:tcPr>
            <w:tcW w:w="640" w:type="dxa"/>
            <w:vAlign w:val="bottom"/>
            <w:tcBorders>
              <w:top w:val="single" w:sz="8" w:color="313131"/>
            </w:tcBorders>
          </w:tcPr>
          <w:p>
            <w:pPr>
              <w:spacing w:after="0"/>
              <w:rPr>
                <w:sz w:val="3"/>
                <w:szCs w:val="3"/>
                <w:color w:val="auto"/>
              </w:rPr>
            </w:pPr>
          </w:p>
        </w:tc>
        <w:tc>
          <w:tcPr>
            <w:tcW w:w="360" w:type="dxa"/>
            <w:vAlign w:val="bottom"/>
            <w:tcBorders>
              <w:top w:val="single" w:sz="8" w:color="313131"/>
            </w:tcBorders>
          </w:tcPr>
          <w:p>
            <w:pPr>
              <w:spacing w:after="0"/>
              <w:rPr>
                <w:sz w:val="3"/>
                <w:szCs w:val="3"/>
                <w:color w:val="auto"/>
              </w:rPr>
            </w:pPr>
          </w:p>
        </w:tc>
        <w:tc>
          <w:tcPr>
            <w:tcW w:w="140" w:type="dxa"/>
            <w:vAlign w:val="bottom"/>
            <w:tcBorders>
              <w:top w:val="single" w:sz="8" w:color="313131"/>
            </w:tcBorders>
          </w:tcPr>
          <w:p>
            <w:pPr>
              <w:spacing w:after="0"/>
              <w:rPr>
                <w:sz w:val="3"/>
                <w:szCs w:val="3"/>
                <w:color w:val="auto"/>
              </w:rPr>
            </w:pPr>
          </w:p>
        </w:tc>
        <w:tc>
          <w:tcPr>
            <w:tcW w:w="260" w:type="dxa"/>
            <w:vAlign w:val="bottom"/>
            <w:tcBorders>
              <w:top w:val="single" w:sz="8" w:color="313131"/>
            </w:tcBorders>
          </w:tcPr>
          <w:p>
            <w:pPr>
              <w:spacing w:after="0"/>
              <w:rPr>
                <w:sz w:val="3"/>
                <w:szCs w:val="3"/>
                <w:color w:val="auto"/>
              </w:rPr>
            </w:pPr>
          </w:p>
        </w:tc>
        <w:tc>
          <w:tcPr>
            <w:tcW w:w="180" w:type="dxa"/>
            <w:vAlign w:val="bottom"/>
            <w:tcBorders>
              <w:top w:val="single" w:sz="8" w:color="313131"/>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8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7"/>
              </w:rPr>
              <w:t>10.3+</w:t>
            </w:r>
          </w:p>
        </w:tc>
        <w:tc>
          <w:tcPr>
            <w:tcW w:w="80" w:type="dxa"/>
            <w:vAlign w:val="bottom"/>
            <w:shd w:val="clear" w:color="auto" w:fill="E9E9E9"/>
          </w:tcPr>
          <w:p>
            <w:pPr>
              <w:spacing w:after="0"/>
              <w:rPr>
                <w:sz w:val="19"/>
                <w:szCs w:val="19"/>
                <w:color w:val="auto"/>
              </w:rPr>
            </w:pPr>
          </w:p>
        </w:tc>
        <w:tc>
          <w:tcPr>
            <w:tcW w:w="40" w:type="dxa"/>
            <w:vAlign w:val="bottom"/>
            <w:shd w:val="clear" w:color="auto" w:fill="E9E9E9"/>
          </w:tcPr>
          <w:p>
            <w:pPr>
              <w:spacing w:after="0"/>
              <w:rPr>
                <w:sz w:val="19"/>
                <w:szCs w:val="19"/>
                <w:color w:val="auto"/>
              </w:rPr>
            </w:pPr>
          </w:p>
        </w:tc>
        <w:tc>
          <w:tcPr>
            <w:tcW w:w="5080" w:type="dxa"/>
            <w:vAlign w:val="bottom"/>
            <w:gridSpan w:val="30"/>
            <w:shd w:val="clear" w:color="auto" w:fill="E9E9E9"/>
          </w:tcPr>
          <w:p>
            <w:pPr>
              <w:spacing w:after="0"/>
              <w:rPr>
                <w:sz w:val="20"/>
                <w:szCs w:val="20"/>
                <w:color w:val="auto"/>
              </w:rPr>
            </w:pPr>
            <w:r>
              <w:rPr>
                <w:rFonts w:ascii="Times New Roman" w:cs="Times New Roman" w:eastAsia="Times New Roman" w:hAnsi="Times New Roman"/>
                <w:sz w:val="16"/>
                <w:szCs w:val="16"/>
                <w:color w:val="313131"/>
              </w:rPr>
              <w:t>Form of Non-Employee Director Option Grant Award Agreement.</w:t>
            </w:r>
          </w:p>
        </w:tc>
        <w:tc>
          <w:tcPr>
            <w:tcW w:w="10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72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060" w:type="dxa"/>
            <w:vAlign w:val="bottom"/>
            <w:gridSpan w:val="2"/>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8"/>
              </w:rPr>
              <w:t>333-169785</w:t>
            </w:r>
          </w:p>
        </w:tc>
        <w:tc>
          <w:tcPr>
            <w:tcW w:w="940" w:type="dxa"/>
            <w:vAlign w:val="bottom"/>
            <w:gridSpan w:val="2"/>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80" w:type="dxa"/>
            <w:vAlign w:val="bottom"/>
            <w:shd w:val="clear" w:color="auto" w:fill="E9E9E9"/>
          </w:tcPr>
          <w:p>
            <w:pPr>
              <w:spacing w:after="0"/>
              <w:rPr>
                <w:sz w:val="19"/>
                <w:szCs w:val="19"/>
                <w:color w:val="auto"/>
              </w:rPr>
            </w:pPr>
          </w:p>
        </w:tc>
        <w:tc>
          <w:tcPr>
            <w:tcW w:w="150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8"/>
              </w:rPr>
              <w:t>May 6, 2013</w:t>
            </w:r>
          </w:p>
        </w:tc>
        <w:tc>
          <w:tcPr>
            <w:tcW w:w="0" w:type="dxa"/>
            <w:vAlign w:val="bottom"/>
          </w:tcPr>
          <w:p>
            <w:pPr>
              <w:spacing w:after="0"/>
              <w:rPr>
                <w:sz w:val="1"/>
                <w:szCs w:val="1"/>
                <w:color w:val="auto"/>
              </w:rPr>
            </w:pPr>
          </w:p>
        </w:tc>
      </w:tr>
      <w:tr>
        <w:trPr>
          <w:trHeight w:val="195"/>
        </w:trPr>
        <w:tc>
          <w:tcPr>
            <w:tcW w:w="880" w:type="dxa"/>
            <w:vAlign w:val="bottom"/>
            <w:tcBorders>
              <w:top w:val="single" w:sz="8" w:color="E9E9E9"/>
            </w:tcBorders>
          </w:tcPr>
          <w:p>
            <w:pPr>
              <w:jc w:val="center"/>
              <w:spacing w:after="0"/>
              <w:rPr>
                <w:sz w:val="20"/>
                <w:szCs w:val="20"/>
                <w:color w:val="auto"/>
              </w:rPr>
            </w:pPr>
            <w:r>
              <w:rPr>
                <w:rFonts w:ascii="Times New Roman" w:cs="Times New Roman" w:eastAsia="Times New Roman" w:hAnsi="Times New Roman"/>
                <w:sz w:val="16"/>
                <w:szCs w:val="16"/>
                <w:color w:val="auto"/>
                <w:w w:val="97"/>
              </w:rPr>
              <w:t>10.4+</w:t>
            </w:r>
          </w:p>
        </w:tc>
        <w:tc>
          <w:tcPr>
            <w:tcW w:w="80" w:type="dxa"/>
            <w:vAlign w:val="bottom"/>
            <w:tcBorders>
              <w:top w:val="single" w:sz="8" w:color="E9E9E9"/>
            </w:tcBorders>
          </w:tcPr>
          <w:p>
            <w:pPr>
              <w:spacing w:after="0"/>
              <w:rPr>
                <w:sz w:val="16"/>
                <w:szCs w:val="16"/>
                <w:color w:val="auto"/>
              </w:rPr>
            </w:pPr>
          </w:p>
        </w:tc>
        <w:tc>
          <w:tcPr>
            <w:tcW w:w="40" w:type="dxa"/>
            <w:vAlign w:val="bottom"/>
            <w:tcBorders>
              <w:top w:val="single" w:sz="8" w:color="E9E9E9"/>
            </w:tcBorders>
          </w:tcPr>
          <w:p>
            <w:pPr>
              <w:spacing w:after="0"/>
              <w:rPr>
                <w:sz w:val="16"/>
                <w:szCs w:val="16"/>
                <w:color w:val="auto"/>
              </w:rPr>
            </w:pPr>
          </w:p>
        </w:tc>
        <w:tc>
          <w:tcPr>
            <w:tcW w:w="4180" w:type="dxa"/>
            <w:vAlign w:val="bottom"/>
            <w:tcBorders>
              <w:top w:val="single" w:sz="8" w:color="313131"/>
            </w:tcBorders>
            <w:gridSpan w:val="12"/>
          </w:tcPr>
          <w:p>
            <w:pPr>
              <w:spacing w:after="0"/>
              <w:rPr>
                <w:sz w:val="20"/>
                <w:szCs w:val="20"/>
                <w:color w:val="auto"/>
              </w:rPr>
            </w:pPr>
            <w:r>
              <w:rPr>
                <w:rFonts w:ascii="Times New Roman" w:cs="Times New Roman" w:eastAsia="Times New Roman" w:hAnsi="Times New Roman"/>
                <w:sz w:val="16"/>
                <w:szCs w:val="16"/>
                <w:color w:val="313131"/>
              </w:rPr>
              <w:t>2015 Equity Incentive Plan of Lantheus Holdings, Inc.</w:t>
            </w:r>
          </w:p>
        </w:tc>
        <w:tc>
          <w:tcPr>
            <w:tcW w:w="900" w:type="dxa"/>
            <w:vAlign w:val="bottom"/>
            <w:tcBorders>
              <w:top w:val="single" w:sz="8" w:color="E9E9E9"/>
            </w:tcBorders>
            <w:gridSpan w:val="18"/>
          </w:tcPr>
          <w:p>
            <w:pPr>
              <w:spacing w:after="0"/>
              <w:rPr>
                <w:sz w:val="16"/>
                <w:szCs w:val="16"/>
                <w:color w:val="auto"/>
              </w:rPr>
            </w:pPr>
          </w:p>
        </w:tc>
        <w:tc>
          <w:tcPr>
            <w:tcW w:w="100" w:type="dxa"/>
            <w:vAlign w:val="bottom"/>
            <w:tcBorders>
              <w:top w:val="single" w:sz="8" w:color="E9E9E9"/>
            </w:tcBorders>
          </w:tcPr>
          <w:p>
            <w:pPr>
              <w:spacing w:after="0"/>
              <w:rPr>
                <w:sz w:val="16"/>
                <w:szCs w:val="16"/>
                <w:color w:val="auto"/>
              </w:rPr>
            </w:pPr>
          </w:p>
        </w:tc>
        <w:tc>
          <w:tcPr>
            <w:tcW w:w="80" w:type="dxa"/>
            <w:vAlign w:val="bottom"/>
            <w:tcBorders>
              <w:top w:val="single" w:sz="8" w:color="E9E9E9"/>
            </w:tcBorders>
          </w:tcPr>
          <w:p>
            <w:pPr>
              <w:spacing w:after="0"/>
              <w:rPr>
                <w:sz w:val="16"/>
                <w:szCs w:val="16"/>
                <w:color w:val="auto"/>
              </w:rPr>
            </w:pPr>
          </w:p>
        </w:tc>
        <w:tc>
          <w:tcPr>
            <w:tcW w:w="720" w:type="dxa"/>
            <w:vAlign w:val="bottom"/>
            <w:tcBorders>
              <w:top w:val="single" w:sz="8" w:color="E9E9E9"/>
            </w:tcBorders>
          </w:tcPr>
          <w:p>
            <w:pPr>
              <w:jc w:val="center"/>
              <w:spacing w:after="0"/>
              <w:rPr>
                <w:sz w:val="20"/>
                <w:szCs w:val="20"/>
                <w:color w:val="auto"/>
              </w:rPr>
            </w:pPr>
            <w:r>
              <w:rPr>
                <w:rFonts w:ascii="Times New Roman" w:cs="Times New Roman" w:eastAsia="Times New Roman" w:hAnsi="Times New Roman"/>
                <w:sz w:val="16"/>
                <w:szCs w:val="16"/>
                <w:color w:val="auto"/>
                <w:w w:val="98"/>
              </w:rPr>
              <w:t>S-8</w:t>
            </w:r>
          </w:p>
        </w:tc>
        <w:tc>
          <w:tcPr>
            <w:tcW w:w="1060" w:type="dxa"/>
            <w:vAlign w:val="bottom"/>
            <w:tcBorders>
              <w:top w:val="single" w:sz="8" w:color="E9E9E9"/>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8"/>
              </w:rPr>
              <w:t>333-205211</w:t>
            </w:r>
          </w:p>
        </w:tc>
        <w:tc>
          <w:tcPr>
            <w:tcW w:w="940" w:type="dxa"/>
            <w:vAlign w:val="bottom"/>
            <w:tcBorders>
              <w:top w:val="single" w:sz="8" w:color="E9E9E9"/>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80" w:type="dxa"/>
            <w:vAlign w:val="bottom"/>
            <w:tcBorders>
              <w:top w:val="single" w:sz="8" w:color="E9E9E9"/>
            </w:tcBorders>
          </w:tcPr>
          <w:p>
            <w:pPr>
              <w:spacing w:after="0"/>
              <w:rPr>
                <w:sz w:val="16"/>
                <w:szCs w:val="16"/>
                <w:color w:val="auto"/>
              </w:rPr>
            </w:pPr>
          </w:p>
        </w:tc>
        <w:tc>
          <w:tcPr>
            <w:tcW w:w="1500" w:type="dxa"/>
            <w:vAlign w:val="bottom"/>
            <w:tcBorders>
              <w:top w:val="single" w:sz="8" w:color="E9E9E9"/>
            </w:tcBorders>
          </w:tcPr>
          <w:p>
            <w:pPr>
              <w:jc w:val="center"/>
              <w:spacing w:after="0"/>
              <w:rPr>
                <w:sz w:val="20"/>
                <w:szCs w:val="20"/>
                <w:color w:val="auto"/>
              </w:rPr>
            </w:pPr>
            <w:r>
              <w:rPr>
                <w:rFonts w:ascii="Times New Roman" w:cs="Times New Roman" w:eastAsia="Times New Roman" w:hAnsi="Times New Roman"/>
                <w:sz w:val="16"/>
                <w:szCs w:val="16"/>
                <w:color w:val="auto"/>
                <w:w w:val="98"/>
              </w:rPr>
              <w:t>June 26, 2015</w:t>
            </w:r>
          </w:p>
        </w:tc>
        <w:tc>
          <w:tcPr>
            <w:tcW w:w="0" w:type="dxa"/>
            <w:vAlign w:val="bottom"/>
          </w:tcPr>
          <w:p>
            <w:pPr>
              <w:spacing w:after="0"/>
              <w:rPr>
                <w:sz w:val="1"/>
                <w:szCs w:val="1"/>
                <w:color w:val="auto"/>
              </w:rPr>
            </w:pPr>
          </w:p>
        </w:tc>
      </w:tr>
      <w:tr>
        <w:trPr>
          <w:trHeight w:val="35"/>
        </w:trPr>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top w:val="single" w:sz="8" w:color="313131"/>
            </w:tcBorders>
          </w:tcPr>
          <w:p>
            <w:pPr>
              <w:spacing w:after="0"/>
              <w:rPr>
                <w:sz w:val="3"/>
                <w:szCs w:val="3"/>
                <w:color w:val="auto"/>
              </w:rPr>
            </w:pPr>
          </w:p>
        </w:tc>
        <w:tc>
          <w:tcPr>
            <w:tcW w:w="460" w:type="dxa"/>
            <w:vAlign w:val="bottom"/>
            <w:tcBorders>
              <w:top w:val="single" w:sz="8" w:color="313131"/>
            </w:tcBorders>
          </w:tcPr>
          <w:p>
            <w:pPr>
              <w:spacing w:after="0"/>
              <w:rPr>
                <w:sz w:val="3"/>
                <w:szCs w:val="3"/>
                <w:color w:val="auto"/>
              </w:rPr>
            </w:pPr>
          </w:p>
        </w:tc>
        <w:tc>
          <w:tcPr>
            <w:tcW w:w="920" w:type="dxa"/>
            <w:vAlign w:val="bottom"/>
            <w:tcBorders>
              <w:top w:val="single" w:sz="8" w:color="313131"/>
            </w:tcBorders>
          </w:tcPr>
          <w:p>
            <w:pPr>
              <w:spacing w:after="0"/>
              <w:rPr>
                <w:sz w:val="3"/>
                <w:szCs w:val="3"/>
                <w:color w:val="auto"/>
              </w:rPr>
            </w:pPr>
          </w:p>
        </w:tc>
        <w:tc>
          <w:tcPr>
            <w:tcW w:w="640" w:type="dxa"/>
            <w:vAlign w:val="bottom"/>
            <w:tcBorders>
              <w:top w:val="single" w:sz="8" w:color="313131"/>
            </w:tcBorders>
          </w:tcPr>
          <w:p>
            <w:pPr>
              <w:spacing w:after="0"/>
              <w:rPr>
                <w:sz w:val="3"/>
                <w:szCs w:val="3"/>
                <w:color w:val="auto"/>
              </w:rPr>
            </w:pPr>
          </w:p>
        </w:tc>
        <w:tc>
          <w:tcPr>
            <w:tcW w:w="360" w:type="dxa"/>
            <w:vAlign w:val="bottom"/>
            <w:tcBorders>
              <w:top w:val="single" w:sz="8" w:color="313131"/>
            </w:tcBorders>
          </w:tcPr>
          <w:p>
            <w:pPr>
              <w:spacing w:after="0"/>
              <w:rPr>
                <w:sz w:val="3"/>
                <w:szCs w:val="3"/>
                <w:color w:val="auto"/>
              </w:rPr>
            </w:pPr>
          </w:p>
        </w:tc>
        <w:tc>
          <w:tcPr>
            <w:tcW w:w="140" w:type="dxa"/>
            <w:vAlign w:val="bottom"/>
            <w:tcBorders>
              <w:top w:val="single" w:sz="8" w:color="313131"/>
            </w:tcBorders>
          </w:tcPr>
          <w:p>
            <w:pPr>
              <w:spacing w:after="0"/>
              <w:rPr>
                <w:sz w:val="3"/>
                <w:szCs w:val="3"/>
                <w:color w:val="auto"/>
              </w:rPr>
            </w:pPr>
          </w:p>
        </w:tc>
        <w:tc>
          <w:tcPr>
            <w:tcW w:w="260" w:type="dxa"/>
            <w:vAlign w:val="bottom"/>
            <w:tcBorders>
              <w:top w:val="single" w:sz="8" w:color="313131"/>
            </w:tcBorders>
          </w:tcPr>
          <w:p>
            <w:pPr>
              <w:spacing w:after="0"/>
              <w:rPr>
                <w:sz w:val="3"/>
                <w:szCs w:val="3"/>
                <w:color w:val="auto"/>
              </w:rPr>
            </w:pPr>
          </w:p>
        </w:tc>
        <w:tc>
          <w:tcPr>
            <w:tcW w:w="180" w:type="dxa"/>
            <w:vAlign w:val="bottom"/>
            <w:tcBorders>
              <w:top w:val="single" w:sz="8" w:color="313131"/>
            </w:tcBorders>
          </w:tcPr>
          <w:p>
            <w:pPr>
              <w:spacing w:after="0"/>
              <w:rPr>
                <w:sz w:val="3"/>
                <w:szCs w:val="3"/>
                <w:color w:val="auto"/>
              </w:rPr>
            </w:pPr>
          </w:p>
        </w:tc>
        <w:tc>
          <w:tcPr>
            <w:tcW w:w="120" w:type="dxa"/>
            <w:vAlign w:val="bottom"/>
            <w:tcBorders>
              <w:top w:val="single" w:sz="8" w:color="313131"/>
            </w:tcBorders>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8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7"/>
              </w:rPr>
              <w:t>10.5+</w:t>
            </w:r>
          </w:p>
        </w:tc>
        <w:tc>
          <w:tcPr>
            <w:tcW w:w="80" w:type="dxa"/>
            <w:vAlign w:val="bottom"/>
            <w:shd w:val="clear" w:color="auto" w:fill="E9E9E9"/>
          </w:tcPr>
          <w:p>
            <w:pPr>
              <w:spacing w:after="0"/>
              <w:rPr>
                <w:sz w:val="19"/>
                <w:szCs w:val="19"/>
                <w:color w:val="auto"/>
              </w:rPr>
            </w:pPr>
          </w:p>
        </w:tc>
        <w:tc>
          <w:tcPr>
            <w:tcW w:w="40" w:type="dxa"/>
            <w:vAlign w:val="bottom"/>
            <w:shd w:val="clear" w:color="auto" w:fill="E9E9E9"/>
          </w:tcPr>
          <w:p>
            <w:pPr>
              <w:spacing w:after="0"/>
              <w:rPr>
                <w:sz w:val="19"/>
                <w:szCs w:val="19"/>
                <w:color w:val="auto"/>
              </w:rPr>
            </w:pPr>
          </w:p>
        </w:tc>
        <w:tc>
          <w:tcPr>
            <w:tcW w:w="5080" w:type="dxa"/>
            <w:vAlign w:val="bottom"/>
            <w:gridSpan w:val="30"/>
            <w:shd w:val="clear" w:color="auto" w:fill="E9E9E9"/>
          </w:tcPr>
          <w:p>
            <w:pPr>
              <w:spacing w:after="0"/>
              <w:rPr>
                <w:sz w:val="20"/>
                <w:szCs w:val="20"/>
                <w:color w:val="auto"/>
              </w:rPr>
            </w:pPr>
            <w:r>
              <w:rPr>
                <w:rFonts w:ascii="Times New Roman" w:cs="Times New Roman" w:eastAsia="Times New Roman" w:hAnsi="Times New Roman"/>
                <w:sz w:val="16"/>
                <w:szCs w:val="16"/>
                <w:color w:val="313131"/>
              </w:rPr>
              <w:t>Form of 2015 Restricted Stock Agreement of Lantheus Holdings, Inc.</w:t>
            </w:r>
          </w:p>
        </w:tc>
        <w:tc>
          <w:tcPr>
            <w:tcW w:w="10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72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8"/>
              </w:rPr>
              <w:t>S-1</w:t>
            </w:r>
          </w:p>
        </w:tc>
        <w:tc>
          <w:tcPr>
            <w:tcW w:w="1060" w:type="dxa"/>
            <w:vAlign w:val="bottom"/>
            <w:gridSpan w:val="2"/>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8"/>
              </w:rPr>
              <w:t>333-196998</w:t>
            </w:r>
          </w:p>
        </w:tc>
        <w:tc>
          <w:tcPr>
            <w:tcW w:w="940" w:type="dxa"/>
            <w:vAlign w:val="bottom"/>
            <w:gridSpan w:val="2"/>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9"/>
              </w:rPr>
              <w:t>10.38</w:t>
            </w:r>
          </w:p>
        </w:tc>
        <w:tc>
          <w:tcPr>
            <w:tcW w:w="80" w:type="dxa"/>
            <w:vAlign w:val="bottom"/>
            <w:shd w:val="clear" w:color="auto" w:fill="E9E9E9"/>
          </w:tcPr>
          <w:p>
            <w:pPr>
              <w:spacing w:after="0"/>
              <w:rPr>
                <w:sz w:val="19"/>
                <w:szCs w:val="19"/>
                <w:color w:val="auto"/>
              </w:rPr>
            </w:pPr>
          </w:p>
        </w:tc>
        <w:tc>
          <w:tcPr>
            <w:tcW w:w="150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8"/>
              </w:rPr>
              <w:t>June 24, 2015</w:t>
            </w:r>
          </w:p>
        </w:tc>
        <w:tc>
          <w:tcPr>
            <w:tcW w:w="0" w:type="dxa"/>
            <w:vAlign w:val="bottom"/>
          </w:tcPr>
          <w:p>
            <w:pPr>
              <w:spacing w:after="0"/>
              <w:rPr>
                <w:sz w:val="1"/>
                <w:szCs w:val="1"/>
                <w:color w:val="auto"/>
              </w:rPr>
            </w:pPr>
          </w:p>
        </w:tc>
      </w:tr>
      <w:tr>
        <w:trPr>
          <w:trHeight w:val="195"/>
        </w:trPr>
        <w:tc>
          <w:tcPr>
            <w:tcW w:w="880" w:type="dxa"/>
            <w:vAlign w:val="bottom"/>
            <w:tcBorders>
              <w:top w:val="single" w:sz="8" w:color="E9E9E9"/>
            </w:tcBorders>
          </w:tcPr>
          <w:p>
            <w:pPr>
              <w:jc w:val="center"/>
              <w:spacing w:after="0"/>
              <w:rPr>
                <w:sz w:val="20"/>
                <w:szCs w:val="20"/>
                <w:color w:val="auto"/>
              </w:rPr>
            </w:pPr>
            <w:r>
              <w:rPr>
                <w:rFonts w:ascii="Times New Roman" w:cs="Times New Roman" w:eastAsia="Times New Roman" w:hAnsi="Times New Roman"/>
                <w:sz w:val="16"/>
                <w:szCs w:val="16"/>
                <w:color w:val="auto"/>
                <w:w w:val="97"/>
              </w:rPr>
              <w:t>10.6+</w:t>
            </w:r>
          </w:p>
        </w:tc>
        <w:tc>
          <w:tcPr>
            <w:tcW w:w="80" w:type="dxa"/>
            <w:vAlign w:val="bottom"/>
            <w:tcBorders>
              <w:top w:val="single" w:sz="8" w:color="E9E9E9"/>
            </w:tcBorders>
          </w:tcPr>
          <w:p>
            <w:pPr>
              <w:spacing w:after="0"/>
              <w:rPr>
                <w:sz w:val="16"/>
                <w:szCs w:val="16"/>
                <w:color w:val="auto"/>
              </w:rPr>
            </w:pPr>
          </w:p>
        </w:tc>
        <w:tc>
          <w:tcPr>
            <w:tcW w:w="40" w:type="dxa"/>
            <w:vAlign w:val="bottom"/>
            <w:tcBorders>
              <w:top w:val="single" w:sz="8" w:color="E9E9E9"/>
            </w:tcBorders>
          </w:tcPr>
          <w:p>
            <w:pPr>
              <w:spacing w:after="0"/>
              <w:rPr>
                <w:sz w:val="16"/>
                <w:szCs w:val="16"/>
                <w:color w:val="auto"/>
              </w:rPr>
            </w:pPr>
          </w:p>
        </w:tc>
        <w:tc>
          <w:tcPr>
            <w:tcW w:w="4380" w:type="dxa"/>
            <w:vAlign w:val="bottom"/>
            <w:tcBorders>
              <w:top w:val="single" w:sz="8" w:color="313131"/>
            </w:tcBorders>
            <w:gridSpan w:val="16"/>
          </w:tcPr>
          <w:p>
            <w:pPr>
              <w:spacing w:after="0"/>
              <w:rPr>
                <w:sz w:val="20"/>
                <w:szCs w:val="20"/>
                <w:color w:val="auto"/>
              </w:rPr>
            </w:pPr>
            <w:r>
              <w:rPr>
                <w:rFonts w:ascii="Times New Roman" w:cs="Times New Roman" w:eastAsia="Times New Roman" w:hAnsi="Times New Roman"/>
                <w:sz w:val="16"/>
                <w:szCs w:val="16"/>
                <w:color w:val="313131"/>
              </w:rPr>
              <w:t>Form of 2015 Option Award Agreement of Lantheus Holdings, Inc.</w:t>
            </w:r>
          </w:p>
        </w:tc>
        <w:tc>
          <w:tcPr>
            <w:tcW w:w="700" w:type="dxa"/>
            <w:vAlign w:val="bottom"/>
            <w:tcBorders>
              <w:top w:val="single" w:sz="8" w:color="E9E9E9"/>
            </w:tcBorders>
            <w:gridSpan w:val="14"/>
          </w:tcPr>
          <w:p>
            <w:pPr>
              <w:spacing w:after="0"/>
              <w:rPr>
                <w:sz w:val="16"/>
                <w:szCs w:val="16"/>
                <w:color w:val="auto"/>
              </w:rPr>
            </w:pPr>
          </w:p>
        </w:tc>
        <w:tc>
          <w:tcPr>
            <w:tcW w:w="100" w:type="dxa"/>
            <w:vAlign w:val="bottom"/>
            <w:tcBorders>
              <w:top w:val="single" w:sz="8" w:color="E9E9E9"/>
            </w:tcBorders>
          </w:tcPr>
          <w:p>
            <w:pPr>
              <w:spacing w:after="0"/>
              <w:rPr>
                <w:sz w:val="16"/>
                <w:szCs w:val="16"/>
                <w:color w:val="auto"/>
              </w:rPr>
            </w:pPr>
          </w:p>
        </w:tc>
        <w:tc>
          <w:tcPr>
            <w:tcW w:w="80" w:type="dxa"/>
            <w:vAlign w:val="bottom"/>
            <w:tcBorders>
              <w:top w:val="single" w:sz="8" w:color="E9E9E9"/>
            </w:tcBorders>
          </w:tcPr>
          <w:p>
            <w:pPr>
              <w:spacing w:after="0"/>
              <w:rPr>
                <w:sz w:val="16"/>
                <w:szCs w:val="16"/>
                <w:color w:val="auto"/>
              </w:rPr>
            </w:pPr>
          </w:p>
        </w:tc>
        <w:tc>
          <w:tcPr>
            <w:tcW w:w="720" w:type="dxa"/>
            <w:vAlign w:val="bottom"/>
            <w:tcBorders>
              <w:top w:val="single" w:sz="8" w:color="E9E9E9"/>
            </w:tcBorders>
          </w:tcPr>
          <w:p>
            <w:pPr>
              <w:jc w:val="center"/>
              <w:spacing w:after="0"/>
              <w:rPr>
                <w:sz w:val="20"/>
                <w:szCs w:val="20"/>
                <w:color w:val="auto"/>
              </w:rPr>
            </w:pPr>
            <w:r>
              <w:rPr>
                <w:rFonts w:ascii="Times New Roman" w:cs="Times New Roman" w:eastAsia="Times New Roman" w:hAnsi="Times New Roman"/>
                <w:sz w:val="16"/>
                <w:szCs w:val="16"/>
                <w:color w:val="auto"/>
                <w:w w:val="98"/>
              </w:rPr>
              <w:t>S-1</w:t>
            </w:r>
          </w:p>
        </w:tc>
        <w:tc>
          <w:tcPr>
            <w:tcW w:w="1060" w:type="dxa"/>
            <w:vAlign w:val="bottom"/>
            <w:tcBorders>
              <w:top w:val="single" w:sz="8" w:color="E9E9E9"/>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8"/>
              </w:rPr>
              <w:t>333-196998</w:t>
            </w:r>
          </w:p>
        </w:tc>
        <w:tc>
          <w:tcPr>
            <w:tcW w:w="940" w:type="dxa"/>
            <w:vAlign w:val="bottom"/>
            <w:tcBorders>
              <w:top w:val="single" w:sz="8" w:color="E9E9E9"/>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10.39</w:t>
            </w:r>
          </w:p>
        </w:tc>
        <w:tc>
          <w:tcPr>
            <w:tcW w:w="80" w:type="dxa"/>
            <w:vAlign w:val="bottom"/>
            <w:tcBorders>
              <w:top w:val="single" w:sz="8" w:color="E9E9E9"/>
            </w:tcBorders>
          </w:tcPr>
          <w:p>
            <w:pPr>
              <w:spacing w:after="0"/>
              <w:rPr>
                <w:sz w:val="16"/>
                <w:szCs w:val="16"/>
                <w:color w:val="auto"/>
              </w:rPr>
            </w:pPr>
          </w:p>
        </w:tc>
        <w:tc>
          <w:tcPr>
            <w:tcW w:w="1500" w:type="dxa"/>
            <w:vAlign w:val="bottom"/>
            <w:tcBorders>
              <w:top w:val="single" w:sz="8" w:color="E9E9E9"/>
            </w:tcBorders>
          </w:tcPr>
          <w:p>
            <w:pPr>
              <w:jc w:val="center"/>
              <w:spacing w:after="0"/>
              <w:rPr>
                <w:sz w:val="20"/>
                <w:szCs w:val="20"/>
                <w:color w:val="auto"/>
              </w:rPr>
            </w:pPr>
            <w:r>
              <w:rPr>
                <w:rFonts w:ascii="Times New Roman" w:cs="Times New Roman" w:eastAsia="Times New Roman" w:hAnsi="Times New Roman"/>
                <w:sz w:val="16"/>
                <w:szCs w:val="16"/>
                <w:color w:val="auto"/>
                <w:w w:val="98"/>
              </w:rPr>
              <w:t>June 24, 2015</w:t>
            </w:r>
          </w:p>
        </w:tc>
        <w:tc>
          <w:tcPr>
            <w:tcW w:w="0" w:type="dxa"/>
            <w:vAlign w:val="bottom"/>
          </w:tcPr>
          <w:p>
            <w:pPr>
              <w:spacing w:after="0"/>
              <w:rPr>
                <w:sz w:val="1"/>
                <w:szCs w:val="1"/>
                <w:color w:val="auto"/>
              </w:rPr>
            </w:pPr>
          </w:p>
        </w:tc>
      </w:tr>
      <w:tr>
        <w:trPr>
          <w:trHeight w:val="35"/>
        </w:trPr>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top w:val="single" w:sz="8" w:color="313131"/>
            </w:tcBorders>
          </w:tcPr>
          <w:p>
            <w:pPr>
              <w:spacing w:after="0"/>
              <w:rPr>
                <w:sz w:val="3"/>
                <w:szCs w:val="3"/>
                <w:color w:val="auto"/>
              </w:rPr>
            </w:pPr>
          </w:p>
        </w:tc>
        <w:tc>
          <w:tcPr>
            <w:tcW w:w="460" w:type="dxa"/>
            <w:vAlign w:val="bottom"/>
            <w:tcBorders>
              <w:top w:val="single" w:sz="8" w:color="313131"/>
            </w:tcBorders>
          </w:tcPr>
          <w:p>
            <w:pPr>
              <w:spacing w:after="0"/>
              <w:rPr>
                <w:sz w:val="3"/>
                <w:szCs w:val="3"/>
                <w:color w:val="auto"/>
              </w:rPr>
            </w:pPr>
          </w:p>
        </w:tc>
        <w:tc>
          <w:tcPr>
            <w:tcW w:w="920" w:type="dxa"/>
            <w:vAlign w:val="bottom"/>
            <w:tcBorders>
              <w:top w:val="single" w:sz="8" w:color="313131"/>
            </w:tcBorders>
          </w:tcPr>
          <w:p>
            <w:pPr>
              <w:spacing w:after="0"/>
              <w:rPr>
                <w:sz w:val="3"/>
                <w:szCs w:val="3"/>
                <w:color w:val="auto"/>
              </w:rPr>
            </w:pPr>
          </w:p>
        </w:tc>
        <w:tc>
          <w:tcPr>
            <w:tcW w:w="640" w:type="dxa"/>
            <w:vAlign w:val="bottom"/>
            <w:tcBorders>
              <w:top w:val="single" w:sz="8" w:color="313131"/>
            </w:tcBorders>
          </w:tcPr>
          <w:p>
            <w:pPr>
              <w:spacing w:after="0"/>
              <w:rPr>
                <w:sz w:val="3"/>
                <w:szCs w:val="3"/>
                <w:color w:val="auto"/>
              </w:rPr>
            </w:pPr>
          </w:p>
        </w:tc>
        <w:tc>
          <w:tcPr>
            <w:tcW w:w="360" w:type="dxa"/>
            <w:vAlign w:val="bottom"/>
            <w:tcBorders>
              <w:top w:val="single" w:sz="8" w:color="313131"/>
            </w:tcBorders>
          </w:tcPr>
          <w:p>
            <w:pPr>
              <w:spacing w:after="0"/>
              <w:rPr>
                <w:sz w:val="3"/>
                <w:szCs w:val="3"/>
                <w:color w:val="auto"/>
              </w:rPr>
            </w:pPr>
          </w:p>
        </w:tc>
        <w:tc>
          <w:tcPr>
            <w:tcW w:w="140" w:type="dxa"/>
            <w:vAlign w:val="bottom"/>
            <w:tcBorders>
              <w:top w:val="single" w:sz="8" w:color="313131"/>
            </w:tcBorders>
          </w:tcPr>
          <w:p>
            <w:pPr>
              <w:spacing w:after="0"/>
              <w:rPr>
                <w:sz w:val="3"/>
                <w:szCs w:val="3"/>
                <w:color w:val="auto"/>
              </w:rPr>
            </w:pPr>
          </w:p>
        </w:tc>
        <w:tc>
          <w:tcPr>
            <w:tcW w:w="260" w:type="dxa"/>
            <w:vAlign w:val="bottom"/>
            <w:tcBorders>
              <w:top w:val="single" w:sz="8" w:color="313131"/>
            </w:tcBorders>
          </w:tcPr>
          <w:p>
            <w:pPr>
              <w:spacing w:after="0"/>
              <w:rPr>
                <w:sz w:val="3"/>
                <w:szCs w:val="3"/>
                <w:color w:val="auto"/>
              </w:rPr>
            </w:pPr>
          </w:p>
        </w:tc>
        <w:tc>
          <w:tcPr>
            <w:tcW w:w="180" w:type="dxa"/>
            <w:vAlign w:val="bottom"/>
            <w:tcBorders>
              <w:top w:val="single" w:sz="8" w:color="313131"/>
            </w:tcBorders>
          </w:tcPr>
          <w:p>
            <w:pPr>
              <w:spacing w:after="0"/>
              <w:rPr>
                <w:sz w:val="3"/>
                <w:szCs w:val="3"/>
                <w:color w:val="auto"/>
              </w:rPr>
            </w:pPr>
          </w:p>
        </w:tc>
        <w:tc>
          <w:tcPr>
            <w:tcW w:w="120" w:type="dxa"/>
            <w:vAlign w:val="bottom"/>
            <w:tcBorders>
              <w:top w:val="single" w:sz="8" w:color="313131"/>
            </w:tcBorders>
          </w:tcPr>
          <w:p>
            <w:pPr>
              <w:spacing w:after="0"/>
              <w:rPr>
                <w:sz w:val="3"/>
                <w:szCs w:val="3"/>
                <w:color w:val="auto"/>
              </w:rPr>
            </w:pPr>
          </w:p>
        </w:tc>
        <w:tc>
          <w:tcPr>
            <w:tcW w:w="160" w:type="dxa"/>
            <w:vAlign w:val="bottom"/>
            <w:tcBorders>
              <w:top w:val="single" w:sz="8" w:color="313131"/>
            </w:tcBorders>
          </w:tcPr>
          <w:p>
            <w:pPr>
              <w:spacing w:after="0"/>
              <w:rPr>
                <w:sz w:val="3"/>
                <w:szCs w:val="3"/>
                <w:color w:val="auto"/>
              </w:rPr>
            </w:pPr>
          </w:p>
        </w:tc>
        <w:tc>
          <w:tcPr>
            <w:tcW w:w="100" w:type="dxa"/>
            <w:vAlign w:val="bottom"/>
            <w:tcBorders>
              <w:top w:val="single" w:sz="8" w:color="313131"/>
            </w:tcBorders>
          </w:tcPr>
          <w:p>
            <w:pPr>
              <w:spacing w:after="0"/>
              <w:rPr>
                <w:sz w:val="3"/>
                <w:szCs w:val="3"/>
                <w:color w:val="auto"/>
              </w:rPr>
            </w:pPr>
          </w:p>
        </w:tc>
        <w:tc>
          <w:tcPr>
            <w:tcW w:w="500" w:type="dxa"/>
            <w:vAlign w:val="bottom"/>
            <w:tcBorders>
              <w:top w:val="single" w:sz="8" w:color="313131"/>
            </w:tcBorders>
          </w:tcPr>
          <w:p>
            <w:pPr>
              <w:spacing w:after="0"/>
              <w:rPr>
                <w:sz w:val="3"/>
                <w:szCs w:val="3"/>
                <w:color w:val="auto"/>
              </w:rPr>
            </w:pPr>
          </w:p>
        </w:tc>
        <w:tc>
          <w:tcPr>
            <w:tcW w:w="80" w:type="dxa"/>
            <w:vAlign w:val="bottom"/>
            <w:tcBorders>
              <w:top w:val="single" w:sz="8" w:color="313131"/>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80" w:type="dxa"/>
            <w:vAlign w:val="bottom"/>
            <w:tcBorders>
              <w:bottom w:val="single" w:sz="8" w:color="E9E9E9"/>
            </w:tcBorders>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7"/>
              </w:rPr>
              <w:t>10.7+</w:t>
            </w:r>
          </w:p>
        </w:tc>
        <w:tc>
          <w:tcPr>
            <w:tcW w:w="80" w:type="dxa"/>
            <w:vAlign w:val="bottom"/>
            <w:tcBorders>
              <w:bottom w:val="single" w:sz="8" w:color="E9E9E9"/>
            </w:tcBorders>
            <w:shd w:val="clear" w:color="auto" w:fill="E9E9E9"/>
          </w:tcPr>
          <w:p>
            <w:pPr>
              <w:spacing w:after="0"/>
              <w:rPr>
                <w:sz w:val="19"/>
                <w:szCs w:val="19"/>
                <w:color w:val="auto"/>
              </w:rPr>
            </w:pPr>
          </w:p>
        </w:tc>
        <w:tc>
          <w:tcPr>
            <w:tcW w:w="40" w:type="dxa"/>
            <w:vAlign w:val="bottom"/>
            <w:tcBorders>
              <w:bottom w:val="single" w:sz="8" w:color="E9E9E9"/>
            </w:tcBorders>
            <w:shd w:val="clear" w:color="auto" w:fill="E9E9E9"/>
          </w:tcPr>
          <w:p>
            <w:pPr>
              <w:spacing w:after="0"/>
              <w:rPr>
                <w:sz w:val="19"/>
                <w:szCs w:val="19"/>
                <w:color w:val="auto"/>
              </w:rPr>
            </w:pPr>
          </w:p>
        </w:tc>
        <w:tc>
          <w:tcPr>
            <w:tcW w:w="5060" w:type="dxa"/>
            <w:vAlign w:val="bottom"/>
            <w:tcBorders>
              <w:bottom w:val="single" w:sz="8" w:color="313131"/>
            </w:tcBorders>
            <w:gridSpan w:val="29"/>
            <w:shd w:val="clear" w:color="auto" w:fill="E9E9E9"/>
          </w:tcPr>
          <w:p>
            <w:pPr>
              <w:spacing w:after="0"/>
              <w:rPr>
                <w:sz w:val="20"/>
                <w:szCs w:val="20"/>
                <w:color w:val="auto"/>
              </w:rPr>
            </w:pPr>
            <w:r>
              <w:rPr>
                <w:rFonts w:ascii="Times New Roman" w:cs="Times New Roman" w:eastAsia="Times New Roman" w:hAnsi="Times New Roman"/>
                <w:sz w:val="16"/>
                <w:szCs w:val="16"/>
                <w:color w:val="313131"/>
                <w:w w:val="97"/>
              </w:rPr>
              <w:t>Form of Amendment to the Lantheus Holdings, Inc. 2013 Equity Incentive Plan.</w:t>
            </w:r>
          </w:p>
        </w:tc>
        <w:tc>
          <w:tcPr>
            <w:tcW w:w="20" w:type="dxa"/>
            <w:vAlign w:val="bottom"/>
            <w:tcBorders>
              <w:bottom w:val="single" w:sz="8" w:color="E9E9E9"/>
            </w:tcBorders>
            <w:shd w:val="clear" w:color="auto" w:fill="E9E9E9"/>
          </w:tcPr>
          <w:p>
            <w:pPr>
              <w:spacing w:after="0"/>
              <w:rPr>
                <w:sz w:val="19"/>
                <w:szCs w:val="19"/>
                <w:color w:val="auto"/>
              </w:rPr>
            </w:pPr>
          </w:p>
        </w:tc>
        <w:tc>
          <w:tcPr>
            <w:tcW w:w="100" w:type="dxa"/>
            <w:vAlign w:val="bottom"/>
            <w:tcBorders>
              <w:bottom w:val="single" w:sz="8" w:color="E9E9E9"/>
            </w:tcBorders>
            <w:shd w:val="clear" w:color="auto" w:fill="E9E9E9"/>
          </w:tcPr>
          <w:p>
            <w:pPr>
              <w:spacing w:after="0"/>
              <w:rPr>
                <w:sz w:val="19"/>
                <w:szCs w:val="19"/>
                <w:color w:val="auto"/>
              </w:rPr>
            </w:pPr>
          </w:p>
        </w:tc>
        <w:tc>
          <w:tcPr>
            <w:tcW w:w="80" w:type="dxa"/>
            <w:vAlign w:val="bottom"/>
            <w:tcBorders>
              <w:bottom w:val="single" w:sz="8" w:color="E9E9E9"/>
            </w:tcBorders>
            <w:shd w:val="clear" w:color="auto" w:fill="E9E9E9"/>
          </w:tcPr>
          <w:p>
            <w:pPr>
              <w:spacing w:after="0"/>
              <w:rPr>
                <w:sz w:val="19"/>
                <w:szCs w:val="19"/>
                <w:color w:val="auto"/>
              </w:rPr>
            </w:pPr>
          </w:p>
        </w:tc>
        <w:tc>
          <w:tcPr>
            <w:tcW w:w="720" w:type="dxa"/>
            <w:vAlign w:val="bottom"/>
            <w:tcBorders>
              <w:bottom w:val="single" w:sz="8" w:color="E9E9E9"/>
            </w:tcBorders>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8"/>
              </w:rPr>
              <w:t>S-1</w:t>
            </w:r>
          </w:p>
        </w:tc>
        <w:tc>
          <w:tcPr>
            <w:tcW w:w="1060" w:type="dxa"/>
            <w:vAlign w:val="bottom"/>
            <w:tcBorders>
              <w:bottom w:val="single" w:sz="8" w:color="E9E9E9"/>
            </w:tcBorders>
            <w:gridSpan w:val="2"/>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8"/>
              </w:rPr>
              <w:t>333-196998</w:t>
            </w:r>
          </w:p>
        </w:tc>
        <w:tc>
          <w:tcPr>
            <w:tcW w:w="940" w:type="dxa"/>
            <w:vAlign w:val="bottom"/>
            <w:tcBorders>
              <w:bottom w:val="single" w:sz="8" w:color="E9E9E9"/>
            </w:tcBorders>
            <w:gridSpan w:val="2"/>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9"/>
              </w:rPr>
              <w:t>10.40</w:t>
            </w:r>
          </w:p>
        </w:tc>
        <w:tc>
          <w:tcPr>
            <w:tcW w:w="80" w:type="dxa"/>
            <w:vAlign w:val="bottom"/>
            <w:tcBorders>
              <w:bottom w:val="single" w:sz="8" w:color="E9E9E9"/>
            </w:tcBorders>
            <w:shd w:val="clear" w:color="auto" w:fill="E9E9E9"/>
          </w:tcPr>
          <w:p>
            <w:pPr>
              <w:spacing w:after="0"/>
              <w:rPr>
                <w:sz w:val="19"/>
                <w:szCs w:val="19"/>
                <w:color w:val="auto"/>
              </w:rPr>
            </w:pPr>
          </w:p>
        </w:tc>
        <w:tc>
          <w:tcPr>
            <w:tcW w:w="1500" w:type="dxa"/>
            <w:vAlign w:val="bottom"/>
            <w:tcBorders>
              <w:bottom w:val="single" w:sz="8" w:color="E9E9E9"/>
            </w:tcBorders>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8"/>
              </w:rPr>
              <w:t>June 24, 2015</w:t>
            </w:r>
          </w:p>
        </w:tc>
        <w:tc>
          <w:tcPr>
            <w:tcW w:w="0" w:type="dxa"/>
            <w:vAlign w:val="bottom"/>
          </w:tcPr>
          <w:p>
            <w:pPr>
              <w:spacing w:after="0"/>
              <w:rPr>
                <w:sz w:val="1"/>
                <w:szCs w:val="1"/>
                <w:color w:val="auto"/>
              </w:rPr>
            </w:pPr>
          </w:p>
        </w:tc>
      </w:tr>
      <w:tr>
        <w:trPr>
          <w:trHeight w:val="195"/>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10.8+</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80" w:type="dxa"/>
            <w:vAlign w:val="bottom"/>
            <w:gridSpan w:val="30"/>
          </w:tcPr>
          <w:p>
            <w:pPr>
              <w:spacing w:after="0"/>
              <w:rPr>
                <w:sz w:val="20"/>
                <w:szCs w:val="20"/>
                <w:color w:val="auto"/>
              </w:rPr>
            </w:pPr>
            <w:r>
              <w:rPr>
                <w:rFonts w:ascii="Times New Roman" w:cs="Times New Roman" w:eastAsia="Times New Roman" w:hAnsi="Times New Roman"/>
                <w:sz w:val="16"/>
                <w:szCs w:val="16"/>
                <w:color w:val="313131"/>
              </w:rPr>
              <w:t>Amendment to Lantheus Holdings, Inc. 2015 Equity Incentive Plan.</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001-36569</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April 28, 2016</w:t>
            </w:r>
          </w:p>
        </w:tc>
        <w:tc>
          <w:tcPr>
            <w:tcW w:w="0" w:type="dxa"/>
            <w:vAlign w:val="bottom"/>
          </w:tcPr>
          <w:p>
            <w:pPr>
              <w:spacing w:after="0"/>
              <w:rPr>
                <w:sz w:val="1"/>
                <w:szCs w:val="1"/>
                <w:color w:val="auto"/>
              </w:rPr>
            </w:pPr>
          </w:p>
        </w:tc>
      </w:tr>
      <w:tr>
        <w:trPr>
          <w:trHeight w:val="35"/>
        </w:trPr>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top w:val="single" w:sz="8" w:color="313131"/>
            </w:tcBorders>
          </w:tcPr>
          <w:p>
            <w:pPr>
              <w:spacing w:after="0"/>
              <w:rPr>
                <w:sz w:val="3"/>
                <w:szCs w:val="3"/>
                <w:color w:val="auto"/>
              </w:rPr>
            </w:pPr>
          </w:p>
        </w:tc>
        <w:tc>
          <w:tcPr>
            <w:tcW w:w="460" w:type="dxa"/>
            <w:vAlign w:val="bottom"/>
            <w:tcBorders>
              <w:top w:val="single" w:sz="8" w:color="313131"/>
            </w:tcBorders>
          </w:tcPr>
          <w:p>
            <w:pPr>
              <w:spacing w:after="0"/>
              <w:rPr>
                <w:sz w:val="3"/>
                <w:szCs w:val="3"/>
                <w:color w:val="auto"/>
              </w:rPr>
            </w:pPr>
          </w:p>
        </w:tc>
        <w:tc>
          <w:tcPr>
            <w:tcW w:w="920" w:type="dxa"/>
            <w:vAlign w:val="bottom"/>
            <w:tcBorders>
              <w:top w:val="single" w:sz="8" w:color="313131"/>
            </w:tcBorders>
          </w:tcPr>
          <w:p>
            <w:pPr>
              <w:spacing w:after="0"/>
              <w:rPr>
                <w:sz w:val="3"/>
                <w:szCs w:val="3"/>
                <w:color w:val="auto"/>
              </w:rPr>
            </w:pPr>
          </w:p>
        </w:tc>
        <w:tc>
          <w:tcPr>
            <w:tcW w:w="640" w:type="dxa"/>
            <w:vAlign w:val="bottom"/>
            <w:tcBorders>
              <w:top w:val="single" w:sz="8" w:color="313131"/>
            </w:tcBorders>
          </w:tcPr>
          <w:p>
            <w:pPr>
              <w:spacing w:after="0"/>
              <w:rPr>
                <w:sz w:val="3"/>
                <w:szCs w:val="3"/>
                <w:color w:val="auto"/>
              </w:rPr>
            </w:pPr>
          </w:p>
        </w:tc>
        <w:tc>
          <w:tcPr>
            <w:tcW w:w="360" w:type="dxa"/>
            <w:vAlign w:val="bottom"/>
            <w:tcBorders>
              <w:top w:val="single" w:sz="8" w:color="313131"/>
            </w:tcBorders>
          </w:tcPr>
          <w:p>
            <w:pPr>
              <w:spacing w:after="0"/>
              <w:rPr>
                <w:sz w:val="3"/>
                <w:szCs w:val="3"/>
                <w:color w:val="auto"/>
              </w:rPr>
            </w:pPr>
          </w:p>
        </w:tc>
        <w:tc>
          <w:tcPr>
            <w:tcW w:w="140" w:type="dxa"/>
            <w:vAlign w:val="bottom"/>
            <w:tcBorders>
              <w:top w:val="single" w:sz="8" w:color="313131"/>
            </w:tcBorders>
          </w:tcPr>
          <w:p>
            <w:pPr>
              <w:spacing w:after="0"/>
              <w:rPr>
                <w:sz w:val="3"/>
                <w:szCs w:val="3"/>
                <w:color w:val="auto"/>
              </w:rPr>
            </w:pPr>
          </w:p>
        </w:tc>
        <w:tc>
          <w:tcPr>
            <w:tcW w:w="260" w:type="dxa"/>
            <w:vAlign w:val="bottom"/>
            <w:tcBorders>
              <w:top w:val="single" w:sz="8" w:color="313131"/>
            </w:tcBorders>
          </w:tcPr>
          <w:p>
            <w:pPr>
              <w:spacing w:after="0"/>
              <w:rPr>
                <w:sz w:val="3"/>
                <w:szCs w:val="3"/>
                <w:color w:val="auto"/>
              </w:rPr>
            </w:pPr>
          </w:p>
        </w:tc>
        <w:tc>
          <w:tcPr>
            <w:tcW w:w="180" w:type="dxa"/>
            <w:vAlign w:val="bottom"/>
            <w:tcBorders>
              <w:top w:val="single" w:sz="8" w:color="313131"/>
            </w:tcBorders>
          </w:tcPr>
          <w:p>
            <w:pPr>
              <w:spacing w:after="0"/>
              <w:rPr>
                <w:sz w:val="3"/>
                <w:szCs w:val="3"/>
                <w:color w:val="auto"/>
              </w:rPr>
            </w:pPr>
          </w:p>
        </w:tc>
        <w:tc>
          <w:tcPr>
            <w:tcW w:w="120" w:type="dxa"/>
            <w:vAlign w:val="bottom"/>
            <w:tcBorders>
              <w:top w:val="single" w:sz="8" w:color="313131"/>
            </w:tcBorders>
          </w:tcPr>
          <w:p>
            <w:pPr>
              <w:spacing w:after="0"/>
              <w:rPr>
                <w:sz w:val="3"/>
                <w:szCs w:val="3"/>
                <w:color w:val="auto"/>
              </w:rPr>
            </w:pPr>
          </w:p>
        </w:tc>
        <w:tc>
          <w:tcPr>
            <w:tcW w:w="160" w:type="dxa"/>
            <w:vAlign w:val="bottom"/>
            <w:tcBorders>
              <w:top w:val="single" w:sz="8" w:color="313131"/>
            </w:tcBorders>
          </w:tcPr>
          <w:p>
            <w:pPr>
              <w:spacing w:after="0"/>
              <w:rPr>
                <w:sz w:val="3"/>
                <w:szCs w:val="3"/>
                <w:color w:val="auto"/>
              </w:rPr>
            </w:pPr>
          </w:p>
        </w:tc>
        <w:tc>
          <w:tcPr>
            <w:tcW w:w="100" w:type="dxa"/>
            <w:vAlign w:val="bottom"/>
            <w:tcBorders>
              <w:top w:val="single" w:sz="8" w:color="313131"/>
            </w:tcBorders>
          </w:tcPr>
          <w:p>
            <w:pPr>
              <w:spacing w:after="0"/>
              <w:rPr>
                <w:sz w:val="3"/>
                <w:szCs w:val="3"/>
                <w:color w:val="auto"/>
              </w:rPr>
            </w:pPr>
          </w:p>
        </w:tc>
        <w:tc>
          <w:tcPr>
            <w:tcW w:w="500" w:type="dxa"/>
            <w:vAlign w:val="bottom"/>
            <w:tcBorders>
              <w:top w:val="single" w:sz="8" w:color="313131"/>
            </w:tcBorders>
          </w:tcPr>
          <w:p>
            <w:pPr>
              <w:spacing w:after="0"/>
              <w:rPr>
                <w:sz w:val="3"/>
                <w:szCs w:val="3"/>
                <w:color w:val="auto"/>
              </w:rPr>
            </w:pPr>
          </w:p>
        </w:tc>
        <w:tc>
          <w:tcPr>
            <w:tcW w:w="80" w:type="dxa"/>
            <w:vAlign w:val="bottom"/>
            <w:tcBorders>
              <w:top w:val="single" w:sz="8" w:color="313131"/>
            </w:tcBorders>
          </w:tcPr>
          <w:p>
            <w:pPr>
              <w:spacing w:after="0"/>
              <w:rPr>
                <w:sz w:val="3"/>
                <w:szCs w:val="3"/>
                <w:color w:val="auto"/>
              </w:rPr>
            </w:pPr>
          </w:p>
        </w:tc>
        <w:tc>
          <w:tcPr>
            <w:tcW w:w="20" w:type="dxa"/>
            <w:vAlign w:val="bottom"/>
            <w:tcBorders>
              <w:top w:val="single" w:sz="8" w:color="313131"/>
            </w:tcBorders>
          </w:tcPr>
          <w:p>
            <w:pPr>
              <w:spacing w:after="0"/>
              <w:rPr>
                <w:sz w:val="3"/>
                <w:szCs w:val="3"/>
                <w:color w:val="auto"/>
              </w:rPr>
            </w:pPr>
          </w:p>
        </w:tc>
        <w:tc>
          <w:tcPr>
            <w:tcW w:w="20" w:type="dxa"/>
            <w:vAlign w:val="bottom"/>
            <w:tcBorders>
              <w:top w:val="single" w:sz="8" w:color="313131"/>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80" w:type="dxa"/>
            <w:vAlign w:val="bottom"/>
            <w:tcBorders>
              <w:bottom w:val="single" w:sz="8" w:color="E9E9E9"/>
            </w:tcBorders>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7"/>
              </w:rPr>
              <w:t>10.9+</w:t>
            </w:r>
          </w:p>
        </w:tc>
        <w:tc>
          <w:tcPr>
            <w:tcW w:w="80" w:type="dxa"/>
            <w:vAlign w:val="bottom"/>
            <w:tcBorders>
              <w:bottom w:val="single" w:sz="8" w:color="E9E9E9"/>
            </w:tcBorders>
            <w:shd w:val="clear" w:color="auto" w:fill="E9E9E9"/>
          </w:tcPr>
          <w:p>
            <w:pPr>
              <w:spacing w:after="0"/>
              <w:rPr>
                <w:sz w:val="19"/>
                <w:szCs w:val="19"/>
                <w:color w:val="auto"/>
              </w:rPr>
            </w:pPr>
          </w:p>
        </w:tc>
        <w:tc>
          <w:tcPr>
            <w:tcW w:w="40" w:type="dxa"/>
            <w:vAlign w:val="bottom"/>
            <w:tcBorders>
              <w:bottom w:val="single" w:sz="8" w:color="E9E9E9"/>
            </w:tcBorders>
            <w:shd w:val="clear" w:color="auto" w:fill="E9E9E9"/>
          </w:tcPr>
          <w:p>
            <w:pPr>
              <w:spacing w:after="0"/>
              <w:rPr>
                <w:sz w:val="19"/>
                <w:szCs w:val="19"/>
                <w:color w:val="auto"/>
              </w:rPr>
            </w:pPr>
          </w:p>
        </w:tc>
        <w:tc>
          <w:tcPr>
            <w:tcW w:w="4740" w:type="dxa"/>
            <w:vAlign w:val="bottom"/>
            <w:tcBorders>
              <w:bottom w:val="single" w:sz="8" w:color="313131"/>
            </w:tcBorders>
            <w:gridSpan w:val="22"/>
            <w:shd w:val="clear" w:color="auto" w:fill="E9E9E9"/>
          </w:tcPr>
          <w:p>
            <w:pPr>
              <w:spacing w:after="0"/>
              <w:rPr>
                <w:sz w:val="20"/>
                <w:szCs w:val="20"/>
                <w:color w:val="auto"/>
              </w:rPr>
            </w:pPr>
            <w:r>
              <w:rPr>
                <w:rFonts w:ascii="Times New Roman" w:cs="Times New Roman" w:eastAsia="Times New Roman" w:hAnsi="Times New Roman"/>
                <w:sz w:val="16"/>
                <w:szCs w:val="16"/>
                <w:color w:val="313131"/>
                <w:w w:val="97"/>
              </w:rPr>
              <w:t>Second Amendment to Lantheus Holdings, Inc. 2015 Equity Incentive Plan</w:t>
            </w:r>
          </w:p>
        </w:tc>
        <w:tc>
          <w:tcPr>
            <w:tcW w:w="340" w:type="dxa"/>
            <w:vAlign w:val="bottom"/>
            <w:tcBorders>
              <w:bottom w:val="single" w:sz="8" w:color="E9E9E9"/>
            </w:tcBorders>
            <w:gridSpan w:val="8"/>
            <w:shd w:val="clear" w:color="auto" w:fill="E9E9E9"/>
          </w:tcPr>
          <w:p>
            <w:pPr>
              <w:spacing w:after="0"/>
              <w:rPr>
                <w:sz w:val="19"/>
                <w:szCs w:val="19"/>
                <w:color w:val="auto"/>
              </w:rPr>
            </w:pPr>
          </w:p>
        </w:tc>
        <w:tc>
          <w:tcPr>
            <w:tcW w:w="100" w:type="dxa"/>
            <w:vAlign w:val="bottom"/>
            <w:tcBorders>
              <w:bottom w:val="single" w:sz="8" w:color="E9E9E9"/>
            </w:tcBorders>
            <w:shd w:val="clear" w:color="auto" w:fill="E9E9E9"/>
          </w:tcPr>
          <w:p>
            <w:pPr>
              <w:spacing w:after="0"/>
              <w:rPr>
                <w:sz w:val="19"/>
                <w:szCs w:val="19"/>
                <w:color w:val="auto"/>
              </w:rPr>
            </w:pPr>
          </w:p>
        </w:tc>
        <w:tc>
          <w:tcPr>
            <w:tcW w:w="80" w:type="dxa"/>
            <w:vAlign w:val="bottom"/>
            <w:tcBorders>
              <w:bottom w:val="single" w:sz="8" w:color="E9E9E9"/>
            </w:tcBorders>
            <w:shd w:val="clear" w:color="auto" w:fill="E9E9E9"/>
          </w:tcPr>
          <w:p>
            <w:pPr>
              <w:spacing w:after="0"/>
              <w:rPr>
                <w:sz w:val="19"/>
                <w:szCs w:val="19"/>
                <w:color w:val="auto"/>
              </w:rPr>
            </w:pPr>
          </w:p>
        </w:tc>
        <w:tc>
          <w:tcPr>
            <w:tcW w:w="720" w:type="dxa"/>
            <w:vAlign w:val="bottom"/>
            <w:tcBorders>
              <w:bottom w:val="single" w:sz="8" w:color="E9E9E9"/>
            </w:tcBorders>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060" w:type="dxa"/>
            <w:vAlign w:val="bottom"/>
            <w:tcBorders>
              <w:bottom w:val="single" w:sz="8" w:color="E9E9E9"/>
            </w:tcBorders>
            <w:gridSpan w:val="2"/>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8"/>
              </w:rPr>
              <w:t>001-36569</w:t>
            </w:r>
          </w:p>
        </w:tc>
        <w:tc>
          <w:tcPr>
            <w:tcW w:w="940" w:type="dxa"/>
            <w:vAlign w:val="bottom"/>
            <w:tcBorders>
              <w:bottom w:val="single" w:sz="8" w:color="E9E9E9"/>
            </w:tcBorders>
            <w:gridSpan w:val="2"/>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80" w:type="dxa"/>
            <w:vAlign w:val="bottom"/>
            <w:tcBorders>
              <w:bottom w:val="single" w:sz="8" w:color="E9E9E9"/>
            </w:tcBorders>
            <w:shd w:val="clear" w:color="auto" w:fill="E9E9E9"/>
          </w:tcPr>
          <w:p>
            <w:pPr>
              <w:spacing w:after="0"/>
              <w:rPr>
                <w:sz w:val="19"/>
                <w:szCs w:val="19"/>
                <w:color w:val="auto"/>
              </w:rPr>
            </w:pPr>
          </w:p>
        </w:tc>
        <w:tc>
          <w:tcPr>
            <w:tcW w:w="1500" w:type="dxa"/>
            <w:vAlign w:val="bottom"/>
            <w:tcBorders>
              <w:bottom w:val="single" w:sz="8" w:color="E9E9E9"/>
            </w:tcBorders>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8"/>
              </w:rPr>
              <w:t>April 28, 2017</w:t>
            </w:r>
          </w:p>
        </w:tc>
        <w:tc>
          <w:tcPr>
            <w:tcW w:w="0" w:type="dxa"/>
            <w:vAlign w:val="bottom"/>
          </w:tcPr>
          <w:p>
            <w:pPr>
              <w:spacing w:after="0"/>
              <w:rPr>
                <w:sz w:val="1"/>
                <w:szCs w:val="1"/>
                <w:color w:val="auto"/>
              </w:rPr>
            </w:pPr>
          </w:p>
        </w:tc>
      </w:tr>
      <w:tr>
        <w:trPr>
          <w:trHeight w:val="195"/>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10.10+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80" w:type="dxa"/>
            <w:vAlign w:val="bottom"/>
            <w:gridSpan w:val="30"/>
          </w:tcPr>
          <w:p>
            <w:pPr>
              <w:spacing w:after="0"/>
              <w:rPr>
                <w:sz w:val="20"/>
                <w:szCs w:val="20"/>
                <w:color w:val="auto"/>
              </w:rPr>
            </w:pPr>
            <w:r>
              <w:rPr>
                <w:rFonts w:ascii="Times New Roman" w:cs="Times New Roman" w:eastAsia="Times New Roman" w:hAnsi="Times New Roman"/>
                <w:sz w:val="16"/>
                <w:szCs w:val="16"/>
                <w:color w:val="313131"/>
              </w:rPr>
              <w:t>Second Amended and Restated Employment Agreement, effective January 25,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10-K</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001-36569</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10.68</w:t>
            </w:r>
          </w:p>
        </w:tc>
        <w:tc>
          <w:tcPr>
            <w:tcW w:w="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February 20, 2019</w:t>
            </w:r>
          </w:p>
        </w:tc>
        <w:tc>
          <w:tcPr>
            <w:tcW w:w="0" w:type="dxa"/>
            <w:vAlign w:val="bottom"/>
          </w:tcPr>
          <w:p>
            <w:pPr>
              <w:spacing w:after="0"/>
              <w:rPr>
                <w:sz w:val="1"/>
                <w:szCs w:val="1"/>
                <w:color w:val="auto"/>
              </w:rPr>
            </w:pPr>
          </w:p>
        </w:tc>
      </w:tr>
      <w:tr>
        <w:trPr>
          <w:trHeight w:val="137"/>
        </w:trPr>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960" w:type="dxa"/>
            <w:vAlign w:val="bottom"/>
            <w:tcBorders>
              <w:top w:val="single" w:sz="8" w:color="313131"/>
            </w:tcBorders>
            <w:gridSpan w:val="27"/>
          </w:tcPr>
          <w:p>
            <w:pPr>
              <w:spacing w:after="0" w:line="137" w:lineRule="exact"/>
              <w:rPr>
                <w:sz w:val="20"/>
                <w:szCs w:val="20"/>
                <w:color w:val="auto"/>
              </w:rPr>
            </w:pPr>
            <w:r>
              <w:rPr>
                <w:rFonts w:ascii="Times New Roman" w:cs="Times New Roman" w:eastAsia="Times New Roman" w:hAnsi="Times New Roman"/>
                <w:sz w:val="15"/>
                <w:szCs w:val="15"/>
                <w:color w:val="313131"/>
              </w:rPr>
              <w:t>2019, by and between Lantheus Medical Imaging, Inc. and Mary Anne Heino.</w:t>
            </w: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top w:val="single" w:sz="8" w:color="313131"/>
            </w:tcBorders>
          </w:tcPr>
          <w:p>
            <w:pPr>
              <w:spacing w:after="0"/>
              <w:rPr>
                <w:sz w:val="3"/>
                <w:szCs w:val="3"/>
                <w:color w:val="auto"/>
              </w:rPr>
            </w:pPr>
          </w:p>
        </w:tc>
        <w:tc>
          <w:tcPr>
            <w:tcW w:w="460" w:type="dxa"/>
            <w:vAlign w:val="bottom"/>
            <w:tcBorders>
              <w:top w:val="single" w:sz="8" w:color="313131"/>
            </w:tcBorders>
          </w:tcPr>
          <w:p>
            <w:pPr>
              <w:spacing w:after="0"/>
              <w:rPr>
                <w:sz w:val="3"/>
                <w:szCs w:val="3"/>
                <w:color w:val="auto"/>
              </w:rPr>
            </w:pPr>
          </w:p>
        </w:tc>
        <w:tc>
          <w:tcPr>
            <w:tcW w:w="920" w:type="dxa"/>
            <w:vAlign w:val="bottom"/>
            <w:tcBorders>
              <w:top w:val="single" w:sz="8" w:color="313131"/>
            </w:tcBorders>
          </w:tcPr>
          <w:p>
            <w:pPr>
              <w:spacing w:after="0"/>
              <w:rPr>
                <w:sz w:val="3"/>
                <w:szCs w:val="3"/>
                <w:color w:val="auto"/>
              </w:rPr>
            </w:pPr>
          </w:p>
        </w:tc>
        <w:tc>
          <w:tcPr>
            <w:tcW w:w="640" w:type="dxa"/>
            <w:vAlign w:val="bottom"/>
            <w:tcBorders>
              <w:top w:val="single" w:sz="8" w:color="313131"/>
            </w:tcBorders>
          </w:tcPr>
          <w:p>
            <w:pPr>
              <w:spacing w:after="0"/>
              <w:rPr>
                <w:sz w:val="3"/>
                <w:szCs w:val="3"/>
                <w:color w:val="auto"/>
              </w:rPr>
            </w:pPr>
          </w:p>
        </w:tc>
        <w:tc>
          <w:tcPr>
            <w:tcW w:w="360" w:type="dxa"/>
            <w:vAlign w:val="bottom"/>
            <w:tcBorders>
              <w:top w:val="single" w:sz="8" w:color="313131"/>
            </w:tcBorders>
          </w:tcPr>
          <w:p>
            <w:pPr>
              <w:spacing w:after="0"/>
              <w:rPr>
                <w:sz w:val="3"/>
                <w:szCs w:val="3"/>
                <w:color w:val="auto"/>
              </w:rPr>
            </w:pPr>
          </w:p>
        </w:tc>
        <w:tc>
          <w:tcPr>
            <w:tcW w:w="140" w:type="dxa"/>
            <w:vAlign w:val="bottom"/>
            <w:tcBorders>
              <w:top w:val="single" w:sz="8" w:color="313131"/>
            </w:tcBorders>
          </w:tcPr>
          <w:p>
            <w:pPr>
              <w:spacing w:after="0"/>
              <w:rPr>
                <w:sz w:val="3"/>
                <w:szCs w:val="3"/>
                <w:color w:val="auto"/>
              </w:rPr>
            </w:pPr>
          </w:p>
        </w:tc>
        <w:tc>
          <w:tcPr>
            <w:tcW w:w="260" w:type="dxa"/>
            <w:vAlign w:val="bottom"/>
            <w:tcBorders>
              <w:top w:val="single" w:sz="8" w:color="313131"/>
            </w:tcBorders>
          </w:tcPr>
          <w:p>
            <w:pPr>
              <w:spacing w:after="0"/>
              <w:rPr>
                <w:sz w:val="3"/>
                <w:szCs w:val="3"/>
                <w:color w:val="auto"/>
              </w:rPr>
            </w:pPr>
          </w:p>
        </w:tc>
        <w:tc>
          <w:tcPr>
            <w:tcW w:w="180" w:type="dxa"/>
            <w:vAlign w:val="bottom"/>
            <w:tcBorders>
              <w:top w:val="single" w:sz="8" w:color="313131"/>
            </w:tcBorders>
          </w:tcPr>
          <w:p>
            <w:pPr>
              <w:spacing w:after="0"/>
              <w:rPr>
                <w:sz w:val="3"/>
                <w:szCs w:val="3"/>
                <w:color w:val="auto"/>
              </w:rPr>
            </w:pPr>
          </w:p>
        </w:tc>
        <w:tc>
          <w:tcPr>
            <w:tcW w:w="120" w:type="dxa"/>
            <w:vAlign w:val="bottom"/>
            <w:tcBorders>
              <w:top w:val="single" w:sz="8" w:color="313131"/>
            </w:tcBorders>
          </w:tcPr>
          <w:p>
            <w:pPr>
              <w:spacing w:after="0"/>
              <w:rPr>
                <w:sz w:val="3"/>
                <w:szCs w:val="3"/>
                <w:color w:val="auto"/>
              </w:rPr>
            </w:pPr>
          </w:p>
        </w:tc>
        <w:tc>
          <w:tcPr>
            <w:tcW w:w="160" w:type="dxa"/>
            <w:vAlign w:val="bottom"/>
            <w:tcBorders>
              <w:top w:val="single" w:sz="8" w:color="313131"/>
            </w:tcBorders>
          </w:tcPr>
          <w:p>
            <w:pPr>
              <w:spacing w:after="0"/>
              <w:rPr>
                <w:sz w:val="3"/>
                <w:szCs w:val="3"/>
                <w:color w:val="auto"/>
              </w:rPr>
            </w:pPr>
          </w:p>
        </w:tc>
        <w:tc>
          <w:tcPr>
            <w:tcW w:w="100" w:type="dxa"/>
            <w:vAlign w:val="bottom"/>
            <w:tcBorders>
              <w:top w:val="single" w:sz="8" w:color="313131"/>
            </w:tcBorders>
          </w:tcPr>
          <w:p>
            <w:pPr>
              <w:spacing w:after="0"/>
              <w:rPr>
                <w:sz w:val="3"/>
                <w:szCs w:val="3"/>
                <w:color w:val="auto"/>
              </w:rPr>
            </w:pPr>
          </w:p>
        </w:tc>
        <w:tc>
          <w:tcPr>
            <w:tcW w:w="500" w:type="dxa"/>
            <w:vAlign w:val="bottom"/>
            <w:tcBorders>
              <w:top w:val="single" w:sz="8" w:color="313131"/>
            </w:tcBorders>
          </w:tcPr>
          <w:p>
            <w:pPr>
              <w:spacing w:after="0"/>
              <w:rPr>
                <w:sz w:val="3"/>
                <w:szCs w:val="3"/>
                <w:color w:val="auto"/>
              </w:rPr>
            </w:pPr>
          </w:p>
        </w:tc>
        <w:tc>
          <w:tcPr>
            <w:tcW w:w="80" w:type="dxa"/>
            <w:vAlign w:val="bottom"/>
            <w:tcBorders>
              <w:top w:val="single" w:sz="8" w:color="313131"/>
            </w:tcBorders>
          </w:tcPr>
          <w:p>
            <w:pPr>
              <w:spacing w:after="0"/>
              <w:rPr>
                <w:sz w:val="3"/>
                <w:szCs w:val="3"/>
                <w:color w:val="auto"/>
              </w:rPr>
            </w:pPr>
          </w:p>
        </w:tc>
        <w:tc>
          <w:tcPr>
            <w:tcW w:w="20" w:type="dxa"/>
            <w:vAlign w:val="bottom"/>
            <w:tcBorders>
              <w:top w:val="single" w:sz="8" w:color="313131"/>
            </w:tcBorders>
          </w:tcPr>
          <w:p>
            <w:pPr>
              <w:spacing w:after="0"/>
              <w:rPr>
                <w:sz w:val="3"/>
                <w:szCs w:val="3"/>
                <w:color w:val="auto"/>
              </w:rPr>
            </w:pPr>
          </w:p>
        </w:tc>
        <w:tc>
          <w:tcPr>
            <w:tcW w:w="20" w:type="dxa"/>
            <w:vAlign w:val="bottom"/>
            <w:tcBorders>
              <w:top w:val="single" w:sz="8" w:color="313131"/>
            </w:tcBorders>
          </w:tcPr>
          <w:p>
            <w:pPr>
              <w:spacing w:after="0"/>
              <w:rPr>
                <w:sz w:val="3"/>
                <w:szCs w:val="3"/>
                <w:color w:val="auto"/>
              </w:rPr>
            </w:pPr>
          </w:p>
        </w:tc>
        <w:tc>
          <w:tcPr>
            <w:tcW w:w="80" w:type="dxa"/>
            <w:vAlign w:val="bottom"/>
            <w:tcBorders>
              <w:top w:val="single" w:sz="8" w:color="313131"/>
            </w:tcBorders>
          </w:tcPr>
          <w:p>
            <w:pPr>
              <w:spacing w:after="0"/>
              <w:rPr>
                <w:sz w:val="3"/>
                <w:szCs w:val="3"/>
                <w:color w:val="auto"/>
              </w:rPr>
            </w:pPr>
          </w:p>
        </w:tc>
        <w:tc>
          <w:tcPr>
            <w:tcW w:w="20" w:type="dxa"/>
            <w:vAlign w:val="bottom"/>
            <w:tcBorders>
              <w:top w:val="single" w:sz="8" w:color="313131"/>
            </w:tcBorders>
          </w:tcPr>
          <w:p>
            <w:pPr>
              <w:spacing w:after="0"/>
              <w:rPr>
                <w:sz w:val="3"/>
                <w:szCs w:val="3"/>
                <w:color w:val="auto"/>
              </w:rPr>
            </w:pPr>
          </w:p>
        </w:tc>
        <w:tc>
          <w:tcPr>
            <w:tcW w:w="200" w:type="dxa"/>
            <w:vAlign w:val="bottom"/>
            <w:tcBorders>
              <w:top w:val="single" w:sz="8" w:color="313131"/>
            </w:tcBorders>
          </w:tcPr>
          <w:p>
            <w:pPr>
              <w:spacing w:after="0"/>
              <w:rPr>
                <w:sz w:val="3"/>
                <w:szCs w:val="3"/>
                <w:color w:val="auto"/>
              </w:rPr>
            </w:pPr>
          </w:p>
        </w:tc>
        <w:tc>
          <w:tcPr>
            <w:tcW w:w="20" w:type="dxa"/>
            <w:vAlign w:val="bottom"/>
            <w:tcBorders>
              <w:top w:val="single" w:sz="8" w:color="313131"/>
            </w:tcBorders>
          </w:tcPr>
          <w:p>
            <w:pPr>
              <w:spacing w:after="0"/>
              <w:rPr>
                <w:sz w:val="3"/>
                <w:szCs w:val="3"/>
                <w:color w:val="auto"/>
              </w:rPr>
            </w:pPr>
          </w:p>
        </w:tc>
        <w:tc>
          <w:tcPr>
            <w:tcW w:w="80" w:type="dxa"/>
            <w:vAlign w:val="bottom"/>
            <w:tcBorders>
              <w:top w:val="single" w:sz="8" w:color="313131"/>
            </w:tcBorders>
          </w:tcPr>
          <w:p>
            <w:pPr>
              <w:spacing w:after="0"/>
              <w:rPr>
                <w:sz w:val="3"/>
                <w:szCs w:val="3"/>
                <w:color w:val="auto"/>
              </w:rPr>
            </w:pPr>
          </w:p>
        </w:tc>
        <w:tc>
          <w:tcPr>
            <w:tcW w:w="20" w:type="dxa"/>
            <w:vAlign w:val="bottom"/>
            <w:tcBorders>
              <w:top w:val="single" w:sz="8" w:color="313131"/>
            </w:tcBorders>
          </w:tcPr>
          <w:p>
            <w:pPr>
              <w:spacing w:after="0"/>
              <w:rPr>
                <w:sz w:val="3"/>
                <w:szCs w:val="3"/>
                <w:color w:val="auto"/>
              </w:rPr>
            </w:pPr>
          </w:p>
        </w:tc>
        <w:tc>
          <w:tcPr>
            <w:tcW w:w="20" w:type="dxa"/>
            <w:vAlign w:val="bottom"/>
            <w:tcBorders>
              <w:top w:val="single" w:sz="8" w:color="313131"/>
            </w:tcBorders>
          </w:tcPr>
          <w:p>
            <w:pPr>
              <w:spacing w:after="0"/>
              <w:rPr>
                <w:sz w:val="3"/>
                <w:szCs w:val="3"/>
                <w:color w:val="auto"/>
              </w:rPr>
            </w:pPr>
          </w:p>
        </w:tc>
        <w:tc>
          <w:tcPr>
            <w:tcW w:w="60" w:type="dxa"/>
            <w:vAlign w:val="bottom"/>
            <w:tcBorders>
              <w:top w:val="single" w:sz="8" w:color="313131"/>
            </w:tcBorders>
          </w:tcPr>
          <w:p>
            <w:pPr>
              <w:spacing w:after="0"/>
              <w:rPr>
                <w:sz w:val="3"/>
                <w:szCs w:val="3"/>
                <w:color w:val="auto"/>
              </w:rPr>
            </w:pPr>
          </w:p>
        </w:tc>
        <w:tc>
          <w:tcPr>
            <w:tcW w:w="20" w:type="dxa"/>
            <w:vAlign w:val="bottom"/>
            <w:tcBorders>
              <w:top w:val="single" w:sz="8" w:color="313131"/>
            </w:tcBorders>
          </w:tcPr>
          <w:p>
            <w:pPr>
              <w:spacing w:after="0"/>
              <w:rPr>
                <w:sz w:val="3"/>
                <w:szCs w:val="3"/>
                <w:color w:val="auto"/>
              </w:rPr>
            </w:pPr>
          </w:p>
        </w:tc>
        <w:tc>
          <w:tcPr>
            <w:tcW w:w="80" w:type="dxa"/>
            <w:vAlign w:val="bottom"/>
            <w:tcBorders>
              <w:top w:val="single" w:sz="8" w:color="313131"/>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7"/>
              </w:rPr>
              <w:t>10.11+</w:t>
            </w:r>
          </w:p>
        </w:tc>
        <w:tc>
          <w:tcPr>
            <w:tcW w:w="80" w:type="dxa"/>
            <w:vAlign w:val="bottom"/>
            <w:shd w:val="clear" w:color="auto" w:fill="E9E9E9"/>
          </w:tcPr>
          <w:p>
            <w:pPr>
              <w:spacing w:after="0"/>
              <w:rPr>
                <w:sz w:val="16"/>
                <w:szCs w:val="16"/>
                <w:color w:val="auto"/>
              </w:rPr>
            </w:pPr>
          </w:p>
        </w:tc>
        <w:tc>
          <w:tcPr>
            <w:tcW w:w="40" w:type="dxa"/>
            <w:vAlign w:val="bottom"/>
            <w:shd w:val="clear" w:color="auto" w:fill="E9E9E9"/>
          </w:tcPr>
          <w:p>
            <w:pPr>
              <w:spacing w:after="0"/>
              <w:rPr>
                <w:sz w:val="16"/>
                <w:szCs w:val="16"/>
                <w:color w:val="auto"/>
              </w:rPr>
            </w:pPr>
          </w:p>
        </w:tc>
        <w:tc>
          <w:tcPr>
            <w:tcW w:w="5080" w:type="dxa"/>
            <w:vAlign w:val="bottom"/>
            <w:gridSpan w:val="30"/>
            <w:shd w:val="clear" w:color="auto" w:fill="E9E9E9"/>
          </w:tcPr>
          <w:p>
            <w:pPr>
              <w:spacing w:after="0"/>
              <w:rPr>
                <w:sz w:val="20"/>
                <w:szCs w:val="20"/>
                <w:color w:val="auto"/>
              </w:rPr>
            </w:pPr>
            <w:r>
              <w:rPr>
                <w:rFonts w:ascii="Times New Roman" w:cs="Times New Roman" w:eastAsia="Times New Roman" w:hAnsi="Times New Roman"/>
                <w:sz w:val="16"/>
                <w:szCs w:val="16"/>
                <w:color w:val="313131"/>
              </w:rPr>
              <w:t>Form of Severance Agreement (executives with existing employment</w:t>
            </w:r>
          </w:p>
        </w:tc>
        <w:tc>
          <w:tcPr>
            <w:tcW w:w="100" w:type="dxa"/>
            <w:vAlign w:val="bottom"/>
            <w:shd w:val="clear" w:color="auto" w:fill="E9E9E9"/>
          </w:tcPr>
          <w:p>
            <w:pPr>
              <w:spacing w:after="0"/>
              <w:rPr>
                <w:sz w:val="16"/>
                <w:szCs w:val="16"/>
                <w:color w:val="auto"/>
              </w:rPr>
            </w:pPr>
          </w:p>
        </w:tc>
        <w:tc>
          <w:tcPr>
            <w:tcW w:w="80" w:type="dxa"/>
            <w:vAlign w:val="bottom"/>
            <w:shd w:val="clear" w:color="auto" w:fill="E9E9E9"/>
          </w:tcPr>
          <w:p>
            <w:pPr>
              <w:spacing w:after="0"/>
              <w:rPr>
                <w:sz w:val="16"/>
                <w:szCs w:val="16"/>
                <w:color w:val="auto"/>
              </w:rPr>
            </w:pPr>
          </w:p>
        </w:tc>
        <w:tc>
          <w:tcPr>
            <w:tcW w:w="72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7"/>
              </w:rPr>
              <w:t>10-K</w:t>
            </w:r>
          </w:p>
        </w:tc>
        <w:tc>
          <w:tcPr>
            <w:tcW w:w="1060" w:type="dxa"/>
            <w:vAlign w:val="bottom"/>
            <w:gridSpan w:val="2"/>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8"/>
              </w:rPr>
              <w:t>001-36569</w:t>
            </w:r>
          </w:p>
        </w:tc>
        <w:tc>
          <w:tcPr>
            <w:tcW w:w="940" w:type="dxa"/>
            <w:vAlign w:val="bottom"/>
            <w:gridSpan w:val="2"/>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9"/>
              </w:rPr>
              <w:t>10.70</w:t>
            </w:r>
          </w:p>
        </w:tc>
        <w:tc>
          <w:tcPr>
            <w:tcW w:w="80" w:type="dxa"/>
            <w:vAlign w:val="bottom"/>
            <w:shd w:val="clear" w:color="auto" w:fill="E9E9E9"/>
          </w:tcPr>
          <w:p>
            <w:pPr>
              <w:spacing w:after="0"/>
              <w:rPr>
                <w:sz w:val="16"/>
                <w:szCs w:val="16"/>
                <w:color w:val="auto"/>
              </w:rPr>
            </w:pPr>
          </w:p>
        </w:tc>
        <w:tc>
          <w:tcPr>
            <w:tcW w:w="150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6"/>
              </w:rPr>
              <w:t>February 20, 2019</w:t>
            </w:r>
          </w:p>
        </w:tc>
        <w:tc>
          <w:tcPr>
            <w:tcW w:w="0" w:type="dxa"/>
            <w:vAlign w:val="bottom"/>
          </w:tcPr>
          <w:p>
            <w:pPr>
              <w:spacing w:after="0"/>
              <w:rPr>
                <w:sz w:val="1"/>
                <w:szCs w:val="1"/>
                <w:color w:val="auto"/>
              </w:rPr>
            </w:pPr>
          </w:p>
        </w:tc>
      </w:tr>
      <w:tr>
        <w:trPr>
          <w:trHeight w:val="137"/>
        </w:trPr>
        <w:tc>
          <w:tcPr>
            <w:tcW w:w="880" w:type="dxa"/>
            <w:vAlign w:val="bottom"/>
            <w:tcBorders>
              <w:top w:val="single" w:sz="8" w:color="E9E9E9"/>
            </w:tcBorders>
            <w:shd w:val="clear" w:color="auto" w:fill="E9E9E9"/>
          </w:tcPr>
          <w:p>
            <w:pPr>
              <w:spacing w:after="0"/>
              <w:rPr>
                <w:sz w:val="11"/>
                <w:szCs w:val="11"/>
                <w:color w:val="auto"/>
              </w:rPr>
            </w:pPr>
          </w:p>
        </w:tc>
        <w:tc>
          <w:tcPr>
            <w:tcW w:w="80" w:type="dxa"/>
            <w:vAlign w:val="bottom"/>
            <w:tcBorders>
              <w:top w:val="single" w:sz="8" w:color="E9E9E9"/>
            </w:tcBorders>
            <w:shd w:val="clear" w:color="auto" w:fill="E9E9E9"/>
          </w:tcPr>
          <w:p>
            <w:pPr>
              <w:spacing w:after="0"/>
              <w:rPr>
                <w:sz w:val="11"/>
                <w:szCs w:val="11"/>
                <w:color w:val="auto"/>
              </w:rPr>
            </w:pPr>
          </w:p>
        </w:tc>
        <w:tc>
          <w:tcPr>
            <w:tcW w:w="40" w:type="dxa"/>
            <w:vAlign w:val="bottom"/>
            <w:tcBorders>
              <w:top w:val="single" w:sz="8" w:color="E9E9E9"/>
            </w:tcBorders>
            <w:shd w:val="clear" w:color="auto" w:fill="E9E9E9"/>
          </w:tcPr>
          <w:p>
            <w:pPr>
              <w:spacing w:after="0"/>
              <w:rPr>
                <w:sz w:val="11"/>
                <w:szCs w:val="11"/>
                <w:color w:val="auto"/>
              </w:rPr>
            </w:pPr>
          </w:p>
        </w:tc>
        <w:tc>
          <w:tcPr>
            <w:tcW w:w="4400" w:type="dxa"/>
            <w:vAlign w:val="bottom"/>
            <w:tcBorders>
              <w:top w:val="single" w:sz="8" w:color="313131"/>
            </w:tcBorders>
            <w:gridSpan w:val="17"/>
            <w:shd w:val="clear" w:color="auto" w:fill="E9E9E9"/>
          </w:tcPr>
          <w:p>
            <w:pPr>
              <w:spacing w:after="0" w:line="137" w:lineRule="exact"/>
              <w:rPr>
                <w:sz w:val="20"/>
                <w:szCs w:val="20"/>
                <w:color w:val="auto"/>
              </w:rPr>
            </w:pPr>
            <w:r>
              <w:rPr>
                <w:rFonts w:ascii="Times New Roman" w:cs="Times New Roman" w:eastAsia="Times New Roman" w:hAnsi="Times New Roman"/>
                <w:sz w:val="15"/>
                <w:szCs w:val="15"/>
                <w:color w:val="313131"/>
              </w:rPr>
              <w:t>agreements).</w:t>
            </w:r>
          </w:p>
        </w:tc>
        <w:tc>
          <w:tcPr>
            <w:tcW w:w="200" w:type="dxa"/>
            <w:vAlign w:val="bottom"/>
            <w:tcBorders>
              <w:top w:val="single" w:sz="8" w:color="E9E9E9"/>
            </w:tcBorders>
            <w:shd w:val="clear" w:color="auto" w:fill="E9E9E9"/>
          </w:tcPr>
          <w:p>
            <w:pPr>
              <w:spacing w:after="0"/>
              <w:rPr>
                <w:sz w:val="11"/>
                <w:szCs w:val="11"/>
                <w:color w:val="auto"/>
              </w:rPr>
            </w:pPr>
          </w:p>
        </w:tc>
        <w:tc>
          <w:tcPr>
            <w:tcW w:w="20" w:type="dxa"/>
            <w:vAlign w:val="bottom"/>
            <w:tcBorders>
              <w:top w:val="single" w:sz="8" w:color="E9E9E9"/>
            </w:tcBorders>
            <w:shd w:val="clear" w:color="auto" w:fill="E9E9E9"/>
          </w:tcPr>
          <w:p>
            <w:pPr>
              <w:spacing w:after="0"/>
              <w:rPr>
                <w:sz w:val="11"/>
                <w:szCs w:val="11"/>
                <w:color w:val="auto"/>
              </w:rPr>
            </w:pPr>
          </w:p>
        </w:tc>
        <w:tc>
          <w:tcPr>
            <w:tcW w:w="80" w:type="dxa"/>
            <w:vAlign w:val="bottom"/>
            <w:tcBorders>
              <w:top w:val="single" w:sz="8" w:color="E9E9E9"/>
            </w:tcBorders>
            <w:shd w:val="clear" w:color="auto" w:fill="E9E9E9"/>
          </w:tcPr>
          <w:p>
            <w:pPr>
              <w:spacing w:after="0"/>
              <w:rPr>
                <w:sz w:val="11"/>
                <w:szCs w:val="11"/>
                <w:color w:val="auto"/>
              </w:rPr>
            </w:pPr>
          </w:p>
        </w:tc>
        <w:tc>
          <w:tcPr>
            <w:tcW w:w="20" w:type="dxa"/>
            <w:vAlign w:val="bottom"/>
            <w:tcBorders>
              <w:top w:val="single" w:sz="8" w:color="E9E9E9"/>
            </w:tcBorders>
            <w:shd w:val="clear" w:color="auto" w:fill="E9E9E9"/>
          </w:tcPr>
          <w:p>
            <w:pPr>
              <w:spacing w:after="0"/>
              <w:rPr>
                <w:sz w:val="11"/>
                <w:szCs w:val="11"/>
                <w:color w:val="auto"/>
              </w:rPr>
            </w:pPr>
          </w:p>
        </w:tc>
        <w:tc>
          <w:tcPr>
            <w:tcW w:w="260" w:type="dxa"/>
            <w:vAlign w:val="bottom"/>
            <w:tcBorders>
              <w:top w:val="single" w:sz="8" w:color="E9E9E9"/>
            </w:tcBorders>
            <w:gridSpan w:val="7"/>
            <w:shd w:val="clear" w:color="auto" w:fill="E9E9E9"/>
          </w:tcPr>
          <w:p>
            <w:pPr>
              <w:spacing w:after="0"/>
              <w:rPr>
                <w:sz w:val="11"/>
                <w:szCs w:val="11"/>
                <w:color w:val="auto"/>
              </w:rPr>
            </w:pPr>
          </w:p>
        </w:tc>
        <w:tc>
          <w:tcPr>
            <w:tcW w:w="100" w:type="dxa"/>
            <w:vAlign w:val="bottom"/>
            <w:tcBorders>
              <w:top w:val="single" w:sz="8" w:color="E9E9E9"/>
            </w:tcBorders>
            <w:gridSpan w:val="2"/>
            <w:shd w:val="clear" w:color="auto" w:fill="E9E9E9"/>
          </w:tcPr>
          <w:p>
            <w:pPr>
              <w:spacing w:after="0"/>
              <w:rPr>
                <w:sz w:val="11"/>
                <w:szCs w:val="11"/>
                <w:color w:val="auto"/>
              </w:rPr>
            </w:pPr>
          </w:p>
        </w:tc>
        <w:tc>
          <w:tcPr>
            <w:tcW w:w="100" w:type="dxa"/>
            <w:vAlign w:val="bottom"/>
            <w:tcBorders>
              <w:top w:val="single" w:sz="8" w:color="E9E9E9"/>
            </w:tcBorders>
            <w:shd w:val="clear" w:color="auto" w:fill="E9E9E9"/>
          </w:tcPr>
          <w:p>
            <w:pPr>
              <w:spacing w:after="0"/>
              <w:rPr>
                <w:sz w:val="11"/>
                <w:szCs w:val="11"/>
                <w:color w:val="auto"/>
              </w:rPr>
            </w:pPr>
          </w:p>
        </w:tc>
        <w:tc>
          <w:tcPr>
            <w:tcW w:w="80" w:type="dxa"/>
            <w:vAlign w:val="bottom"/>
            <w:tcBorders>
              <w:top w:val="single" w:sz="8" w:color="E9E9E9"/>
            </w:tcBorders>
            <w:shd w:val="clear" w:color="auto" w:fill="E9E9E9"/>
          </w:tcPr>
          <w:p>
            <w:pPr>
              <w:spacing w:after="0"/>
              <w:rPr>
                <w:sz w:val="11"/>
                <w:szCs w:val="11"/>
                <w:color w:val="auto"/>
              </w:rPr>
            </w:pPr>
          </w:p>
        </w:tc>
        <w:tc>
          <w:tcPr>
            <w:tcW w:w="720" w:type="dxa"/>
            <w:vAlign w:val="bottom"/>
            <w:tcBorders>
              <w:top w:val="single" w:sz="8" w:color="E9E9E9"/>
            </w:tcBorders>
            <w:shd w:val="clear" w:color="auto" w:fill="E9E9E9"/>
          </w:tcPr>
          <w:p>
            <w:pPr>
              <w:spacing w:after="0"/>
              <w:rPr>
                <w:sz w:val="11"/>
                <w:szCs w:val="11"/>
                <w:color w:val="auto"/>
              </w:rPr>
            </w:pPr>
          </w:p>
        </w:tc>
        <w:tc>
          <w:tcPr>
            <w:tcW w:w="80" w:type="dxa"/>
            <w:vAlign w:val="bottom"/>
            <w:tcBorders>
              <w:top w:val="single" w:sz="8" w:color="E9E9E9"/>
            </w:tcBorders>
            <w:shd w:val="clear" w:color="auto" w:fill="E9E9E9"/>
          </w:tcPr>
          <w:p>
            <w:pPr>
              <w:spacing w:after="0"/>
              <w:rPr>
                <w:sz w:val="11"/>
                <w:szCs w:val="11"/>
                <w:color w:val="auto"/>
              </w:rPr>
            </w:pPr>
          </w:p>
        </w:tc>
        <w:tc>
          <w:tcPr>
            <w:tcW w:w="980" w:type="dxa"/>
            <w:vAlign w:val="bottom"/>
            <w:tcBorders>
              <w:top w:val="single" w:sz="8" w:color="E9E9E9"/>
            </w:tcBorders>
            <w:shd w:val="clear" w:color="auto" w:fill="E9E9E9"/>
          </w:tcPr>
          <w:p>
            <w:pPr>
              <w:spacing w:after="0"/>
              <w:rPr>
                <w:sz w:val="11"/>
                <w:szCs w:val="11"/>
                <w:color w:val="auto"/>
              </w:rPr>
            </w:pPr>
          </w:p>
        </w:tc>
        <w:tc>
          <w:tcPr>
            <w:tcW w:w="60" w:type="dxa"/>
            <w:vAlign w:val="bottom"/>
            <w:tcBorders>
              <w:top w:val="single" w:sz="8" w:color="E9E9E9"/>
            </w:tcBorders>
            <w:shd w:val="clear" w:color="auto" w:fill="E9E9E9"/>
          </w:tcPr>
          <w:p>
            <w:pPr>
              <w:spacing w:after="0"/>
              <w:rPr>
                <w:sz w:val="11"/>
                <w:szCs w:val="11"/>
                <w:color w:val="auto"/>
              </w:rPr>
            </w:pPr>
          </w:p>
        </w:tc>
        <w:tc>
          <w:tcPr>
            <w:tcW w:w="880" w:type="dxa"/>
            <w:vAlign w:val="bottom"/>
            <w:tcBorders>
              <w:top w:val="single" w:sz="8" w:color="E9E9E9"/>
            </w:tcBorders>
            <w:shd w:val="clear" w:color="auto" w:fill="E9E9E9"/>
          </w:tcPr>
          <w:p>
            <w:pPr>
              <w:spacing w:after="0"/>
              <w:rPr>
                <w:sz w:val="11"/>
                <w:szCs w:val="11"/>
                <w:color w:val="auto"/>
              </w:rPr>
            </w:pPr>
          </w:p>
        </w:tc>
        <w:tc>
          <w:tcPr>
            <w:tcW w:w="80" w:type="dxa"/>
            <w:vAlign w:val="bottom"/>
            <w:tcBorders>
              <w:top w:val="single" w:sz="8" w:color="E9E9E9"/>
            </w:tcBorders>
            <w:shd w:val="clear" w:color="auto" w:fill="E9E9E9"/>
          </w:tcPr>
          <w:p>
            <w:pPr>
              <w:spacing w:after="0"/>
              <w:rPr>
                <w:sz w:val="11"/>
                <w:szCs w:val="11"/>
                <w:color w:val="auto"/>
              </w:rPr>
            </w:pPr>
          </w:p>
        </w:tc>
        <w:tc>
          <w:tcPr>
            <w:tcW w:w="1500" w:type="dxa"/>
            <w:vAlign w:val="bottom"/>
            <w:tcBorders>
              <w:top w:val="single" w:sz="8" w:color="E9E9E9"/>
            </w:tcBorders>
            <w:shd w:val="clear" w:color="auto" w:fill="E9E9E9"/>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880" w:type="dxa"/>
            <w:vAlign w:val="bottom"/>
            <w:tcBorders>
              <w:top w:val="single" w:sz="8" w:color="E9E9E9"/>
            </w:tcBorders>
            <w:shd w:val="clear" w:color="auto" w:fill="E9E9E9"/>
          </w:tcPr>
          <w:p>
            <w:pPr>
              <w:spacing w:after="0"/>
              <w:rPr>
                <w:sz w:val="3"/>
                <w:szCs w:val="3"/>
                <w:color w:val="auto"/>
              </w:rPr>
            </w:pPr>
          </w:p>
        </w:tc>
        <w:tc>
          <w:tcPr>
            <w:tcW w:w="80" w:type="dxa"/>
            <w:vAlign w:val="bottom"/>
            <w:tcBorders>
              <w:top w:val="single" w:sz="8" w:color="E9E9E9"/>
            </w:tcBorders>
            <w:shd w:val="clear" w:color="auto" w:fill="E9E9E9"/>
          </w:tcPr>
          <w:p>
            <w:pPr>
              <w:spacing w:after="0"/>
              <w:rPr>
                <w:sz w:val="3"/>
                <w:szCs w:val="3"/>
                <w:color w:val="auto"/>
              </w:rPr>
            </w:pPr>
          </w:p>
        </w:tc>
        <w:tc>
          <w:tcPr>
            <w:tcW w:w="40" w:type="dxa"/>
            <w:vAlign w:val="bottom"/>
            <w:tcBorders>
              <w:top w:val="single" w:sz="8" w:color="E9E9E9"/>
            </w:tcBorders>
            <w:shd w:val="clear" w:color="auto" w:fill="E9E9E9"/>
          </w:tcPr>
          <w:p>
            <w:pPr>
              <w:spacing w:after="0"/>
              <w:rPr>
                <w:sz w:val="3"/>
                <w:szCs w:val="3"/>
                <w:color w:val="auto"/>
              </w:rPr>
            </w:pPr>
          </w:p>
        </w:tc>
        <w:tc>
          <w:tcPr>
            <w:tcW w:w="340" w:type="dxa"/>
            <w:vAlign w:val="bottom"/>
            <w:tcBorders>
              <w:top w:val="single" w:sz="8" w:color="313131"/>
            </w:tcBorders>
            <w:shd w:val="clear" w:color="auto" w:fill="E9E9E9"/>
          </w:tcPr>
          <w:p>
            <w:pPr>
              <w:spacing w:after="0"/>
              <w:rPr>
                <w:sz w:val="3"/>
                <w:szCs w:val="3"/>
                <w:color w:val="auto"/>
              </w:rPr>
            </w:pPr>
          </w:p>
        </w:tc>
        <w:tc>
          <w:tcPr>
            <w:tcW w:w="460" w:type="dxa"/>
            <w:vAlign w:val="bottom"/>
            <w:tcBorders>
              <w:top w:val="single" w:sz="8" w:color="313131"/>
            </w:tcBorders>
            <w:shd w:val="clear" w:color="auto" w:fill="E9E9E9"/>
          </w:tcPr>
          <w:p>
            <w:pPr>
              <w:spacing w:after="0"/>
              <w:rPr>
                <w:sz w:val="3"/>
                <w:szCs w:val="3"/>
                <w:color w:val="auto"/>
              </w:rPr>
            </w:pPr>
          </w:p>
        </w:tc>
        <w:tc>
          <w:tcPr>
            <w:tcW w:w="920" w:type="dxa"/>
            <w:vAlign w:val="bottom"/>
            <w:tcBorders>
              <w:top w:val="single" w:sz="8" w:color="E9E9E9"/>
            </w:tcBorders>
            <w:shd w:val="clear" w:color="auto" w:fill="E9E9E9"/>
          </w:tcPr>
          <w:p>
            <w:pPr>
              <w:spacing w:after="0"/>
              <w:rPr>
                <w:sz w:val="3"/>
                <w:szCs w:val="3"/>
                <w:color w:val="auto"/>
              </w:rPr>
            </w:pPr>
          </w:p>
        </w:tc>
        <w:tc>
          <w:tcPr>
            <w:tcW w:w="640" w:type="dxa"/>
            <w:vAlign w:val="bottom"/>
            <w:tcBorders>
              <w:top w:val="single" w:sz="8" w:color="E9E9E9"/>
            </w:tcBorders>
            <w:shd w:val="clear" w:color="auto" w:fill="E9E9E9"/>
          </w:tcPr>
          <w:p>
            <w:pPr>
              <w:spacing w:after="0"/>
              <w:rPr>
                <w:sz w:val="3"/>
                <w:szCs w:val="3"/>
                <w:color w:val="auto"/>
              </w:rPr>
            </w:pPr>
          </w:p>
        </w:tc>
        <w:tc>
          <w:tcPr>
            <w:tcW w:w="360" w:type="dxa"/>
            <w:vAlign w:val="bottom"/>
            <w:tcBorders>
              <w:top w:val="single" w:sz="8" w:color="E9E9E9"/>
            </w:tcBorders>
            <w:shd w:val="clear" w:color="auto" w:fill="E9E9E9"/>
          </w:tcPr>
          <w:p>
            <w:pPr>
              <w:spacing w:after="0"/>
              <w:rPr>
                <w:sz w:val="3"/>
                <w:szCs w:val="3"/>
                <w:color w:val="auto"/>
              </w:rPr>
            </w:pPr>
          </w:p>
        </w:tc>
        <w:tc>
          <w:tcPr>
            <w:tcW w:w="140" w:type="dxa"/>
            <w:vAlign w:val="bottom"/>
            <w:tcBorders>
              <w:top w:val="single" w:sz="8" w:color="E9E9E9"/>
            </w:tcBorders>
            <w:shd w:val="clear" w:color="auto" w:fill="E9E9E9"/>
          </w:tcPr>
          <w:p>
            <w:pPr>
              <w:spacing w:after="0"/>
              <w:rPr>
                <w:sz w:val="3"/>
                <w:szCs w:val="3"/>
                <w:color w:val="auto"/>
              </w:rPr>
            </w:pPr>
          </w:p>
        </w:tc>
        <w:tc>
          <w:tcPr>
            <w:tcW w:w="260" w:type="dxa"/>
            <w:vAlign w:val="bottom"/>
            <w:tcBorders>
              <w:top w:val="single" w:sz="8" w:color="E9E9E9"/>
            </w:tcBorders>
            <w:shd w:val="clear" w:color="auto" w:fill="E9E9E9"/>
          </w:tcPr>
          <w:p>
            <w:pPr>
              <w:spacing w:after="0"/>
              <w:rPr>
                <w:sz w:val="3"/>
                <w:szCs w:val="3"/>
                <w:color w:val="auto"/>
              </w:rPr>
            </w:pPr>
          </w:p>
        </w:tc>
        <w:tc>
          <w:tcPr>
            <w:tcW w:w="180" w:type="dxa"/>
            <w:vAlign w:val="bottom"/>
            <w:tcBorders>
              <w:top w:val="single" w:sz="8" w:color="E9E9E9"/>
            </w:tcBorders>
            <w:shd w:val="clear" w:color="auto" w:fill="E9E9E9"/>
          </w:tcPr>
          <w:p>
            <w:pPr>
              <w:spacing w:after="0"/>
              <w:rPr>
                <w:sz w:val="3"/>
                <w:szCs w:val="3"/>
                <w:color w:val="auto"/>
              </w:rPr>
            </w:pPr>
          </w:p>
        </w:tc>
        <w:tc>
          <w:tcPr>
            <w:tcW w:w="120" w:type="dxa"/>
            <w:vAlign w:val="bottom"/>
            <w:tcBorders>
              <w:top w:val="single" w:sz="8" w:color="E9E9E9"/>
            </w:tcBorders>
            <w:shd w:val="clear" w:color="auto" w:fill="E9E9E9"/>
          </w:tcPr>
          <w:p>
            <w:pPr>
              <w:spacing w:after="0"/>
              <w:rPr>
                <w:sz w:val="3"/>
                <w:szCs w:val="3"/>
                <w:color w:val="auto"/>
              </w:rPr>
            </w:pPr>
          </w:p>
        </w:tc>
        <w:tc>
          <w:tcPr>
            <w:tcW w:w="160" w:type="dxa"/>
            <w:vAlign w:val="bottom"/>
            <w:tcBorders>
              <w:top w:val="single" w:sz="8" w:color="E9E9E9"/>
            </w:tcBorders>
            <w:shd w:val="clear" w:color="auto" w:fill="E9E9E9"/>
          </w:tcPr>
          <w:p>
            <w:pPr>
              <w:spacing w:after="0"/>
              <w:rPr>
                <w:sz w:val="3"/>
                <w:szCs w:val="3"/>
                <w:color w:val="auto"/>
              </w:rPr>
            </w:pPr>
          </w:p>
        </w:tc>
        <w:tc>
          <w:tcPr>
            <w:tcW w:w="100" w:type="dxa"/>
            <w:vAlign w:val="bottom"/>
            <w:tcBorders>
              <w:top w:val="single" w:sz="8" w:color="E9E9E9"/>
            </w:tcBorders>
            <w:shd w:val="clear" w:color="auto" w:fill="E9E9E9"/>
          </w:tcPr>
          <w:p>
            <w:pPr>
              <w:spacing w:after="0"/>
              <w:rPr>
                <w:sz w:val="3"/>
                <w:szCs w:val="3"/>
                <w:color w:val="auto"/>
              </w:rPr>
            </w:pPr>
          </w:p>
        </w:tc>
        <w:tc>
          <w:tcPr>
            <w:tcW w:w="500" w:type="dxa"/>
            <w:vAlign w:val="bottom"/>
            <w:tcBorders>
              <w:top w:val="single" w:sz="8" w:color="E9E9E9"/>
            </w:tcBorders>
            <w:shd w:val="clear" w:color="auto" w:fill="E9E9E9"/>
          </w:tcPr>
          <w:p>
            <w:pPr>
              <w:spacing w:after="0"/>
              <w:rPr>
                <w:sz w:val="3"/>
                <w:szCs w:val="3"/>
                <w:color w:val="auto"/>
              </w:rPr>
            </w:pPr>
          </w:p>
        </w:tc>
        <w:tc>
          <w:tcPr>
            <w:tcW w:w="80" w:type="dxa"/>
            <w:vAlign w:val="bottom"/>
            <w:tcBorders>
              <w:top w:val="single" w:sz="8" w:color="E9E9E9"/>
            </w:tcBorders>
            <w:shd w:val="clear" w:color="auto" w:fill="E9E9E9"/>
          </w:tcPr>
          <w:p>
            <w:pPr>
              <w:spacing w:after="0"/>
              <w:rPr>
                <w:sz w:val="3"/>
                <w:szCs w:val="3"/>
                <w:color w:val="auto"/>
              </w:rPr>
            </w:pPr>
          </w:p>
        </w:tc>
        <w:tc>
          <w:tcPr>
            <w:tcW w:w="20" w:type="dxa"/>
            <w:vAlign w:val="bottom"/>
            <w:tcBorders>
              <w:top w:val="single" w:sz="8" w:color="E9E9E9"/>
            </w:tcBorders>
            <w:shd w:val="clear" w:color="auto" w:fill="E9E9E9"/>
          </w:tcPr>
          <w:p>
            <w:pPr>
              <w:spacing w:after="0"/>
              <w:rPr>
                <w:sz w:val="3"/>
                <w:szCs w:val="3"/>
                <w:color w:val="auto"/>
              </w:rPr>
            </w:pPr>
          </w:p>
        </w:tc>
        <w:tc>
          <w:tcPr>
            <w:tcW w:w="20" w:type="dxa"/>
            <w:vAlign w:val="bottom"/>
            <w:tcBorders>
              <w:top w:val="single" w:sz="8" w:color="E9E9E9"/>
            </w:tcBorders>
            <w:shd w:val="clear" w:color="auto" w:fill="E9E9E9"/>
          </w:tcPr>
          <w:p>
            <w:pPr>
              <w:spacing w:after="0"/>
              <w:rPr>
                <w:sz w:val="3"/>
                <w:szCs w:val="3"/>
                <w:color w:val="auto"/>
              </w:rPr>
            </w:pPr>
          </w:p>
        </w:tc>
        <w:tc>
          <w:tcPr>
            <w:tcW w:w="80" w:type="dxa"/>
            <w:vAlign w:val="bottom"/>
            <w:tcBorders>
              <w:top w:val="single" w:sz="8" w:color="E9E9E9"/>
            </w:tcBorders>
            <w:shd w:val="clear" w:color="auto" w:fill="E9E9E9"/>
          </w:tcPr>
          <w:p>
            <w:pPr>
              <w:spacing w:after="0"/>
              <w:rPr>
                <w:sz w:val="3"/>
                <w:szCs w:val="3"/>
                <w:color w:val="auto"/>
              </w:rPr>
            </w:pPr>
          </w:p>
        </w:tc>
        <w:tc>
          <w:tcPr>
            <w:tcW w:w="20" w:type="dxa"/>
            <w:vAlign w:val="bottom"/>
            <w:tcBorders>
              <w:top w:val="single" w:sz="8" w:color="E9E9E9"/>
            </w:tcBorders>
            <w:shd w:val="clear" w:color="auto" w:fill="E9E9E9"/>
          </w:tcPr>
          <w:p>
            <w:pPr>
              <w:spacing w:after="0"/>
              <w:rPr>
                <w:sz w:val="3"/>
                <w:szCs w:val="3"/>
                <w:color w:val="auto"/>
              </w:rPr>
            </w:pPr>
          </w:p>
        </w:tc>
        <w:tc>
          <w:tcPr>
            <w:tcW w:w="200" w:type="dxa"/>
            <w:vAlign w:val="bottom"/>
            <w:tcBorders>
              <w:top w:val="single" w:sz="8" w:color="E9E9E9"/>
            </w:tcBorders>
            <w:shd w:val="clear" w:color="auto" w:fill="E9E9E9"/>
          </w:tcPr>
          <w:p>
            <w:pPr>
              <w:spacing w:after="0"/>
              <w:rPr>
                <w:sz w:val="3"/>
                <w:szCs w:val="3"/>
                <w:color w:val="auto"/>
              </w:rPr>
            </w:pPr>
          </w:p>
        </w:tc>
        <w:tc>
          <w:tcPr>
            <w:tcW w:w="20" w:type="dxa"/>
            <w:vAlign w:val="bottom"/>
            <w:tcBorders>
              <w:top w:val="single" w:sz="8" w:color="E9E9E9"/>
            </w:tcBorders>
            <w:shd w:val="clear" w:color="auto" w:fill="E9E9E9"/>
          </w:tcPr>
          <w:p>
            <w:pPr>
              <w:spacing w:after="0"/>
              <w:rPr>
                <w:sz w:val="3"/>
                <w:szCs w:val="3"/>
                <w:color w:val="auto"/>
              </w:rPr>
            </w:pPr>
          </w:p>
        </w:tc>
        <w:tc>
          <w:tcPr>
            <w:tcW w:w="80" w:type="dxa"/>
            <w:vAlign w:val="bottom"/>
            <w:tcBorders>
              <w:top w:val="single" w:sz="8" w:color="E9E9E9"/>
            </w:tcBorders>
            <w:shd w:val="clear" w:color="auto" w:fill="E9E9E9"/>
          </w:tcPr>
          <w:p>
            <w:pPr>
              <w:spacing w:after="0"/>
              <w:rPr>
                <w:sz w:val="3"/>
                <w:szCs w:val="3"/>
                <w:color w:val="auto"/>
              </w:rPr>
            </w:pPr>
          </w:p>
        </w:tc>
        <w:tc>
          <w:tcPr>
            <w:tcW w:w="20" w:type="dxa"/>
            <w:vAlign w:val="bottom"/>
            <w:tcBorders>
              <w:top w:val="single" w:sz="8" w:color="E9E9E9"/>
            </w:tcBorders>
            <w:shd w:val="clear" w:color="auto" w:fill="E9E9E9"/>
          </w:tcPr>
          <w:p>
            <w:pPr>
              <w:spacing w:after="0"/>
              <w:rPr>
                <w:sz w:val="3"/>
                <w:szCs w:val="3"/>
                <w:color w:val="auto"/>
              </w:rPr>
            </w:pPr>
          </w:p>
        </w:tc>
        <w:tc>
          <w:tcPr>
            <w:tcW w:w="20" w:type="dxa"/>
            <w:vAlign w:val="bottom"/>
            <w:tcBorders>
              <w:top w:val="single" w:sz="8" w:color="E9E9E9"/>
            </w:tcBorders>
            <w:shd w:val="clear" w:color="auto" w:fill="E9E9E9"/>
          </w:tcPr>
          <w:p>
            <w:pPr>
              <w:spacing w:after="0"/>
              <w:rPr>
                <w:sz w:val="3"/>
                <w:szCs w:val="3"/>
                <w:color w:val="auto"/>
              </w:rPr>
            </w:pPr>
          </w:p>
        </w:tc>
        <w:tc>
          <w:tcPr>
            <w:tcW w:w="60" w:type="dxa"/>
            <w:vAlign w:val="bottom"/>
            <w:tcBorders>
              <w:top w:val="single" w:sz="8" w:color="E9E9E9"/>
            </w:tcBorders>
            <w:shd w:val="clear" w:color="auto" w:fill="E9E9E9"/>
          </w:tcPr>
          <w:p>
            <w:pPr>
              <w:spacing w:after="0"/>
              <w:rPr>
                <w:sz w:val="3"/>
                <w:szCs w:val="3"/>
                <w:color w:val="auto"/>
              </w:rPr>
            </w:pPr>
          </w:p>
        </w:tc>
        <w:tc>
          <w:tcPr>
            <w:tcW w:w="20" w:type="dxa"/>
            <w:vAlign w:val="bottom"/>
            <w:tcBorders>
              <w:top w:val="single" w:sz="8" w:color="E9E9E9"/>
            </w:tcBorders>
            <w:shd w:val="clear" w:color="auto" w:fill="E9E9E9"/>
          </w:tcPr>
          <w:p>
            <w:pPr>
              <w:spacing w:after="0"/>
              <w:rPr>
                <w:sz w:val="3"/>
                <w:szCs w:val="3"/>
                <w:color w:val="auto"/>
              </w:rPr>
            </w:pPr>
          </w:p>
        </w:tc>
        <w:tc>
          <w:tcPr>
            <w:tcW w:w="80" w:type="dxa"/>
            <w:vAlign w:val="bottom"/>
            <w:tcBorders>
              <w:top w:val="single" w:sz="8" w:color="E9E9E9"/>
            </w:tcBorders>
            <w:shd w:val="clear" w:color="auto" w:fill="E9E9E9"/>
          </w:tcPr>
          <w:p>
            <w:pPr>
              <w:spacing w:after="0"/>
              <w:rPr>
                <w:sz w:val="3"/>
                <w:szCs w:val="3"/>
                <w:color w:val="auto"/>
              </w:rPr>
            </w:pPr>
          </w:p>
        </w:tc>
        <w:tc>
          <w:tcPr>
            <w:tcW w:w="40" w:type="dxa"/>
            <w:vAlign w:val="bottom"/>
            <w:tcBorders>
              <w:top w:val="single" w:sz="8" w:color="E9E9E9"/>
            </w:tcBorders>
            <w:shd w:val="clear" w:color="auto" w:fill="E9E9E9"/>
          </w:tcPr>
          <w:p>
            <w:pPr>
              <w:spacing w:after="0"/>
              <w:rPr>
                <w:sz w:val="3"/>
                <w:szCs w:val="3"/>
                <w:color w:val="auto"/>
              </w:rPr>
            </w:pPr>
          </w:p>
        </w:tc>
        <w:tc>
          <w:tcPr>
            <w:tcW w:w="20" w:type="dxa"/>
            <w:vAlign w:val="bottom"/>
            <w:tcBorders>
              <w:top w:val="single" w:sz="8" w:color="E9E9E9"/>
            </w:tcBorders>
            <w:shd w:val="clear" w:color="auto" w:fill="E9E9E9"/>
          </w:tcPr>
          <w:p>
            <w:pPr>
              <w:spacing w:after="0"/>
              <w:rPr>
                <w:sz w:val="3"/>
                <w:szCs w:val="3"/>
                <w:color w:val="auto"/>
              </w:rPr>
            </w:pPr>
          </w:p>
        </w:tc>
        <w:tc>
          <w:tcPr>
            <w:tcW w:w="20" w:type="dxa"/>
            <w:vAlign w:val="bottom"/>
            <w:tcBorders>
              <w:top w:val="single" w:sz="8" w:color="E9E9E9"/>
            </w:tcBorders>
            <w:shd w:val="clear" w:color="auto" w:fill="E9E9E9"/>
          </w:tcPr>
          <w:p>
            <w:pPr>
              <w:spacing w:after="0"/>
              <w:rPr>
                <w:sz w:val="3"/>
                <w:szCs w:val="3"/>
                <w:color w:val="auto"/>
              </w:rPr>
            </w:pPr>
          </w:p>
        </w:tc>
        <w:tc>
          <w:tcPr>
            <w:tcW w:w="80" w:type="dxa"/>
            <w:vAlign w:val="bottom"/>
            <w:tcBorders>
              <w:top w:val="single" w:sz="8" w:color="E9E9E9"/>
            </w:tcBorders>
            <w:shd w:val="clear" w:color="auto" w:fill="E9E9E9"/>
          </w:tcPr>
          <w:p>
            <w:pPr>
              <w:spacing w:after="0"/>
              <w:rPr>
                <w:sz w:val="3"/>
                <w:szCs w:val="3"/>
                <w:color w:val="auto"/>
              </w:rPr>
            </w:pPr>
          </w:p>
        </w:tc>
        <w:tc>
          <w:tcPr>
            <w:tcW w:w="20" w:type="dxa"/>
            <w:vAlign w:val="bottom"/>
            <w:tcBorders>
              <w:top w:val="single" w:sz="8" w:color="E9E9E9"/>
            </w:tcBorders>
            <w:shd w:val="clear" w:color="auto" w:fill="E9E9E9"/>
          </w:tcPr>
          <w:p>
            <w:pPr>
              <w:spacing w:after="0"/>
              <w:rPr>
                <w:sz w:val="3"/>
                <w:szCs w:val="3"/>
                <w:color w:val="auto"/>
              </w:rPr>
            </w:pPr>
          </w:p>
        </w:tc>
        <w:tc>
          <w:tcPr>
            <w:tcW w:w="100" w:type="dxa"/>
            <w:vAlign w:val="bottom"/>
            <w:tcBorders>
              <w:top w:val="single" w:sz="8" w:color="E9E9E9"/>
            </w:tcBorders>
            <w:shd w:val="clear" w:color="auto" w:fill="E9E9E9"/>
          </w:tcPr>
          <w:p>
            <w:pPr>
              <w:spacing w:after="0"/>
              <w:rPr>
                <w:sz w:val="3"/>
                <w:szCs w:val="3"/>
                <w:color w:val="auto"/>
              </w:rPr>
            </w:pPr>
          </w:p>
        </w:tc>
        <w:tc>
          <w:tcPr>
            <w:tcW w:w="80" w:type="dxa"/>
            <w:vAlign w:val="bottom"/>
            <w:tcBorders>
              <w:top w:val="single" w:sz="8" w:color="E9E9E9"/>
            </w:tcBorders>
            <w:shd w:val="clear" w:color="auto" w:fill="E9E9E9"/>
          </w:tcPr>
          <w:p>
            <w:pPr>
              <w:spacing w:after="0"/>
              <w:rPr>
                <w:sz w:val="3"/>
                <w:szCs w:val="3"/>
                <w:color w:val="auto"/>
              </w:rPr>
            </w:pPr>
          </w:p>
        </w:tc>
        <w:tc>
          <w:tcPr>
            <w:tcW w:w="720" w:type="dxa"/>
            <w:vAlign w:val="bottom"/>
            <w:tcBorders>
              <w:top w:val="single" w:sz="8" w:color="E9E9E9"/>
            </w:tcBorders>
            <w:shd w:val="clear" w:color="auto" w:fill="E9E9E9"/>
          </w:tcPr>
          <w:p>
            <w:pPr>
              <w:spacing w:after="0"/>
              <w:rPr>
                <w:sz w:val="3"/>
                <w:szCs w:val="3"/>
                <w:color w:val="auto"/>
              </w:rPr>
            </w:pPr>
          </w:p>
        </w:tc>
        <w:tc>
          <w:tcPr>
            <w:tcW w:w="80" w:type="dxa"/>
            <w:vAlign w:val="bottom"/>
            <w:tcBorders>
              <w:top w:val="single" w:sz="8" w:color="E9E9E9"/>
            </w:tcBorders>
            <w:shd w:val="clear" w:color="auto" w:fill="E9E9E9"/>
          </w:tcPr>
          <w:p>
            <w:pPr>
              <w:spacing w:after="0"/>
              <w:rPr>
                <w:sz w:val="3"/>
                <w:szCs w:val="3"/>
                <w:color w:val="auto"/>
              </w:rPr>
            </w:pPr>
          </w:p>
        </w:tc>
        <w:tc>
          <w:tcPr>
            <w:tcW w:w="980" w:type="dxa"/>
            <w:vAlign w:val="bottom"/>
            <w:tcBorders>
              <w:top w:val="single" w:sz="8" w:color="E9E9E9"/>
            </w:tcBorders>
            <w:shd w:val="clear" w:color="auto" w:fill="E9E9E9"/>
          </w:tcPr>
          <w:p>
            <w:pPr>
              <w:spacing w:after="0"/>
              <w:rPr>
                <w:sz w:val="3"/>
                <w:szCs w:val="3"/>
                <w:color w:val="auto"/>
              </w:rPr>
            </w:pPr>
          </w:p>
        </w:tc>
        <w:tc>
          <w:tcPr>
            <w:tcW w:w="60" w:type="dxa"/>
            <w:vAlign w:val="bottom"/>
            <w:tcBorders>
              <w:top w:val="single" w:sz="8" w:color="E9E9E9"/>
            </w:tcBorders>
            <w:shd w:val="clear" w:color="auto" w:fill="E9E9E9"/>
          </w:tcPr>
          <w:p>
            <w:pPr>
              <w:spacing w:after="0"/>
              <w:rPr>
                <w:sz w:val="3"/>
                <w:szCs w:val="3"/>
                <w:color w:val="auto"/>
              </w:rPr>
            </w:pPr>
          </w:p>
        </w:tc>
        <w:tc>
          <w:tcPr>
            <w:tcW w:w="880" w:type="dxa"/>
            <w:vAlign w:val="bottom"/>
            <w:tcBorders>
              <w:top w:val="single" w:sz="8" w:color="E9E9E9"/>
            </w:tcBorders>
            <w:shd w:val="clear" w:color="auto" w:fill="E9E9E9"/>
          </w:tcPr>
          <w:p>
            <w:pPr>
              <w:spacing w:after="0"/>
              <w:rPr>
                <w:sz w:val="3"/>
                <w:szCs w:val="3"/>
                <w:color w:val="auto"/>
              </w:rPr>
            </w:pPr>
          </w:p>
        </w:tc>
        <w:tc>
          <w:tcPr>
            <w:tcW w:w="80" w:type="dxa"/>
            <w:vAlign w:val="bottom"/>
            <w:tcBorders>
              <w:top w:val="single" w:sz="8" w:color="E9E9E9"/>
            </w:tcBorders>
            <w:shd w:val="clear" w:color="auto" w:fill="E9E9E9"/>
          </w:tcPr>
          <w:p>
            <w:pPr>
              <w:spacing w:after="0"/>
              <w:rPr>
                <w:sz w:val="3"/>
                <w:szCs w:val="3"/>
                <w:color w:val="auto"/>
              </w:rPr>
            </w:pPr>
          </w:p>
        </w:tc>
        <w:tc>
          <w:tcPr>
            <w:tcW w:w="1500" w:type="dxa"/>
            <w:vAlign w:val="bottom"/>
            <w:tcBorders>
              <w:top w:val="single" w:sz="8" w:color="E9E9E9"/>
            </w:tcBorders>
            <w:shd w:val="clear" w:color="auto" w:fill="E9E9E9"/>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10.12+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80" w:type="dxa"/>
            <w:vAlign w:val="bottom"/>
            <w:gridSpan w:val="30"/>
          </w:tcPr>
          <w:p>
            <w:pPr>
              <w:spacing w:after="0"/>
              <w:rPr>
                <w:sz w:val="20"/>
                <w:szCs w:val="20"/>
                <w:color w:val="auto"/>
              </w:rPr>
            </w:pPr>
            <w:r>
              <w:rPr>
                <w:rFonts w:ascii="Times New Roman" w:cs="Times New Roman" w:eastAsia="Times New Roman" w:hAnsi="Times New Roman"/>
                <w:sz w:val="16"/>
                <w:szCs w:val="16"/>
                <w:color w:val="313131"/>
              </w:rPr>
              <w:t>Form of Severance Agreement (executives without existing employment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10-K</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001-36569</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10.71</w:t>
            </w:r>
          </w:p>
        </w:tc>
        <w:tc>
          <w:tcPr>
            <w:tcW w:w="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February 20, 2019</w:t>
            </w:r>
          </w:p>
        </w:tc>
        <w:tc>
          <w:tcPr>
            <w:tcW w:w="0" w:type="dxa"/>
            <w:vAlign w:val="bottom"/>
          </w:tcPr>
          <w:p>
            <w:pPr>
              <w:spacing w:after="0"/>
              <w:rPr>
                <w:sz w:val="1"/>
                <w:szCs w:val="1"/>
                <w:color w:val="auto"/>
              </w:rPr>
            </w:pPr>
          </w:p>
        </w:tc>
      </w:tr>
      <w:tr>
        <w:trPr>
          <w:trHeight w:val="137"/>
        </w:trPr>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0" w:type="dxa"/>
            <w:vAlign w:val="bottom"/>
            <w:tcBorders>
              <w:top w:val="single" w:sz="8" w:color="313131"/>
            </w:tcBorders>
            <w:gridSpan w:val="18"/>
          </w:tcPr>
          <w:p>
            <w:pPr>
              <w:spacing w:after="0" w:line="137" w:lineRule="exact"/>
              <w:rPr>
                <w:sz w:val="20"/>
                <w:szCs w:val="20"/>
                <w:color w:val="auto"/>
              </w:rPr>
            </w:pPr>
            <w:r>
              <w:rPr>
                <w:rFonts w:ascii="Times New Roman" w:cs="Times New Roman" w:eastAsia="Times New Roman" w:hAnsi="Times New Roman"/>
                <w:sz w:val="15"/>
                <w:szCs w:val="15"/>
                <w:color w:val="313131"/>
              </w:rPr>
              <w:t>agreements).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gridSpan w:val="7"/>
          </w:tcPr>
          <w:p>
            <w:pPr>
              <w:spacing w:after="0"/>
              <w:rPr>
                <w:sz w:val="11"/>
                <w:szCs w:val="11"/>
                <w:color w:val="auto"/>
              </w:rPr>
            </w:pPr>
          </w:p>
        </w:tc>
        <w:tc>
          <w:tcPr>
            <w:tcW w:w="1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top w:val="single" w:sz="8" w:color="313131"/>
            </w:tcBorders>
          </w:tcPr>
          <w:p>
            <w:pPr>
              <w:spacing w:after="0"/>
              <w:rPr>
                <w:sz w:val="3"/>
                <w:szCs w:val="3"/>
                <w:color w:val="auto"/>
              </w:rPr>
            </w:pPr>
          </w:p>
        </w:tc>
        <w:tc>
          <w:tcPr>
            <w:tcW w:w="460" w:type="dxa"/>
            <w:vAlign w:val="bottom"/>
            <w:tcBorders>
              <w:top w:val="single" w:sz="8" w:color="313131"/>
            </w:tcBorders>
          </w:tcPr>
          <w:p>
            <w:pPr>
              <w:spacing w:after="0"/>
              <w:rPr>
                <w:sz w:val="3"/>
                <w:szCs w:val="3"/>
                <w:color w:val="auto"/>
              </w:rPr>
            </w:pPr>
          </w:p>
        </w:tc>
        <w:tc>
          <w:tcPr>
            <w:tcW w:w="9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7"/>
              </w:rPr>
              <w:t>10.13+</w:t>
            </w:r>
          </w:p>
        </w:tc>
        <w:tc>
          <w:tcPr>
            <w:tcW w:w="80" w:type="dxa"/>
            <w:vAlign w:val="bottom"/>
            <w:shd w:val="clear" w:color="auto" w:fill="E9E9E9"/>
          </w:tcPr>
          <w:p>
            <w:pPr>
              <w:spacing w:after="0"/>
              <w:rPr>
                <w:sz w:val="16"/>
                <w:szCs w:val="16"/>
                <w:color w:val="auto"/>
              </w:rPr>
            </w:pPr>
          </w:p>
        </w:tc>
        <w:tc>
          <w:tcPr>
            <w:tcW w:w="40" w:type="dxa"/>
            <w:vAlign w:val="bottom"/>
            <w:shd w:val="clear" w:color="auto" w:fill="E9E9E9"/>
          </w:tcPr>
          <w:p>
            <w:pPr>
              <w:spacing w:after="0"/>
              <w:rPr>
                <w:sz w:val="16"/>
                <w:szCs w:val="16"/>
                <w:color w:val="auto"/>
              </w:rPr>
            </w:pPr>
          </w:p>
        </w:tc>
        <w:tc>
          <w:tcPr>
            <w:tcW w:w="5080" w:type="dxa"/>
            <w:vAlign w:val="bottom"/>
            <w:gridSpan w:val="30"/>
            <w:shd w:val="clear" w:color="auto" w:fill="E9E9E9"/>
          </w:tcPr>
          <w:p>
            <w:pPr>
              <w:spacing w:after="0"/>
              <w:rPr>
                <w:sz w:val="20"/>
                <w:szCs w:val="20"/>
                <w:color w:val="auto"/>
              </w:rPr>
            </w:pPr>
            <w:r>
              <w:rPr>
                <w:rFonts w:ascii="Times New Roman" w:cs="Times New Roman" w:eastAsia="Times New Roman" w:hAnsi="Times New Roman"/>
                <w:sz w:val="16"/>
                <w:szCs w:val="16"/>
                <w:color w:val="313131"/>
              </w:rPr>
              <w:t>Third Amendment to Lantheus Holdings, Inc. 2015 Equity Incentive Plan</w:t>
            </w:r>
          </w:p>
        </w:tc>
        <w:tc>
          <w:tcPr>
            <w:tcW w:w="100" w:type="dxa"/>
            <w:vAlign w:val="bottom"/>
            <w:shd w:val="clear" w:color="auto" w:fill="E9E9E9"/>
          </w:tcPr>
          <w:p>
            <w:pPr>
              <w:spacing w:after="0"/>
              <w:rPr>
                <w:sz w:val="16"/>
                <w:szCs w:val="16"/>
                <w:color w:val="auto"/>
              </w:rPr>
            </w:pPr>
          </w:p>
        </w:tc>
        <w:tc>
          <w:tcPr>
            <w:tcW w:w="80" w:type="dxa"/>
            <w:vAlign w:val="bottom"/>
            <w:shd w:val="clear" w:color="auto" w:fill="E9E9E9"/>
          </w:tcPr>
          <w:p>
            <w:pPr>
              <w:spacing w:after="0"/>
              <w:rPr>
                <w:sz w:val="16"/>
                <w:szCs w:val="16"/>
                <w:color w:val="auto"/>
              </w:rPr>
            </w:pPr>
          </w:p>
        </w:tc>
        <w:tc>
          <w:tcPr>
            <w:tcW w:w="72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1060" w:type="dxa"/>
            <w:vAlign w:val="bottom"/>
            <w:gridSpan w:val="2"/>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8"/>
              </w:rPr>
              <w:t>001-36569</w:t>
            </w:r>
          </w:p>
        </w:tc>
        <w:tc>
          <w:tcPr>
            <w:tcW w:w="940" w:type="dxa"/>
            <w:vAlign w:val="bottom"/>
            <w:gridSpan w:val="2"/>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80" w:type="dxa"/>
            <w:vAlign w:val="bottom"/>
            <w:shd w:val="clear" w:color="auto" w:fill="E9E9E9"/>
          </w:tcPr>
          <w:p>
            <w:pPr>
              <w:spacing w:after="0"/>
              <w:rPr>
                <w:sz w:val="16"/>
                <w:szCs w:val="16"/>
                <w:color w:val="auto"/>
              </w:rPr>
            </w:pPr>
          </w:p>
        </w:tc>
        <w:tc>
          <w:tcPr>
            <w:tcW w:w="150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8"/>
              </w:rPr>
              <w:t>April 30, 2019</w:t>
            </w:r>
          </w:p>
        </w:tc>
        <w:tc>
          <w:tcPr>
            <w:tcW w:w="0" w:type="dxa"/>
            <w:vAlign w:val="bottom"/>
          </w:tcPr>
          <w:p>
            <w:pPr>
              <w:spacing w:after="0"/>
              <w:rPr>
                <w:sz w:val="1"/>
                <w:szCs w:val="1"/>
                <w:color w:val="auto"/>
              </w:rPr>
            </w:pPr>
          </w:p>
        </w:tc>
      </w:tr>
      <w:tr>
        <w:trPr>
          <w:trHeight w:val="35"/>
        </w:trPr>
        <w:tc>
          <w:tcPr>
            <w:tcW w:w="880" w:type="dxa"/>
            <w:vAlign w:val="bottom"/>
            <w:tcBorders>
              <w:top w:val="single" w:sz="8" w:color="E9E9E9"/>
            </w:tcBorders>
            <w:shd w:val="clear" w:color="auto" w:fill="E9E9E9"/>
          </w:tcPr>
          <w:p>
            <w:pPr>
              <w:spacing w:after="0"/>
              <w:rPr>
                <w:sz w:val="3"/>
                <w:szCs w:val="3"/>
                <w:color w:val="auto"/>
              </w:rPr>
            </w:pPr>
          </w:p>
        </w:tc>
        <w:tc>
          <w:tcPr>
            <w:tcW w:w="80" w:type="dxa"/>
            <w:vAlign w:val="bottom"/>
            <w:tcBorders>
              <w:top w:val="single" w:sz="8" w:color="E9E9E9"/>
            </w:tcBorders>
            <w:shd w:val="clear" w:color="auto" w:fill="E9E9E9"/>
          </w:tcPr>
          <w:p>
            <w:pPr>
              <w:spacing w:after="0"/>
              <w:rPr>
                <w:sz w:val="3"/>
                <w:szCs w:val="3"/>
                <w:color w:val="auto"/>
              </w:rPr>
            </w:pPr>
          </w:p>
        </w:tc>
        <w:tc>
          <w:tcPr>
            <w:tcW w:w="40" w:type="dxa"/>
            <w:vAlign w:val="bottom"/>
            <w:tcBorders>
              <w:top w:val="single" w:sz="8" w:color="E9E9E9"/>
            </w:tcBorders>
            <w:shd w:val="clear" w:color="auto" w:fill="E9E9E9"/>
          </w:tcPr>
          <w:p>
            <w:pPr>
              <w:spacing w:after="0"/>
              <w:rPr>
                <w:sz w:val="3"/>
                <w:szCs w:val="3"/>
                <w:color w:val="auto"/>
              </w:rPr>
            </w:pPr>
          </w:p>
        </w:tc>
        <w:tc>
          <w:tcPr>
            <w:tcW w:w="340" w:type="dxa"/>
            <w:vAlign w:val="bottom"/>
            <w:tcBorders>
              <w:top w:val="single" w:sz="8" w:color="313131"/>
            </w:tcBorders>
            <w:shd w:val="clear" w:color="auto" w:fill="E9E9E9"/>
          </w:tcPr>
          <w:p>
            <w:pPr>
              <w:spacing w:after="0"/>
              <w:rPr>
                <w:sz w:val="3"/>
                <w:szCs w:val="3"/>
                <w:color w:val="auto"/>
              </w:rPr>
            </w:pPr>
          </w:p>
        </w:tc>
        <w:tc>
          <w:tcPr>
            <w:tcW w:w="460" w:type="dxa"/>
            <w:vAlign w:val="bottom"/>
            <w:tcBorders>
              <w:top w:val="single" w:sz="8" w:color="313131"/>
            </w:tcBorders>
            <w:shd w:val="clear" w:color="auto" w:fill="E9E9E9"/>
          </w:tcPr>
          <w:p>
            <w:pPr>
              <w:spacing w:after="0"/>
              <w:rPr>
                <w:sz w:val="3"/>
                <w:szCs w:val="3"/>
                <w:color w:val="auto"/>
              </w:rPr>
            </w:pPr>
          </w:p>
        </w:tc>
        <w:tc>
          <w:tcPr>
            <w:tcW w:w="920" w:type="dxa"/>
            <w:vAlign w:val="bottom"/>
            <w:tcBorders>
              <w:top w:val="single" w:sz="8" w:color="313131"/>
            </w:tcBorders>
            <w:shd w:val="clear" w:color="auto" w:fill="E9E9E9"/>
          </w:tcPr>
          <w:p>
            <w:pPr>
              <w:spacing w:after="0"/>
              <w:rPr>
                <w:sz w:val="3"/>
                <w:szCs w:val="3"/>
                <w:color w:val="auto"/>
              </w:rPr>
            </w:pPr>
          </w:p>
        </w:tc>
        <w:tc>
          <w:tcPr>
            <w:tcW w:w="640" w:type="dxa"/>
            <w:vAlign w:val="bottom"/>
            <w:tcBorders>
              <w:top w:val="single" w:sz="8" w:color="313131"/>
            </w:tcBorders>
            <w:shd w:val="clear" w:color="auto" w:fill="E9E9E9"/>
          </w:tcPr>
          <w:p>
            <w:pPr>
              <w:spacing w:after="0"/>
              <w:rPr>
                <w:sz w:val="3"/>
                <w:szCs w:val="3"/>
                <w:color w:val="auto"/>
              </w:rPr>
            </w:pPr>
          </w:p>
        </w:tc>
        <w:tc>
          <w:tcPr>
            <w:tcW w:w="360" w:type="dxa"/>
            <w:vAlign w:val="bottom"/>
            <w:tcBorders>
              <w:top w:val="single" w:sz="8" w:color="313131"/>
            </w:tcBorders>
            <w:shd w:val="clear" w:color="auto" w:fill="E9E9E9"/>
          </w:tcPr>
          <w:p>
            <w:pPr>
              <w:spacing w:after="0"/>
              <w:rPr>
                <w:sz w:val="3"/>
                <w:szCs w:val="3"/>
                <w:color w:val="auto"/>
              </w:rPr>
            </w:pPr>
          </w:p>
        </w:tc>
        <w:tc>
          <w:tcPr>
            <w:tcW w:w="140" w:type="dxa"/>
            <w:vAlign w:val="bottom"/>
            <w:tcBorders>
              <w:top w:val="single" w:sz="8" w:color="313131"/>
            </w:tcBorders>
            <w:shd w:val="clear" w:color="auto" w:fill="E9E9E9"/>
          </w:tcPr>
          <w:p>
            <w:pPr>
              <w:spacing w:after="0"/>
              <w:rPr>
                <w:sz w:val="3"/>
                <w:szCs w:val="3"/>
                <w:color w:val="auto"/>
              </w:rPr>
            </w:pPr>
          </w:p>
        </w:tc>
        <w:tc>
          <w:tcPr>
            <w:tcW w:w="260" w:type="dxa"/>
            <w:vAlign w:val="bottom"/>
            <w:tcBorders>
              <w:top w:val="single" w:sz="8" w:color="313131"/>
            </w:tcBorders>
            <w:shd w:val="clear" w:color="auto" w:fill="E9E9E9"/>
          </w:tcPr>
          <w:p>
            <w:pPr>
              <w:spacing w:after="0"/>
              <w:rPr>
                <w:sz w:val="3"/>
                <w:szCs w:val="3"/>
                <w:color w:val="auto"/>
              </w:rPr>
            </w:pPr>
          </w:p>
        </w:tc>
        <w:tc>
          <w:tcPr>
            <w:tcW w:w="180" w:type="dxa"/>
            <w:vAlign w:val="bottom"/>
            <w:tcBorders>
              <w:top w:val="single" w:sz="8" w:color="313131"/>
            </w:tcBorders>
            <w:shd w:val="clear" w:color="auto" w:fill="E9E9E9"/>
          </w:tcPr>
          <w:p>
            <w:pPr>
              <w:spacing w:after="0"/>
              <w:rPr>
                <w:sz w:val="3"/>
                <w:szCs w:val="3"/>
                <w:color w:val="auto"/>
              </w:rPr>
            </w:pPr>
          </w:p>
        </w:tc>
        <w:tc>
          <w:tcPr>
            <w:tcW w:w="120" w:type="dxa"/>
            <w:vAlign w:val="bottom"/>
            <w:tcBorders>
              <w:top w:val="single" w:sz="8" w:color="313131"/>
            </w:tcBorders>
            <w:shd w:val="clear" w:color="auto" w:fill="E9E9E9"/>
          </w:tcPr>
          <w:p>
            <w:pPr>
              <w:spacing w:after="0"/>
              <w:rPr>
                <w:sz w:val="3"/>
                <w:szCs w:val="3"/>
                <w:color w:val="auto"/>
              </w:rPr>
            </w:pPr>
          </w:p>
        </w:tc>
        <w:tc>
          <w:tcPr>
            <w:tcW w:w="160" w:type="dxa"/>
            <w:vAlign w:val="bottom"/>
            <w:tcBorders>
              <w:top w:val="single" w:sz="8" w:color="313131"/>
            </w:tcBorders>
            <w:shd w:val="clear" w:color="auto" w:fill="E9E9E9"/>
          </w:tcPr>
          <w:p>
            <w:pPr>
              <w:spacing w:after="0"/>
              <w:rPr>
                <w:sz w:val="3"/>
                <w:szCs w:val="3"/>
                <w:color w:val="auto"/>
              </w:rPr>
            </w:pPr>
          </w:p>
        </w:tc>
        <w:tc>
          <w:tcPr>
            <w:tcW w:w="100" w:type="dxa"/>
            <w:vAlign w:val="bottom"/>
            <w:tcBorders>
              <w:top w:val="single" w:sz="8" w:color="313131"/>
            </w:tcBorders>
            <w:shd w:val="clear" w:color="auto" w:fill="E9E9E9"/>
          </w:tcPr>
          <w:p>
            <w:pPr>
              <w:spacing w:after="0"/>
              <w:rPr>
                <w:sz w:val="3"/>
                <w:szCs w:val="3"/>
                <w:color w:val="auto"/>
              </w:rPr>
            </w:pPr>
          </w:p>
        </w:tc>
        <w:tc>
          <w:tcPr>
            <w:tcW w:w="500" w:type="dxa"/>
            <w:vAlign w:val="bottom"/>
            <w:tcBorders>
              <w:top w:val="single" w:sz="8" w:color="313131"/>
            </w:tcBorders>
            <w:shd w:val="clear" w:color="auto" w:fill="E9E9E9"/>
          </w:tcPr>
          <w:p>
            <w:pPr>
              <w:spacing w:after="0"/>
              <w:rPr>
                <w:sz w:val="3"/>
                <w:szCs w:val="3"/>
                <w:color w:val="auto"/>
              </w:rPr>
            </w:pPr>
          </w:p>
        </w:tc>
        <w:tc>
          <w:tcPr>
            <w:tcW w:w="80" w:type="dxa"/>
            <w:vAlign w:val="bottom"/>
            <w:tcBorders>
              <w:top w:val="single" w:sz="8" w:color="313131"/>
            </w:tcBorders>
            <w:shd w:val="clear" w:color="auto" w:fill="E9E9E9"/>
          </w:tcPr>
          <w:p>
            <w:pPr>
              <w:spacing w:after="0"/>
              <w:rPr>
                <w:sz w:val="3"/>
                <w:szCs w:val="3"/>
                <w:color w:val="auto"/>
              </w:rPr>
            </w:pPr>
          </w:p>
        </w:tc>
        <w:tc>
          <w:tcPr>
            <w:tcW w:w="20" w:type="dxa"/>
            <w:vAlign w:val="bottom"/>
            <w:tcBorders>
              <w:top w:val="single" w:sz="8" w:color="313131"/>
            </w:tcBorders>
            <w:shd w:val="clear" w:color="auto" w:fill="E9E9E9"/>
          </w:tcPr>
          <w:p>
            <w:pPr>
              <w:spacing w:after="0"/>
              <w:rPr>
                <w:sz w:val="3"/>
                <w:szCs w:val="3"/>
                <w:color w:val="auto"/>
              </w:rPr>
            </w:pPr>
          </w:p>
        </w:tc>
        <w:tc>
          <w:tcPr>
            <w:tcW w:w="20" w:type="dxa"/>
            <w:vAlign w:val="bottom"/>
            <w:tcBorders>
              <w:top w:val="single" w:sz="8" w:color="313131"/>
            </w:tcBorders>
            <w:shd w:val="clear" w:color="auto" w:fill="E9E9E9"/>
          </w:tcPr>
          <w:p>
            <w:pPr>
              <w:spacing w:after="0"/>
              <w:rPr>
                <w:sz w:val="3"/>
                <w:szCs w:val="3"/>
                <w:color w:val="auto"/>
              </w:rPr>
            </w:pPr>
          </w:p>
        </w:tc>
        <w:tc>
          <w:tcPr>
            <w:tcW w:w="80" w:type="dxa"/>
            <w:vAlign w:val="bottom"/>
            <w:tcBorders>
              <w:top w:val="single" w:sz="8" w:color="313131"/>
            </w:tcBorders>
            <w:shd w:val="clear" w:color="auto" w:fill="E9E9E9"/>
          </w:tcPr>
          <w:p>
            <w:pPr>
              <w:spacing w:after="0"/>
              <w:rPr>
                <w:sz w:val="3"/>
                <w:szCs w:val="3"/>
                <w:color w:val="auto"/>
              </w:rPr>
            </w:pPr>
          </w:p>
        </w:tc>
        <w:tc>
          <w:tcPr>
            <w:tcW w:w="20" w:type="dxa"/>
            <w:vAlign w:val="bottom"/>
            <w:tcBorders>
              <w:top w:val="single" w:sz="8" w:color="313131"/>
            </w:tcBorders>
            <w:shd w:val="clear" w:color="auto" w:fill="E9E9E9"/>
          </w:tcPr>
          <w:p>
            <w:pPr>
              <w:spacing w:after="0"/>
              <w:rPr>
                <w:sz w:val="3"/>
                <w:szCs w:val="3"/>
                <w:color w:val="auto"/>
              </w:rPr>
            </w:pPr>
          </w:p>
        </w:tc>
        <w:tc>
          <w:tcPr>
            <w:tcW w:w="200" w:type="dxa"/>
            <w:vAlign w:val="bottom"/>
            <w:tcBorders>
              <w:top w:val="single" w:sz="8" w:color="313131"/>
            </w:tcBorders>
            <w:shd w:val="clear" w:color="auto" w:fill="E9E9E9"/>
          </w:tcPr>
          <w:p>
            <w:pPr>
              <w:spacing w:after="0"/>
              <w:rPr>
                <w:sz w:val="3"/>
                <w:szCs w:val="3"/>
                <w:color w:val="auto"/>
              </w:rPr>
            </w:pPr>
          </w:p>
        </w:tc>
        <w:tc>
          <w:tcPr>
            <w:tcW w:w="20" w:type="dxa"/>
            <w:vAlign w:val="bottom"/>
            <w:tcBorders>
              <w:top w:val="single" w:sz="8" w:color="313131"/>
            </w:tcBorders>
            <w:shd w:val="clear" w:color="auto" w:fill="E9E9E9"/>
          </w:tcPr>
          <w:p>
            <w:pPr>
              <w:spacing w:after="0"/>
              <w:rPr>
                <w:sz w:val="3"/>
                <w:szCs w:val="3"/>
                <w:color w:val="auto"/>
              </w:rPr>
            </w:pPr>
          </w:p>
        </w:tc>
        <w:tc>
          <w:tcPr>
            <w:tcW w:w="80" w:type="dxa"/>
            <w:vAlign w:val="bottom"/>
            <w:tcBorders>
              <w:top w:val="single" w:sz="8" w:color="E9E9E9"/>
            </w:tcBorders>
            <w:shd w:val="clear" w:color="auto" w:fill="E9E9E9"/>
          </w:tcPr>
          <w:p>
            <w:pPr>
              <w:spacing w:after="0"/>
              <w:rPr>
                <w:sz w:val="3"/>
                <w:szCs w:val="3"/>
                <w:color w:val="auto"/>
              </w:rPr>
            </w:pPr>
          </w:p>
        </w:tc>
        <w:tc>
          <w:tcPr>
            <w:tcW w:w="20" w:type="dxa"/>
            <w:vAlign w:val="bottom"/>
            <w:tcBorders>
              <w:top w:val="single" w:sz="8" w:color="E9E9E9"/>
            </w:tcBorders>
            <w:shd w:val="clear" w:color="auto" w:fill="E9E9E9"/>
          </w:tcPr>
          <w:p>
            <w:pPr>
              <w:spacing w:after="0"/>
              <w:rPr>
                <w:sz w:val="3"/>
                <w:szCs w:val="3"/>
                <w:color w:val="auto"/>
              </w:rPr>
            </w:pPr>
          </w:p>
        </w:tc>
        <w:tc>
          <w:tcPr>
            <w:tcW w:w="20" w:type="dxa"/>
            <w:vAlign w:val="bottom"/>
            <w:tcBorders>
              <w:top w:val="single" w:sz="8" w:color="E9E9E9"/>
            </w:tcBorders>
            <w:shd w:val="clear" w:color="auto" w:fill="E9E9E9"/>
          </w:tcPr>
          <w:p>
            <w:pPr>
              <w:spacing w:after="0"/>
              <w:rPr>
                <w:sz w:val="3"/>
                <w:szCs w:val="3"/>
                <w:color w:val="auto"/>
              </w:rPr>
            </w:pPr>
          </w:p>
        </w:tc>
        <w:tc>
          <w:tcPr>
            <w:tcW w:w="60" w:type="dxa"/>
            <w:vAlign w:val="bottom"/>
            <w:tcBorders>
              <w:top w:val="single" w:sz="8" w:color="E9E9E9"/>
            </w:tcBorders>
            <w:shd w:val="clear" w:color="auto" w:fill="E9E9E9"/>
          </w:tcPr>
          <w:p>
            <w:pPr>
              <w:spacing w:after="0"/>
              <w:rPr>
                <w:sz w:val="3"/>
                <w:szCs w:val="3"/>
                <w:color w:val="auto"/>
              </w:rPr>
            </w:pPr>
          </w:p>
        </w:tc>
        <w:tc>
          <w:tcPr>
            <w:tcW w:w="20" w:type="dxa"/>
            <w:vAlign w:val="bottom"/>
            <w:tcBorders>
              <w:top w:val="single" w:sz="8" w:color="E9E9E9"/>
            </w:tcBorders>
            <w:shd w:val="clear" w:color="auto" w:fill="E9E9E9"/>
          </w:tcPr>
          <w:p>
            <w:pPr>
              <w:spacing w:after="0"/>
              <w:rPr>
                <w:sz w:val="3"/>
                <w:szCs w:val="3"/>
                <w:color w:val="auto"/>
              </w:rPr>
            </w:pPr>
          </w:p>
        </w:tc>
        <w:tc>
          <w:tcPr>
            <w:tcW w:w="80" w:type="dxa"/>
            <w:vAlign w:val="bottom"/>
            <w:tcBorders>
              <w:top w:val="single" w:sz="8" w:color="E9E9E9"/>
            </w:tcBorders>
            <w:shd w:val="clear" w:color="auto" w:fill="E9E9E9"/>
          </w:tcPr>
          <w:p>
            <w:pPr>
              <w:spacing w:after="0"/>
              <w:rPr>
                <w:sz w:val="3"/>
                <w:szCs w:val="3"/>
                <w:color w:val="auto"/>
              </w:rPr>
            </w:pPr>
          </w:p>
        </w:tc>
        <w:tc>
          <w:tcPr>
            <w:tcW w:w="40" w:type="dxa"/>
            <w:vAlign w:val="bottom"/>
            <w:tcBorders>
              <w:top w:val="single" w:sz="8" w:color="E9E9E9"/>
            </w:tcBorders>
            <w:shd w:val="clear" w:color="auto" w:fill="E9E9E9"/>
          </w:tcPr>
          <w:p>
            <w:pPr>
              <w:spacing w:after="0"/>
              <w:rPr>
                <w:sz w:val="3"/>
                <w:szCs w:val="3"/>
                <w:color w:val="auto"/>
              </w:rPr>
            </w:pPr>
          </w:p>
        </w:tc>
        <w:tc>
          <w:tcPr>
            <w:tcW w:w="20" w:type="dxa"/>
            <w:vAlign w:val="bottom"/>
            <w:tcBorders>
              <w:top w:val="single" w:sz="8" w:color="E9E9E9"/>
            </w:tcBorders>
            <w:shd w:val="clear" w:color="auto" w:fill="E9E9E9"/>
          </w:tcPr>
          <w:p>
            <w:pPr>
              <w:spacing w:after="0"/>
              <w:rPr>
                <w:sz w:val="3"/>
                <w:szCs w:val="3"/>
                <w:color w:val="auto"/>
              </w:rPr>
            </w:pPr>
          </w:p>
        </w:tc>
        <w:tc>
          <w:tcPr>
            <w:tcW w:w="20" w:type="dxa"/>
            <w:vAlign w:val="bottom"/>
            <w:tcBorders>
              <w:top w:val="single" w:sz="8" w:color="E9E9E9"/>
            </w:tcBorders>
            <w:shd w:val="clear" w:color="auto" w:fill="E9E9E9"/>
          </w:tcPr>
          <w:p>
            <w:pPr>
              <w:spacing w:after="0"/>
              <w:rPr>
                <w:sz w:val="3"/>
                <w:szCs w:val="3"/>
                <w:color w:val="auto"/>
              </w:rPr>
            </w:pPr>
          </w:p>
        </w:tc>
        <w:tc>
          <w:tcPr>
            <w:tcW w:w="80" w:type="dxa"/>
            <w:vAlign w:val="bottom"/>
            <w:tcBorders>
              <w:top w:val="single" w:sz="8" w:color="E9E9E9"/>
            </w:tcBorders>
            <w:shd w:val="clear" w:color="auto" w:fill="E9E9E9"/>
          </w:tcPr>
          <w:p>
            <w:pPr>
              <w:spacing w:after="0"/>
              <w:rPr>
                <w:sz w:val="3"/>
                <w:szCs w:val="3"/>
                <w:color w:val="auto"/>
              </w:rPr>
            </w:pPr>
          </w:p>
        </w:tc>
        <w:tc>
          <w:tcPr>
            <w:tcW w:w="20" w:type="dxa"/>
            <w:vAlign w:val="bottom"/>
            <w:tcBorders>
              <w:top w:val="single" w:sz="8" w:color="E9E9E9"/>
            </w:tcBorders>
            <w:shd w:val="clear" w:color="auto" w:fill="E9E9E9"/>
          </w:tcPr>
          <w:p>
            <w:pPr>
              <w:spacing w:after="0"/>
              <w:rPr>
                <w:sz w:val="3"/>
                <w:szCs w:val="3"/>
                <w:color w:val="auto"/>
              </w:rPr>
            </w:pPr>
          </w:p>
        </w:tc>
        <w:tc>
          <w:tcPr>
            <w:tcW w:w="100" w:type="dxa"/>
            <w:vAlign w:val="bottom"/>
            <w:tcBorders>
              <w:top w:val="single" w:sz="8" w:color="E9E9E9"/>
            </w:tcBorders>
            <w:shd w:val="clear" w:color="auto" w:fill="E9E9E9"/>
          </w:tcPr>
          <w:p>
            <w:pPr>
              <w:spacing w:after="0"/>
              <w:rPr>
                <w:sz w:val="3"/>
                <w:szCs w:val="3"/>
                <w:color w:val="auto"/>
              </w:rPr>
            </w:pPr>
          </w:p>
        </w:tc>
        <w:tc>
          <w:tcPr>
            <w:tcW w:w="80" w:type="dxa"/>
            <w:vAlign w:val="bottom"/>
            <w:tcBorders>
              <w:top w:val="single" w:sz="8" w:color="E9E9E9"/>
            </w:tcBorders>
            <w:shd w:val="clear" w:color="auto" w:fill="E9E9E9"/>
          </w:tcPr>
          <w:p>
            <w:pPr>
              <w:spacing w:after="0"/>
              <w:rPr>
                <w:sz w:val="3"/>
                <w:szCs w:val="3"/>
                <w:color w:val="auto"/>
              </w:rPr>
            </w:pPr>
          </w:p>
        </w:tc>
        <w:tc>
          <w:tcPr>
            <w:tcW w:w="720" w:type="dxa"/>
            <w:vAlign w:val="bottom"/>
            <w:tcBorders>
              <w:top w:val="single" w:sz="8" w:color="E9E9E9"/>
            </w:tcBorders>
            <w:shd w:val="clear" w:color="auto" w:fill="E9E9E9"/>
          </w:tcPr>
          <w:p>
            <w:pPr>
              <w:spacing w:after="0"/>
              <w:rPr>
                <w:sz w:val="3"/>
                <w:szCs w:val="3"/>
                <w:color w:val="auto"/>
              </w:rPr>
            </w:pPr>
          </w:p>
        </w:tc>
        <w:tc>
          <w:tcPr>
            <w:tcW w:w="80" w:type="dxa"/>
            <w:vAlign w:val="bottom"/>
            <w:tcBorders>
              <w:top w:val="single" w:sz="8" w:color="E9E9E9"/>
            </w:tcBorders>
            <w:shd w:val="clear" w:color="auto" w:fill="E9E9E9"/>
          </w:tcPr>
          <w:p>
            <w:pPr>
              <w:spacing w:after="0"/>
              <w:rPr>
                <w:sz w:val="3"/>
                <w:szCs w:val="3"/>
                <w:color w:val="auto"/>
              </w:rPr>
            </w:pPr>
          </w:p>
        </w:tc>
        <w:tc>
          <w:tcPr>
            <w:tcW w:w="980" w:type="dxa"/>
            <w:vAlign w:val="bottom"/>
            <w:tcBorders>
              <w:top w:val="single" w:sz="8" w:color="E9E9E9"/>
            </w:tcBorders>
            <w:shd w:val="clear" w:color="auto" w:fill="E9E9E9"/>
          </w:tcPr>
          <w:p>
            <w:pPr>
              <w:spacing w:after="0"/>
              <w:rPr>
                <w:sz w:val="3"/>
                <w:szCs w:val="3"/>
                <w:color w:val="auto"/>
              </w:rPr>
            </w:pPr>
          </w:p>
        </w:tc>
        <w:tc>
          <w:tcPr>
            <w:tcW w:w="60" w:type="dxa"/>
            <w:vAlign w:val="bottom"/>
            <w:tcBorders>
              <w:top w:val="single" w:sz="8" w:color="E9E9E9"/>
            </w:tcBorders>
            <w:shd w:val="clear" w:color="auto" w:fill="E9E9E9"/>
          </w:tcPr>
          <w:p>
            <w:pPr>
              <w:spacing w:after="0"/>
              <w:rPr>
                <w:sz w:val="3"/>
                <w:szCs w:val="3"/>
                <w:color w:val="auto"/>
              </w:rPr>
            </w:pPr>
          </w:p>
        </w:tc>
        <w:tc>
          <w:tcPr>
            <w:tcW w:w="880" w:type="dxa"/>
            <w:vAlign w:val="bottom"/>
            <w:tcBorders>
              <w:top w:val="single" w:sz="8" w:color="E9E9E9"/>
            </w:tcBorders>
            <w:shd w:val="clear" w:color="auto" w:fill="E9E9E9"/>
          </w:tcPr>
          <w:p>
            <w:pPr>
              <w:spacing w:after="0"/>
              <w:rPr>
                <w:sz w:val="3"/>
                <w:szCs w:val="3"/>
                <w:color w:val="auto"/>
              </w:rPr>
            </w:pPr>
          </w:p>
        </w:tc>
        <w:tc>
          <w:tcPr>
            <w:tcW w:w="80" w:type="dxa"/>
            <w:vAlign w:val="bottom"/>
            <w:tcBorders>
              <w:top w:val="single" w:sz="8" w:color="E9E9E9"/>
            </w:tcBorders>
            <w:shd w:val="clear" w:color="auto" w:fill="E9E9E9"/>
          </w:tcPr>
          <w:p>
            <w:pPr>
              <w:spacing w:after="0"/>
              <w:rPr>
                <w:sz w:val="3"/>
                <w:szCs w:val="3"/>
                <w:color w:val="auto"/>
              </w:rPr>
            </w:pPr>
          </w:p>
        </w:tc>
        <w:tc>
          <w:tcPr>
            <w:tcW w:w="1500" w:type="dxa"/>
            <w:vAlign w:val="bottom"/>
            <w:tcBorders>
              <w:top w:val="single" w:sz="8" w:color="E9E9E9"/>
            </w:tcBorders>
            <w:shd w:val="clear" w:color="auto" w:fill="E9E9E9"/>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10.14+</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80" w:type="dxa"/>
            <w:vAlign w:val="bottom"/>
            <w:gridSpan w:val="30"/>
          </w:tcPr>
          <w:p>
            <w:pPr>
              <w:spacing w:after="0"/>
              <w:rPr>
                <w:sz w:val="20"/>
                <w:szCs w:val="20"/>
                <w:color w:val="auto"/>
              </w:rPr>
            </w:pPr>
            <w:r>
              <w:rPr>
                <w:rFonts w:ascii="Times New Roman" w:cs="Times New Roman" w:eastAsia="Times New Roman" w:hAnsi="Times New Roman"/>
                <w:sz w:val="16"/>
                <w:szCs w:val="16"/>
                <w:color w:val="313131"/>
              </w:rPr>
              <w:t>Fourth Amendment to Lantheus Holdings, Inc. 2015 Equity Incentive Plan</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001-36569</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July 25, 2019</w:t>
            </w:r>
          </w:p>
        </w:tc>
        <w:tc>
          <w:tcPr>
            <w:tcW w:w="0" w:type="dxa"/>
            <w:vAlign w:val="bottom"/>
          </w:tcPr>
          <w:p>
            <w:pPr>
              <w:spacing w:after="0"/>
              <w:rPr>
                <w:sz w:val="1"/>
                <w:szCs w:val="1"/>
                <w:color w:val="auto"/>
              </w:rPr>
            </w:pPr>
          </w:p>
        </w:tc>
      </w:tr>
      <w:tr>
        <w:trPr>
          <w:trHeight w:val="35"/>
        </w:trPr>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top w:val="single" w:sz="8" w:color="313131"/>
            </w:tcBorders>
          </w:tcPr>
          <w:p>
            <w:pPr>
              <w:spacing w:after="0"/>
              <w:rPr>
                <w:sz w:val="3"/>
                <w:szCs w:val="3"/>
                <w:color w:val="auto"/>
              </w:rPr>
            </w:pPr>
          </w:p>
        </w:tc>
        <w:tc>
          <w:tcPr>
            <w:tcW w:w="460" w:type="dxa"/>
            <w:vAlign w:val="bottom"/>
            <w:tcBorders>
              <w:top w:val="single" w:sz="8" w:color="313131"/>
            </w:tcBorders>
          </w:tcPr>
          <w:p>
            <w:pPr>
              <w:spacing w:after="0"/>
              <w:rPr>
                <w:sz w:val="3"/>
                <w:szCs w:val="3"/>
                <w:color w:val="auto"/>
              </w:rPr>
            </w:pPr>
          </w:p>
        </w:tc>
        <w:tc>
          <w:tcPr>
            <w:tcW w:w="920" w:type="dxa"/>
            <w:vAlign w:val="bottom"/>
            <w:tcBorders>
              <w:top w:val="single" w:sz="8" w:color="313131"/>
            </w:tcBorders>
          </w:tcPr>
          <w:p>
            <w:pPr>
              <w:spacing w:after="0"/>
              <w:rPr>
                <w:sz w:val="3"/>
                <w:szCs w:val="3"/>
                <w:color w:val="auto"/>
              </w:rPr>
            </w:pPr>
          </w:p>
        </w:tc>
        <w:tc>
          <w:tcPr>
            <w:tcW w:w="640" w:type="dxa"/>
            <w:vAlign w:val="bottom"/>
            <w:tcBorders>
              <w:top w:val="single" w:sz="8" w:color="313131"/>
            </w:tcBorders>
          </w:tcPr>
          <w:p>
            <w:pPr>
              <w:spacing w:after="0"/>
              <w:rPr>
                <w:sz w:val="3"/>
                <w:szCs w:val="3"/>
                <w:color w:val="auto"/>
              </w:rPr>
            </w:pPr>
          </w:p>
        </w:tc>
        <w:tc>
          <w:tcPr>
            <w:tcW w:w="360" w:type="dxa"/>
            <w:vAlign w:val="bottom"/>
            <w:tcBorders>
              <w:top w:val="single" w:sz="8" w:color="313131"/>
            </w:tcBorders>
          </w:tcPr>
          <w:p>
            <w:pPr>
              <w:spacing w:after="0"/>
              <w:rPr>
                <w:sz w:val="3"/>
                <w:szCs w:val="3"/>
                <w:color w:val="auto"/>
              </w:rPr>
            </w:pPr>
          </w:p>
        </w:tc>
        <w:tc>
          <w:tcPr>
            <w:tcW w:w="140" w:type="dxa"/>
            <w:vAlign w:val="bottom"/>
            <w:tcBorders>
              <w:top w:val="single" w:sz="8" w:color="313131"/>
            </w:tcBorders>
          </w:tcPr>
          <w:p>
            <w:pPr>
              <w:spacing w:after="0"/>
              <w:rPr>
                <w:sz w:val="3"/>
                <w:szCs w:val="3"/>
                <w:color w:val="auto"/>
              </w:rPr>
            </w:pPr>
          </w:p>
        </w:tc>
        <w:tc>
          <w:tcPr>
            <w:tcW w:w="260" w:type="dxa"/>
            <w:vAlign w:val="bottom"/>
            <w:tcBorders>
              <w:top w:val="single" w:sz="8" w:color="313131"/>
            </w:tcBorders>
          </w:tcPr>
          <w:p>
            <w:pPr>
              <w:spacing w:after="0"/>
              <w:rPr>
                <w:sz w:val="3"/>
                <w:szCs w:val="3"/>
                <w:color w:val="auto"/>
              </w:rPr>
            </w:pPr>
          </w:p>
        </w:tc>
        <w:tc>
          <w:tcPr>
            <w:tcW w:w="180" w:type="dxa"/>
            <w:vAlign w:val="bottom"/>
            <w:tcBorders>
              <w:top w:val="single" w:sz="8" w:color="313131"/>
            </w:tcBorders>
          </w:tcPr>
          <w:p>
            <w:pPr>
              <w:spacing w:after="0"/>
              <w:rPr>
                <w:sz w:val="3"/>
                <w:szCs w:val="3"/>
                <w:color w:val="auto"/>
              </w:rPr>
            </w:pPr>
          </w:p>
        </w:tc>
        <w:tc>
          <w:tcPr>
            <w:tcW w:w="120" w:type="dxa"/>
            <w:vAlign w:val="bottom"/>
            <w:tcBorders>
              <w:top w:val="single" w:sz="8" w:color="313131"/>
            </w:tcBorders>
          </w:tcPr>
          <w:p>
            <w:pPr>
              <w:spacing w:after="0"/>
              <w:rPr>
                <w:sz w:val="3"/>
                <w:szCs w:val="3"/>
                <w:color w:val="auto"/>
              </w:rPr>
            </w:pPr>
          </w:p>
        </w:tc>
        <w:tc>
          <w:tcPr>
            <w:tcW w:w="160" w:type="dxa"/>
            <w:vAlign w:val="bottom"/>
            <w:tcBorders>
              <w:top w:val="single" w:sz="8" w:color="313131"/>
            </w:tcBorders>
          </w:tcPr>
          <w:p>
            <w:pPr>
              <w:spacing w:after="0"/>
              <w:rPr>
                <w:sz w:val="3"/>
                <w:szCs w:val="3"/>
                <w:color w:val="auto"/>
              </w:rPr>
            </w:pPr>
          </w:p>
        </w:tc>
        <w:tc>
          <w:tcPr>
            <w:tcW w:w="100" w:type="dxa"/>
            <w:vAlign w:val="bottom"/>
            <w:tcBorders>
              <w:top w:val="single" w:sz="8" w:color="313131"/>
            </w:tcBorders>
          </w:tcPr>
          <w:p>
            <w:pPr>
              <w:spacing w:after="0"/>
              <w:rPr>
                <w:sz w:val="3"/>
                <w:szCs w:val="3"/>
                <w:color w:val="auto"/>
              </w:rPr>
            </w:pPr>
          </w:p>
        </w:tc>
        <w:tc>
          <w:tcPr>
            <w:tcW w:w="500" w:type="dxa"/>
            <w:vAlign w:val="bottom"/>
            <w:tcBorders>
              <w:top w:val="single" w:sz="8" w:color="313131"/>
            </w:tcBorders>
          </w:tcPr>
          <w:p>
            <w:pPr>
              <w:spacing w:after="0"/>
              <w:rPr>
                <w:sz w:val="3"/>
                <w:szCs w:val="3"/>
                <w:color w:val="auto"/>
              </w:rPr>
            </w:pPr>
          </w:p>
        </w:tc>
        <w:tc>
          <w:tcPr>
            <w:tcW w:w="80" w:type="dxa"/>
            <w:vAlign w:val="bottom"/>
            <w:tcBorders>
              <w:top w:val="single" w:sz="8" w:color="313131"/>
            </w:tcBorders>
          </w:tcPr>
          <w:p>
            <w:pPr>
              <w:spacing w:after="0"/>
              <w:rPr>
                <w:sz w:val="3"/>
                <w:szCs w:val="3"/>
                <w:color w:val="auto"/>
              </w:rPr>
            </w:pPr>
          </w:p>
        </w:tc>
        <w:tc>
          <w:tcPr>
            <w:tcW w:w="20" w:type="dxa"/>
            <w:vAlign w:val="bottom"/>
            <w:tcBorders>
              <w:top w:val="single" w:sz="8" w:color="313131"/>
            </w:tcBorders>
          </w:tcPr>
          <w:p>
            <w:pPr>
              <w:spacing w:after="0"/>
              <w:rPr>
                <w:sz w:val="3"/>
                <w:szCs w:val="3"/>
                <w:color w:val="auto"/>
              </w:rPr>
            </w:pPr>
          </w:p>
        </w:tc>
        <w:tc>
          <w:tcPr>
            <w:tcW w:w="20" w:type="dxa"/>
            <w:vAlign w:val="bottom"/>
            <w:tcBorders>
              <w:top w:val="single" w:sz="8" w:color="313131"/>
            </w:tcBorders>
          </w:tcPr>
          <w:p>
            <w:pPr>
              <w:spacing w:after="0"/>
              <w:rPr>
                <w:sz w:val="3"/>
                <w:szCs w:val="3"/>
                <w:color w:val="auto"/>
              </w:rPr>
            </w:pPr>
          </w:p>
        </w:tc>
        <w:tc>
          <w:tcPr>
            <w:tcW w:w="80" w:type="dxa"/>
            <w:vAlign w:val="bottom"/>
            <w:tcBorders>
              <w:top w:val="single" w:sz="8" w:color="313131"/>
            </w:tcBorders>
          </w:tcPr>
          <w:p>
            <w:pPr>
              <w:spacing w:after="0"/>
              <w:rPr>
                <w:sz w:val="3"/>
                <w:szCs w:val="3"/>
                <w:color w:val="auto"/>
              </w:rPr>
            </w:pPr>
          </w:p>
        </w:tc>
        <w:tc>
          <w:tcPr>
            <w:tcW w:w="20" w:type="dxa"/>
            <w:vAlign w:val="bottom"/>
            <w:tcBorders>
              <w:top w:val="single" w:sz="8" w:color="313131"/>
            </w:tcBorders>
          </w:tcPr>
          <w:p>
            <w:pPr>
              <w:spacing w:after="0"/>
              <w:rPr>
                <w:sz w:val="3"/>
                <w:szCs w:val="3"/>
                <w:color w:val="auto"/>
              </w:rPr>
            </w:pPr>
          </w:p>
        </w:tc>
        <w:tc>
          <w:tcPr>
            <w:tcW w:w="200" w:type="dxa"/>
            <w:vAlign w:val="bottom"/>
            <w:tcBorders>
              <w:top w:val="single" w:sz="8" w:color="313131"/>
            </w:tcBorders>
          </w:tcPr>
          <w:p>
            <w:pPr>
              <w:spacing w:after="0"/>
              <w:rPr>
                <w:sz w:val="3"/>
                <w:szCs w:val="3"/>
                <w:color w:val="auto"/>
              </w:rPr>
            </w:pPr>
          </w:p>
        </w:tc>
        <w:tc>
          <w:tcPr>
            <w:tcW w:w="20" w:type="dxa"/>
            <w:vAlign w:val="bottom"/>
            <w:tcBorders>
              <w:top w:val="single" w:sz="8" w:color="313131"/>
            </w:tcBorders>
          </w:tcPr>
          <w:p>
            <w:pPr>
              <w:spacing w:after="0"/>
              <w:rPr>
                <w:sz w:val="3"/>
                <w:szCs w:val="3"/>
                <w:color w:val="auto"/>
              </w:rPr>
            </w:pPr>
          </w:p>
        </w:tc>
        <w:tc>
          <w:tcPr>
            <w:tcW w:w="80" w:type="dxa"/>
            <w:vAlign w:val="bottom"/>
            <w:tcBorders>
              <w:top w:val="single" w:sz="8" w:color="313131"/>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7"/>
              </w:rPr>
              <w:t>10.15+</w:t>
            </w:r>
          </w:p>
        </w:tc>
        <w:tc>
          <w:tcPr>
            <w:tcW w:w="80" w:type="dxa"/>
            <w:vAlign w:val="bottom"/>
            <w:shd w:val="clear" w:color="auto" w:fill="E9E9E9"/>
          </w:tcPr>
          <w:p>
            <w:pPr>
              <w:spacing w:after="0"/>
              <w:rPr>
                <w:sz w:val="16"/>
                <w:szCs w:val="16"/>
                <w:color w:val="auto"/>
              </w:rPr>
            </w:pPr>
          </w:p>
        </w:tc>
        <w:tc>
          <w:tcPr>
            <w:tcW w:w="40" w:type="dxa"/>
            <w:vAlign w:val="bottom"/>
            <w:shd w:val="clear" w:color="auto" w:fill="E9E9E9"/>
          </w:tcPr>
          <w:p>
            <w:pPr>
              <w:spacing w:after="0"/>
              <w:rPr>
                <w:sz w:val="16"/>
                <w:szCs w:val="16"/>
                <w:color w:val="auto"/>
              </w:rPr>
            </w:pPr>
          </w:p>
        </w:tc>
        <w:tc>
          <w:tcPr>
            <w:tcW w:w="5080" w:type="dxa"/>
            <w:vAlign w:val="bottom"/>
            <w:gridSpan w:val="30"/>
            <w:shd w:val="clear" w:color="auto" w:fill="E9E9E9"/>
          </w:tcPr>
          <w:p>
            <w:pPr>
              <w:spacing w:after="0"/>
              <w:rPr>
                <w:sz w:val="20"/>
                <w:szCs w:val="20"/>
                <w:color w:val="auto"/>
              </w:rPr>
            </w:pPr>
            <w:r>
              <w:rPr>
                <w:rFonts w:ascii="Times New Roman" w:cs="Times New Roman" w:eastAsia="Times New Roman" w:hAnsi="Times New Roman"/>
                <w:sz w:val="16"/>
                <w:szCs w:val="16"/>
                <w:color w:val="313131"/>
              </w:rPr>
              <w:t>Lantheus Holdings, Inc. 2005 Stock Incentive Plan (f/k/a Progenics</w:t>
            </w:r>
          </w:p>
        </w:tc>
        <w:tc>
          <w:tcPr>
            <w:tcW w:w="100" w:type="dxa"/>
            <w:vAlign w:val="bottom"/>
            <w:shd w:val="clear" w:color="auto" w:fill="E9E9E9"/>
          </w:tcPr>
          <w:p>
            <w:pPr>
              <w:spacing w:after="0"/>
              <w:rPr>
                <w:sz w:val="16"/>
                <w:szCs w:val="16"/>
                <w:color w:val="auto"/>
              </w:rPr>
            </w:pPr>
          </w:p>
        </w:tc>
        <w:tc>
          <w:tcPr>
            <w:tcW w:w="80" w:type="dxa"/>
            <w:vAlign w:val="bottom"/>
            <w:shd w:val="clear" w:color="auto" w:fill="E9E9E9"/>
          </w:tcPr>
          <w:p>
            <w:pPr>
              <w:spacing w:after="0"/>
              <w:rPr>
                <w:sz w:val="16"/>
                <w:szCs w:val="16"/>
                <w:color w:val="auto"/>
              </w:rPr>
            </w:pPr>
          </w:p>
        </w:tc>
        <w:tc>
          <w:tcPr>
            <w:tcW w:w="72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8"/>
              </w:rPr>
              <w:t>S-8</w:t>
            </w:r>
          </w:p>
        </w:tc>
        <w:tc>
          <w:tcPr>
            <w:tcW w:w="1060" w:type="dxa"/>
            <w:vAlign w:val="bottom"/>
            <w:gridSpan w:val="2"/>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8"/>
              </w:rPr>
              <w:t>333-239491</w:t>
            </w:r>
          </w:p>
        </w:tc>
        <w:tc>
          <w:tcPr>
            <w:tcW w:w="940" w:type="dxa"/>
            <w:vAlign w:val="bottom"/>
            <w:gridSpan w:val="2"/>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80" w:type="dxa"/>
            <w:vAlign w:val="bottom"/>
            <w:shd w:val="clear" w:color="auto" w:fill="E9E9E9"/>
          </w:tcPr>
          <w:p>
            <w:pPr>
              <w:spacing w:after="0"/>
              <w:rPr>
                <w:sz w:val="16"/>
                <w:szCs w:val="16"/>
                <w:color w:val="auto"/>
              </w:rPr>
            </w:pPr>
          </w:p>
        </w:tc>
        <w:tc>
          <w:tcPr>
            <w:tcW w:w="150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8"/>
              </w:rPr>
              <w:t>June 26, 2020</w:t>
            </w:r>
          </w:p>
        </w:tc>
        <w:tc>
          <w:tcPr>
            <w:tcW w:w="0" w:type="dxa"/>
            <w:vAlign w:val="bottom"/>
          </w:tcPr>
          <w:p>
            <w:pPr>
              <w:spacing w:after="0"/>
              <w:rPr>
                <w:sz w:val="1"/>
                <w:szCs w:val="1"/>
                <w:color w:val="auto"/>
              </w:rPr>
            </w:pPr>
          </w:p>
        </w:tc>
      </w:tr>
      <w:tr>
        <w:trPr>
          <w:trHeight w:val="137"/>
        </w:trPr>
        <w:tc>
          <w:tcPr>
            <w:tcW w:w="880" w:type="dxa"/>
            <w:vAlign w:val="bottom"/>
            <w:tcBorders>
              <w:top w:val="single" w:sz="8" w:color="E9E9E9"/>
            </w:tcBorders>
            <w:shd w:val="clear" w:color="auto" w:fill="E9E9E9"/>
          </w:tcPr>
          <w:p>
            <w:pPr>
              <w:spacing w:after="0"/>
              <w:rPr>
                <w:sz w:val="11"/>
                <w:szCs w:val="11"/>
                <w:color w:val="auto"/>
              </w:rPr>
            </w:pPr>
          </w:p>
        </w:tc>
        <w:tc>
          <w:tcPr>
            <w:tcW w:w="80" w:type="dxa"/>
            <w:vAlign w:val="bottom"/>
            <w:tcBorders>
              <w:top w:val="single" w:sz="8" w:color="E9E9E9"/>
            </w:tcBorders>
            <w:shd w:val="clear" w:color="auto" w:fill="E9E9E9"/>
          </w:tcPr>
          <w:p>
            <w:pPr>
              <w:spacing w:after="0"/>
              <w:rPr>
                <w:sz w:val="11"/>
                <w:szCs w:val="11"/>
                <w:color w:val="auto"/>
              </w:rPr>
            </w:pPr>
          </w:p>
        </w:tc>
        <w:tc>
          <w:tcPr>
            <w:tcW w:w="40" w:type="dxa"/>
            <w:vAlign w:val="bottom"/>
            <w:tcBorders>
              <w:top w:val="single" w:sz="8" w:color="E9E9E9"/>
            </w:tcBorders>
            <w:shd w:val="clear" w:color="auto" w:fill="E9E9E9"/>
          </w:tcPr>
          <w:p>
            <w:pPr>
              <w:spacing w:after="0"/>
              <w:rPr>
                <w:sz w:val="11"/>
                <w:szCs w:val="11"/>
                <w:color w:val="auto"/>
              </w:rPr>
            </w:pPr>
          </w:p>
        </w:tc>
        <w:tc>
          <w:tcPr>
            <w:tcW w:w="4280" w:type="dxa"/>
            <w:vAlign w:val="bottom"/>
            <w:tcBorders>
              <w:top w:val="single" w:sz="8" w:color="313131"/>
            </w:tcBorders>
            <w:gridSpan w:val="14"/>
            <w:shd w:val="clear" w:color="auto" w:fill="E9E9E9"/>
          </w:tcPr>
          <w:p>
            <w:pPr>
              <w:spacing w:after="0" w:line="137" w:lineRule="exact"/>
              <w:rPr>
                <w:sz w:val="20"/>
                <w:szCs w:val="20"/>
                <w:color w:val="auto"/>
              </w:rPr>
            </w:pPr>
            <w:r>
              <w:rPr>
                <w:rFonts w:ascii="Times New Roman" w:cs="Times New Roman" w:eastAsia="Times New Roman" w:hAnsi="Times New Roman"/>
                <w:sz w:val="15"/>
                <w:szCs w:val="15"/>
                <w:color w:val="313131"/>
              </w:rPr>
              <w:t>Pharmaceuticals, Inc. 2005 Stock Incentive Plan).</w:t>
            </w:r>
          </w:p>
        </w:tc>
        <w:tc>
          <w:tcPr>
            <w:tcW w:w="440" w:type="dxa"/>
            <w:vAlign w:val="bottom"/>
            <w:tcBorders>
              <w:top w:val="single" w:sz="8" w:color="E9E9E9"/>
            </w:tcBorders>
            <w:gridSpan w:val="7"/>
            <w:shd w:val="clear" w:color="auto" w:fill="E9E9E9"/>
          </w:tcPr>
          <w:p>
            <w:pPr>
              <w:spacing w:after="0"/>
              <w:rPr>
                <w:sz w:val="11"/>
                <w:szCs w:val="11"/>
                <w:color w:val="auto"/>
              </w:rPr>
            </w:pPr>
          </w:p>
        </w:tc>
        <w:tc>
          <w:tcPr>
            <w:tcW w:w="260" w:type="dxa"/>
            <w:vAlign w:val="bottom"/>
            <w:tcBorders>
              <w:top w:val="single" w:sz="8" w:color="E9E9E9"/>
            </w:tcBorders>
            <w:gridSpan w:val="7"/>
            <w:shd w:val="clear" w:color="auto" w:fill="E9E9E9"/>
          </w:tcPr>
          <w:p>
            <w:pPr>
              <w:spacing w:after="0"/>
              <w:rPr>
                <w:sz w:val="11"/>
                <w:szCs w:val="11"/>
                <w:color w:val="auto"/>
              </w:rPr>
            </w:pPr>
          </w:p>
        </w:tc>
        <w:tc>
          <w:tcPr>
            <w:tcW w:w="100" w:type="dxa"/>
            <w:vAlign w:val="bottom"/>
            <w:tcBorders>
              <w:top w:val="single" w:sz="8" w:color="E9E9E9"/>
            </w:tcBorders>
            <w:gridSpan w:val="2"/>
            <w:shd w:val="clear" w:color="auto" w:fill="E9E9E9"/>
          </w:tcPr>
          <w:p>
            <w:pPr>
              <w:spacing w:after="0"/>
              <w:rPr>
                <w:sz w:val="11"/>
                <w:szCs w:val="11"/>
                <w:color w:val="auto"/>
              </w:rPr>
            </w:pPr>
          </w:p>
        </w:tc>
        <w:tc>
          <w:tcPr>
            <w:tcW w:w="100" w:type="dxa"/>
            <w:vAlign w:val="bottom"/>
            <w:tcBorders>
              <w:top w:val="single" w:sz="8" w:color="E9E9E9"/>
            </w:tcBorders>
            <w:shd w:val="clear" w:color="auto" w:fill="E9E9E9"/>
          </w:tcPr>
          <w:p>
            <w:pPr>
              <w:spacing w:after="0"/>
              <w:rPr>
                <w:sz w:val="11"/>
                <w:szCs w:val="11"/>
                <w:color w:val="auto"/>
              </w:rPr>
            </w:pPr>
          </w:p>
        </w:tc>
        <w:tc>
          <w:tcPr>
            <w:tcW w:w="80" w:type="dxa"/>
            <w:vAlign w:val="bottom"/>
            <w:tcBorders>
              <w:top w:val="single" w:sz="8" w:color="E9E9E9"/>
            </w:tcBorders>
            <w:shd w:val="clear" w:color="auto" w:fill="E9E9E9"/>
          </w:tcPr>
          <w:p>
            <w:pPr>
              <w:spacing w:after="0"/>
              <w:rPr>
                <w:sz w:val="11"/>
                <w:szCs w:val="11"/>
                <w:color w:val="auto"/>
              </w:rPr>
            </w:pPr>
          </w:p>
        </w:tc>
        <w:tc>
          <w:tcPr>
            <w:tcW w:w="720" w:type="dxa"/>
            <w:vAlign w:val="bottom"/>
            <w:tcBorders>
              <w:top w:val="single" w:sz="8" w:color="E9E9E9"/>
            </w:tcBorders>
            <w:shd w:val="clear" w:color="auto" w:fill="E9E9E9"/>
          </w:tcPr>
          <w:p>
            <w:pPr>
              <w:spacing w:after="0"/>
              <w:rPr>
                <w:sz w:val="11"/>
                <w:szCs w:val="11"/>
                <w:color w:val="auto"/>
              </w:rPr>
            </w:pPr>
          </w:p>
        </w:tc>
        <w:tc>
          <w:tcPr>
            <w:tcW w:w="80" w:type="dxa"/>
            <w:vAlign w:val="bottom"/>
            <w:tcBorders>
              <w:top w:val="single" w:sz="8" w:color="E9E9E9"/>
            </w:tcBorders>
            <w:shd w:val="clear" w:color="auto" w:fill="E9E9E9"/>
          </w:tcPr>
          <w:p>
            <w:pPr>
              <w:spacing w:after="0"/>
              <w:rPr>
                <w:sz w:val="11"/>
                <w:szCs w:val="11"/>
                <w:color w:val="auto"/>
              </w:rPr>
            </w:pPr>
          </w:p>
        </w:tc>
        <w:tc>
          <w:tcPr>
            <w:tcW w:w="980" w:type="dxa"/>
            <w:vAlign w:val="bottom"/>
            <w:tcBorders>
              <w:top w:val="single" w:sz="8" w:color="E9E9E9"/>
            </w:tcBorders>
            <w:shd w:val="clear" w:color="auto" w:fill="E9E9E9"/>
          </w:tcPr>
          <w:p>
            <w:pPr>
              <w:spacing w:after="0"/>
              <w:rPr>
                <w:sz w:val="11"/>
                <w:szCs w:val="11"/>
                <w:color w:val="auto"/>
              </w:rPr>
            </w:pPr>
          </w:p>
        </w:tc>
        <w:tc>
          <w:tcPr>
            <w:tcW w:w="60" w:type="dxa"/>
            <w:vAlign w:val="bottom"/>
            <w:tcBorders>
              <w:top w:val="single" w:sz="8" w:color="E9E9E9"/>
            </w:tcBorders>
            <w:shd w:val="clear" w:color="auto" w:fill="E9E9E9"/>
          </w:tcPr>
          <w:p>
            <w:pPr>
              <w:spacing w:after="0"/>
              <w:rPr>
                <w:sz w:val="11"/>
                <w:szCs w:val="11"/>
                <w:color w:val="auto"/>
              </w:rPr>
            </w:pPr>
          </w:p>
        </w:tc>
        <w:tc>
          <w:tcPr>
            <w:tcW w:w="880" w:type="dxa"/>
            <w:vAlign w:val="bottom"/>
            <w:tcBorders>
              <w:top w:val="single" w:sz="8" w:color="E9E9E9"/>
            </w:tcBorders>
            <w:shd w:val="clear" w:color="auto" w:fill="E9E9E9"/>
          </w:tcPr>
          <w:p>
            <w:pPr>
              <w:spacing w:after="0"/>
              <w:rPr>
                <w:sz w:val="11"/>
                <w:szCs w:val="11"/>
                <w:color w:val="auto"/>
              </w:rPr>
            </w:pPr>
          </w:p>
        </w:tc>
        <w:tc>
          <w:tcPr>
            <w:tcW w:w="80" w:type="dxa"/>
            <w:vAlign w:val="bottom"/>
            <w:tcBorders>
              <w:top w:val="single" w:sz="8" w:color="E9E9E9"/>
            </w:tcBorders>
            <w:shd w:val="clear" w:color="auto" w:fill="E9E9E9"/>
          </w:tcPr>
          <w:p>
            <w:pPr>
              <w:spacing w:after="0"/>
              <w:rPr>
                <w:sz w:val="11"/>
                <w:szCs w:val="11"/>
                <w:color w:val="auto"/>
              </w:rPr>
            </w:pPr>
          </w:p>
        </w:tc>
        <w:tc>
          <w:tcPr>
            <w:tcW w:w="1500" w:type="dxa"/>
            <w:vAlign w:val="bottom"/>
            <w:tcBorders>
              <w:top w:val="single" w:sz="8" w:color="E9E9E9"/>
            </w:tcBorders>
            <w:shd w:val="clear" w:color="auto" w:fill="E9E9E9"/>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880" w:type="dxa"/>
            <w:vAlign w:val="bottom"/>
            <w:tcBorders>
              <w:top w:val="single" w:sz="8" w:color="E9E9E9"/>
            </w:tcBorders>
            <w:shd w:val="clear" w:color="auto" w:fill="E9E9E9"/>
          </w:tcPr>
          <w:p>
            <w:pPr>
              <w:spacing w:after="0"/>
              <w:rPr>
                <w:sz w:val="3"/>
                <w:szCs w:val="3"/>
                <w:color w:val="auto"/>
              </w:rPr>
            </w:pPr>
          </w:p>
        </w:tc>
        <w:tc>
          <w:tcPr>
            <w:tcW w:w="80" w:type="dxa"/>
            <w:vAlign w:val="bottom"/>
            <w:tcBorders>
              <w:top w:val="single" w:sz="8" w:color="E9E9E9"/>
            </w:tcBorders>
            <w:shd w:val="clear" w:color="auto" w:fill="E9E9E9"/>
          </w:tcPr>
          <w:p>
            <w:pPr>
              <w:spacing w:after="0"/>
              <w:rPr>
                <w:sz w:val="3"/>
                <w:szCs w:val="3"/>
                <w:color w:val="auto"/>
              </w:rPr>
            </w:pPr>
          </w:p>
        </w:tc>
        <w:tc>
          <w:tcPr>
            <w:tcW w:w="40" w:type="dxa"/>
            <w:vAlign w:val="bottom"/>
            <w:tcBorders>
              <w:top w:val="single" w:sz="8" w:color="E9E9E9"/>
            </w:tcBorders>
            <w:shd w:val="clear" w:color="auto" w:fill="E9E9E9"/>
          </w:tcPr>
          <w:p>
            <w:pPr>
              <w:spacing w:after="0"/>
              <w:rPr>
                <w:sz w:val="3"/>
                <w:szCs w:val="3"/>
                <w:color w:val="auto"/>
              </w:rPr>
            </w:pPr>
          </w:p>
        </w:tc>
        <w:tc>
          <w:tcPr>
            <w:tcW w:w="340" w:type="dxa"/>
            <w:vAlign w:val="bottom"/>
            <w:tcBorders>
              <w:top w:val="single" w:sz="8" w:color="313131"/>
            </w:tcBorders>
            <w:shd w:val="clear" w:color="auto" w:fill="E9E9E9"/>
          </w:tcPr>
          <w:p>
            <w:pPr>
              <w:spacing w:after="0"/>
              <w:rPr>
                <w:sz w:val="3"/>
                <w:szCs w:val="3"/>
                <w:color w:val="auto"/>
              </w:rPr>
            </w:pPr>
          </w:p>
        </w:tc>
        <w:tc>
          <w:tcPr>
            <w:tcW w:w="460" w:type="dxa"/>
            <w:vAlign w:val="bottom"/>
            <w:tcBorders>
              <w:top w:val="single" w:sz="8" w:color="313131"/>
            </w:tcBorders>
            <w:shd w:val="clear" w:color="auto" w:fill="E9E9E9"/>
          </w:tcPr>
          <w:p>
            <w:pPr>
              <w:spacing w:after="0"/>
              <w:rPr>
                <w:sz w:val="3"/>
                <w:szCs w:val="3"/>
                <w:color w:val="auto"/>
              </w:rPr>
            </w:pPr>
          </w:p>
        </w:tc>
        <w:tc>
          <w:tcPr>
            <w:tcW w:w="920" w:type="dxa"/>
            <w:vAlign w:val="bottom"/>
            <w:tcBorders>
              <w:top w:val="single" w:sz="8" w:color="313131"/>
            </w:tcBorders>
            <w:shd w:val="clear" w:color="auto" w:fill="E9E9E9"/>
          </w:tcPr>
          <w:p>
            <w:pPr>
              <w:spacing w:after="0"/>
              <w:rPr>
                <w:sz w:val="3"/>
                <w:szCs w:val="3"/>
                <w:color w:val="auto"/>
              </w:rPr>
            </w:pPr>
          </w:p>
        </w:tc>
        <w:tc>
          <w:tcPr>
            <w:tcW w:w="640" w:type="dxa"/>
            <w:vAlign w:val="bottom"/>
            <w:tcBorders>
              <w:top w:val="single" w:sz="8" w:color="313131"/>
            </w:tcBorders>
            <w:shd w:val="clear" w:color="auto" w:fill="E9E9E9"/>
          </w:tcPr>
          <w:p>
            <w:pPr>
              <w:spacing w:after="0"/>
              <w:rPr>
                <w:sz w:val="3"/>
                <w:szCs w:val="3"/>
                <w:color w:val="auto"/>
              </w:rPr>
            </w:pPr>
          </w:p>
        </w:tc>
        <w:tc>
          <w:tcPr>
            <w:tcW w:w="360" w:type="dxa"/>
            <w:vAlign w:val="bottom"/>
            <w:tcBorders>
              <w:top w:val="single" w:sz="8" w:color="313131"/>
            </w:tcBorders>
            <w:shd w:val="clear" w:color="auto" w:fill="E9E9E9"/>
          </w:tcPr>
          <w:p>
            <w:pPr>
              <w:spacing w:after="0"/>
              <w:rPr>
                <w:sz w:val="3"/>
                <w:szCs w:val="3"/>
                <w:color w:val="auto"/>
              </w:rPr>
            </w:pPr>
          </w:p>
        </w:tc>
        <w:tc>
          <w:tcPr>
            <w:tcW w:w="140" w:type="dxa"/>
            <w:vAlign w:val="bottom"/>
            <w:tcBorders>
              <w:top w:val="single" w:sz="8" w:color="313131"/>
            </w:tcBorders>
            <w:shd w:val="clear" w:color="auto" w:fill="E9E9E9"/>
          </w:tcPr>
          <w:p>
            <w:pPr>
              <w:spacing w:after="0"/>
              <w:rPr>
                <w:sz w:val="3"/>
                <w:szCs w:val="3"/>
                <w:color w:val="auto"/>
              </w:rPr>
            </w:pPr>
          </w:p>
        </w:tc>
        <w:tc>
          <w:tcPr>
            <w:tcW w:w="260" w:type="dxa"/>
            <w:vAlign w:val="bottom"/>
            <w:tcBorders>
              <w:top w:val="single" w:sz="8" w:color="313131"/>
            </w:tcBorders>
            <w:shd w:val="clear" w:color="auto" w:fill="E9E9E9"/>
          </w:tcPr>
          <w:p>
            <w:pPr>
              <w:spacing w:after="0"/>
              <w:rPr>
                <w:sz w:val="3"/>
                <w:szCs w:val="3"/>
                <w:color w:val="auto"/>
              </w:rPr>
            </w:pPr>
          </w:p>
        </w:tc>
        <w:tc>
          <w:tcPr>
            <w:tcW w:w="180" w:type="dxa"/>
            <w:vAlign w:val="bottom"/>
            <w:tcBorders>
              <w:top w:val="single" w:sz="8" w:color="E9E9E9"/>
            </w:tcBorders>
            <w:shd w:val="clear" w:color="auto" w:fill="E9E9E9"/>
          </w:tcPr>
          <w:p>
            <w:pPr>
              <w:spacing w:after="0"/>
              <w:rPr>
                <w:sz w:val="3"/>
                <w:szCs w:val="3"/>
                <w:color w:val="auto"/>
              </w:rPr>
            </w:pPr>
          </w:p>
        </w:tc>
        <w:tc>
          <w:tcPr>
            <w:tcW w:w="120" w:type="dxa"/>
            <w:vAlign w:val="bottom"/>
            <w:tcBorders>
              <w:top w:val="single" w:sz="8" w:color="E9E9E9"/>
            </w:tcBorders>
            <w:shd w:val="clear" w:color="auto" w:fill="E9E9E9"/>
          </w:tcPr>
          <w:p>
            <w:pPr>
              <w:spacing w:after="0"/>
              <w:rPr>
                <w:sz w:val="3"/>
                <w:szCs w:val="3"/>
                <w:color w:val="auto"/>
              </w:rPr>
            </w:pPr>
          </w:p>
        </w:tc>
        <w:tc>
          <w:tcPr>
            <w:tcW w:w="160" w:type="dxa"/>
            <w:vAlign w:val="bottom"/>
            <w:tcBorders>
              <w:top w:val="single" w:sz="8" w:color="E9E9E9"/>
            </w:tcBorders>
            <w:shd w:val="clear" w:color="auto" w:fill="E9E9E9"/>
          </w:tcPr>
          <w:p>
            <w:pPr>
              <w:spacing w:after="0"/>
              <w:rPr>
                <w:sz w:val="3"/>
                <w:szCs w:val="3"/>
                <w:color w:val="auto"/>
              </w:rPr>
            </w:pPr>
          </w:p>
        </w:tc>
        <w:tc>
          <w:tcPr>
            <w:tcW w:w="100" w:type="dxa"/>
            <w:vAlign w:val="bottom"/>
            <w:tcBorders>
              <w:top w:val="single" w:sz="8" w:color="E9E9E9"/>
            </w:tcBorders>
            <w:shd w:val="clear" w:color="auto" w:fill="E9E9E9"/>
          </w:tcPr>
          <w:p>
            <w:pPr>
              <w:spacing w:after="0"/>
              <w:rPr>
                <w:sz w:val="3"/>
                <w:szCs w:val="3"/>
                <w:color w:val="auto"/>
              </w:rPr>
            </w:pPr>
          </w:p>
        </w:tc>
        <w:tc>
          <w:tcPr>
            <w:tcW w:w="500" w:type="dxa"/>
            <w:vAlign w:val="bottom"/>
            <w:tcBorders>
              <w:top w:val="single" w:sz="8" w:color="E9E9E9"/>
            </w:tcBorders>
            <w:shd w:val="clear" w:color="auto" w:fill="E9E9E9"/>
          </w:tcPr>
          <w:p>
            <w:pPr>
              <w:spacing w:after="0"/>
              <w:rPr>
                <w:sz w:val="3"/>
                <w:szCs w:val="3"/>
                <w:color w:val="auto"/>
              </w:rPr>
            </w:pPr>
          </w:p>
        </w:tc>
        <w:tc>
          <w:tcPr>
            <w:tcW w:w="80" w:type="dxa"/>
            <w:vAlign w:val="bottom"/>
            <w:tcBorders>
              <w:top w:val="single" w:sz="8" w:color="E9E9E9"/>
            </w:tcBorders>
            <w:shd w:val="clear" w:color="auto" w:fill="E9E9E9"/>
          </w:tcPr>
          <w:p>
            <w:pPr>
              <w:spacing w:after="0"/>
              <w:rPr>
                <w:sz w:val="3"/>
                <w:szCs w:val="3"/>
                <w:color w:val="auto"/>
              </w:rPr>
            </w:pPr>
          </w:p>
        </w:tc>
        <w:tc>
          <w:tcPr>
            <w:tcW w:w="20" w:type="dxa"/>
            <w:vAlign w:val="bottom"/>
            <w:tcBorders>
              <w:top w:val="single" w:sz="8" w:color="E9E9E9"/>
            </w:tcBorders>
            <w:shd w:val="clear" w:color="auto" w:fill="E9E9E9"/>
          </w:tcPr>
          <w:p>
            <w:pPr>
              <w:spacing w:after="0"/>
              <w:rPr>
                <w:sz w:val="3"/>
                <w:szCs w:val="3"/>
                <w:color w:val="auto"/>
              </w:rPr>
            </w:pPr>
          </w:p>
        </w:tc>
        <w:tc>
          <w:tcPr>
            <w:tcW w:w="20" w:type="dxa"/>
            <w:vAlign w:val="bottom"/>
            <w:tcBorders>
              <w:top w:val="single" w:sz="8" w:color="E9E9E9"/>
            </w:tcBorders>
            <w:shd w:val="clear" w:color="auto" w:fill="E9E9E9"/>
          </w:tcPr>
          <w:p>
            <w:pPr>
              <w:spacing w:after="0"/>
              <w:rPr>
                <w:sz w:val="3"/>
                <w:szCs w:val="3"/>
                <w:color w:val="auto"/>
              </w:rPr>
            </w:pPr>
          </w:p>
        </w:tc>
        <w:tc>
          <w:tcPr>
            <w:tcW w:w="80" w:type="dxa"/>
            <w:vAlign w:val="bottom"/>
            <w:tcBorders>
              <w:top w:val="single" w:sz="8" w:color="E9E9E9"/>
            </w:tcBorders>
            <w:shd w:val="clear" w:color="auto" w:fill="E9E9E9"/>
          </w:tcPr>
          <w:p>
            <w:pPr>
              <w:spacing w:after="0"/>
              <w:rPr>
                <w:sz w:val="3"/>
                <w:szCs w:val="3"/>
                <w:color w:val="auto"/>
              </w:rPr>
            </w:pPr>
          </w:p>
        </w:tc>
        <w:tc>
          <w:tcPr>
            <w:tcW w:w="20" w:type="dxa"/>
            <w:vAlign w:val="bottom"/>
            <w:tcBorders>
              <w:top w:val="single" w:sz="8" w:color="E9E9E9"/>
            </w:tcBorders>
            <w:shd w:val="clear" w:color="auto" w:fill="E9E9E9"/>
          </w:tcPr>
          <w:p>
            <w:pPr>
              <w:spacing w:after="0"/>
              <w:rPr>
                <w:sz w:val="3"/>
                <w:szCs w:val="3"/>
                <w:color w:val="auto"/>
              </w:rPr>
            </w:pPr>
          </w:p>
        </w:tc>
        <w:tc>
          <w:tcPr>
            <w:tcW w:w="200" w:type="dxa"/>
            <w:vAlign w:val="bottom"/>
            <w:tcBorders>
              <w:top w:val="single" w:sz="8" w:color="E9E9E9"/>
            </w:tcBorders>
            <w:shd w:val="clear" w:color="auto" w:fill="E9E9E9"/>
          </w:tcPr>
          <w:p>
            <w:pPr>
              <w:spacing w:after="0"/>
              <w:rPr>
                <w:sz w:val="3"/>
                <w:szCs w:val="3"/>
                <w:color w:val="auto"/>
              </w:rPr>
            </w:pPr>
          </w:p>
        </w:tc>
        <w:tc>
          <w:tcPr>
            <w:tcW w:w="20" w:type="dxa"/>
            <w:vAlign w:val="bottom"/>
            <w:tcBorders>
              <w:top w:val="single" w:sz="8" w:color="E9E9E9"/>
            </w:tcBorders>
            <w:shd w:val="clear" w:color="auto" w:fill="E9E9E9"/>
          </w:tcPr>
          <w:p>
            <w:pPr>
              <w:spacing w:after="0"/>
              <w:rPr>
                <w:sz w:val="3"/>
                <w:szCs w:val="3"/>
                <w:color w:val="auto"/>
              </w:rPr>
            </w:pPr>
          </w:p>
        </w:tc>
        <w:tc>
          <w:tcPr>
            <w:tcW w:w="80" w:type="dxa"/>
            <w:vAlign w:val="bottom"/>
            <w:tcBorders>
              <w:top w:val="single" w:sz="8" w:color="E9E9E9"/>
            </w:tcBorders>
            <w:shd w:val="clear" w:color="auto" w:fill="E9E9E9"/>
          </w:tcPr>
          <w:p>
            <w:pPr>
              <w:spacing w:after="0"/>
              <w:rPr>
                <w:sz w:val="3"/>
                <w:szCs w:val="3"/>
                <w:color w:val="auto"/>
              </w:rPr>
            </w:pPr>
          </w:p>
        </w:tc>
        <w:tc>
          <w:tcPr>
            <w:tcW w:w="20" w:type="dxa"/>
            <w:vAlign w:val="bottom"/>
            <w:tcBorders>
              <w:top w:val="single" w:sz="8" w:color="E9E9E9"/>
            </w:tcBorders>
            <w:shd w:val="clear" w:color="auto" w:fill="E9E9E9"/>
          </w:tcPr>
          <w:p>
            <w:pPr>
              <w:spacing w:after="0"/>
              <w:rPr>
                <w:sz w:val="3"/>
                <w:szCs w:val="3"/>
                <w:color w:val="auto"/>
              </w:rPr>
            </w:pPr>
          </w:p>
        </w:tc>
        <w:tc>
          <w:tcPr>
            <w:tcW w:w="20" w:type="dxa"/>
            <w:vAlign w:val="bottom"/>
            <w:tcBorders>
              <w:top w:val="single" w:sz="8" w:color="E9E9E9"/>
            </w:tcBorders>
            <w:shd w:val="clear" w:color="auto" w:fill="E9E9E9"/>
          </w:tcPr>
          <w:p>
            <w:pPr>
              <w:spacing w:after="0"/>
              <w:rPr>
                <w:sz w:val="3"/>
                <w:szCs w:val="3"/>
                <w:color w:val="auto"/>
              </w:rPr>
            </w:pPr>
          </w:p>
        </w:tc>
        <w:tc>
          <w:tcPr>
            <w:tcW w:w="60" w:type="dxa"/>
            <w:vAlign w:val="bottom"/>
            <w:tcBorders>
              <w:top w:val="single" w:sz="8" w:color="E9E9E9"/>
            </w:tcBorders>
            <w:shd w:val="clear" w:color="auto" w:fill="E9E9E9"/>
          </w:tcPr>
          <w:p>
            <w:pPr>
              <w:spacing w:after="0"/>
              <w:rPr>
                <w:sz w:val="3"/>
                <w:szCs w:val="3"/>
                <w:color w:val="auto"/>
              </w:rPr>
            </w:pPr>
          </w:p>
        </w:tc>
        <w:tc>
          <w:tcPr>
            <w:tcW w:w="20" w:type="dxa"/>
            <w:vAlign w:val="bottom"/>
            <w:tcBorders>
              <w:top w:val="single" w:sz="8" w:color="E9E9E9"/>
            </w:tcBorders>
            <w:shd w:val="clear" w:color="auto" w:fill="E9E9E9"/>
          </w:tcPr>
          <w:p>
            <w:pPr>
              <w:spacing w:after="0"/>
              <w:rPr>
                <w:sz w:val="3"/>
                <w:szCs w:val="3"/>
                <w:color w:val="auto"/>
              </w:rPr>
            </w:pPr>
          </w:p>
        </w:tc>
        <w:tc>
          <w:tcPr>
            <w:tcW w:w="80" w:type="dxa"/>
            <w:vAlign w:val="bottom"/>
            <w:tcBorders>
              <w:top w:val="single" w:sz="8" w:color="E9E9E9"/>
            </w:tcBorders>
            <w:shd w:val="clear" w:color="auto" w:fill="E9E9E9"/>
          </w:tcPr>
          <w:p>
            <w:pPr>
              <w:spacing w:after="0"/>
              <w:rPr>
                <w:sz w:val="3"/>
                <w:szCs w:val="3"/>
                <w:color w:val="auto"/>
              </w:rPr>
            </w:pPr>
          </w:p>
        </w:tc>
        <w:tc>
          <w:tcPr>
            <w:tcW w:w="40" w:type="dxa"/>
            <w:vAlign w:val="bottom"/>
            <w:tcBorders>
              <w:top w:val="single" w:sz="8" w:color="E9E9E9"/>
            </w:tcBorders>
            <w:shd w:val="clear" w:color="auto" w:fill="E9E9E9"/>
          </w:tcPr>
          <w:p>
            <w:pPr>
              <w:spacing w:after="0"/>
              <w:rPr>
                <w:sz w:val="3"/>
                <w:szCs w:val="3"/>
                <w:color w:val="auto"/>
              </w:rPr>
            </w:pPr>
          </w:p>
        </w:tc>
        <w:tc>
          <w:tcPr>
            <w:tcW w:w="20" w:type="dxa"/>
            <w:vAlign w:val="bottom"/>
            <w:tcBorders>
              <w:top w:val="single" w:sz="8" w:color="E9E9E9"/>
            </w:tcBorders>
            <w:shd w:val="clear" w:color="auto" w:fill="E9E9E9"/>
          </w:tcPr>
          <w:p>
            <w:pPr>
              <w:spacing w:after="0"/>
              <w:rPr>
                <w:sz w:val="3"/>
                <w:szCs w:val="3"/>
                <w:color w:val="auto"/>
              </w:rPr>
            </w:pPr>
          </w:p>
        </w:tc>
        <w:tc>
          <w:tcPr>
            <w:tcW w:w="20" w:type="dxa"/>
            <w:vAlign w:val="bottom"/>
            <w:tcBorders>
              <w:top w:val="single" w:sz="8" w:color="E9E9E9"/>
            </w:tcBorders>
            <w:shd w:val="clear" w:color="auto" w:fill="E9E9E9"/>
          </w:tcPr>
          <w:p>
            <w:pPr>
              <w:spacing w:after="0"/>
              <w:rPr>
                <w:sz w:val="3"/>
                <w:szCs w:val="3"/>
                <w:color w:val="auto"/>
              </w:rPr>
            </w:pPr>
          </w:p>
        </w:tc>
        <w:tc>
          <w:tcPr>
            <w:tcW w:w="80" w:type="dxa"/>
            <w:vAlign w:val="bottom"/>
            <w:tcBorders>
              <w:top w:val="single" w:sz="8" w:color="E9E9E9"/>
            </w:tcBorders>
            <w:shd w:val="clear" w:color="auto" w:fill="E9E9E9"/>
          </w:tcPr>
          <w:p>
            <w:pPr>
              <w:spacing w:after="0"/>
              <w:rPr>
                <w:sz w:val="3"/>
                <w:szCs w:val="3"/>
                <w:color w:val="auto"/>
              </w:rPr>
            </w:pPr>
          </w:p>
        </w:tc>
        <w:tc>
          <w:tcPr>
            <w:tcW w:w="20" w:type="dxa"/>
            <w:vAlign w:val="bottom"/>
            <w:tcBorders>
              <w:top w:val="single" w:sz="8" w:color="E9E9E9"/>
            </w:tcBorders>
            <w:shd w:val="clear" w:color="auto" w:fill="E9E9E9"/>
          </w:tcPr>
          <w:p>
            <w:pPr>
              <w:spacing w:after="0"/>
              <w:rPr>
                <w:sz w:val="3"/>
                <w:szCs w:val="3"/>
                <w:color w:val="auto"/>
              </w:rPr>
            </w:pPr>
          </w:p>
        </w:tc>
        <w:tc>
          <w:tcPr>
            <w:tcW w:w="100" w:type="dxa"/>
            <w:vAlign w:val="bottom"/>
            <w:tcBorders>
              <w:top w:val="single" w:sz="8" w:color="E9E9E9"/>
            </w:tcBorders>
            <w:shd w:val="clear" w:color="auto" w:fill="E9E9E9"/>
          </w:tcPr>
          <w:p>
            <w:pPr>
              <w:spacing w:after="0"/>
              <w:rPr>
                <w:sz w:val="3"/>
                <w:szCs w:val="3"/>
                <w:color w:val="auto"/>
              </w:rPr>
            </w:pPr>
          </w:p>
        </w:tc>
        <w:tc>
          <w:tcPr>
            <w:tcW w:w="80" w:type="dxa"/>
            <w:vAlign w:val="bottom"/>
            <w:tcBorders>
              <w:top w:val="single" w:sz="8" w:color="E9E9E9"/>
            </w:tcBorders>
            <w:shd w:val="clear" w:color="auto" w:fill="E9E9E9"/>
          </w:tcPr>
          <w:p>
            <w:pPr>
              <w:spacing w:after="0"/>
              <w:rPr>
                <w:sz w:val="3"/>
                <w:szCs w:val="3"/>
                <w:color w:val="auto"/>
              </w:rPr>
            </w:pPr>
          </w:p>
        </w:tc>
        <w:tc>
          <w:tcPr>
            <w:tcW w:w="720" w:type="dxa"/>
            <w:vAlign w:val="bottom"/>
            <w:tcBorders>
              <w:top w:val="single" w:sz="8" w:color="E9E9E9"/>
            </w:tcBorders>
            <w:shd w:val="clear" w:color="auto" w:fill="E9E9E9"/>
          </w:tcPr>
          <w:p>
            <w:pPr>
              <w:spacing w:after="0"/>
              <w:rPr>
                <w:sz w:val="3"/>
                <w:szCs w:val="3"/>
                <w:color w:val="auto"/>
              </w:rPr>
            </w:pPr>
          </w:p>
        </w:tc>
        <w:tc>
          <w:tcPr>
            <w:tcW w:w="80" w:type="dxa"/>
            <w:vAlign w:val="bottom"/>
            <w:tcBorders>
              <w:top w:val="single" w:sz="8" w:color="E9E9E9"/>
            </w:tcBorders>
            <w:shd w:val="clear" w:color="auto" w:fill="E9E9E9"/>
          </w:tcPr>
          <w:p>
            <w:pPr>
              <w:spacing w:after="0"/>
              <w:rPr>
                <w:sz w:val="3"/>
                <w:szCs w:val="3"/>
                <w:color w:val="auto"/>
              </w:rPr>
            </w:pPr>
          </w:p>
        </w:tc>
        <w:tc>
          <w:tcPr>
            <w:tcW w:w="980" w:type="dxa"/>
            <w:vAlign w:val="bottom"/>
            <w:tcBorders>
              <w:top w:val="single" w:sz="8" w:color="E9E9E9"/>
            </w:tcBorders>
            <w:shd w:val="clear" w:color="auto" w:fill="E9E9E9"/>
          </w:tcPr>
          <w:p>
            <w:pPr>
              <w:spacing w:after="0"/>
              <w:rPr>
                <w:sz w:val="3"/>
                <w:szCs w:val="3"/>
                <w:color w:val="auto"/>
              </w:rPr>
            </w:pPr>
          </w:p>
        </w:tc>
        <w:tc>
          <w:tcPr>
            <w:tcW w:w="60" w:type="dxa"/>
            <w:vAlign w:val="bottom"/>
            <w:tcBorders>
              <w:top w:val="single" w:sz="8" w:color="E9E9E9"/>
            </w:tcBorders>
            <w:shd w:val="clear" w:color="auto" w:fill="E9E9E9"/>
          </w:tcPr>
          <w:p>
            <w:pPr>
              <w:spacing w:after="0"/>
              <w:rPr>
                <w:sz w:val="3"/>
                <w:szCs w:val="3"/>
                <w:color w:val="auto"/>
              </w:rPr>
            </w:pPr>
          </w:p>
        </w:tc>
        <w:tc>
          <w:tcPr>
            <w:tcW w:w="880" w:type="dxa"/>
            <w:vAlign w:val="bottom"/>
            <w:tcBorders>
              <w:top w:val="single" w:sz="8" w:color="E9E9E9"/>
            </w:tcBorders>
            <w:shd w:val="clear" w:color="auto" w:fill="E9E9E9"/>
          </w:tcPr>
          <w:p>
            <w:pPr>
              <w:spacing w:after="0"/>
              <w:rPr>
                <w:sz w:val="3"/>
                <w:szCs w:val="3"/>
                <w:color w:val="auto"/>
              </w:rPr>
            </w:pPr>
          </w:p>
        </w:tc>
        <w:tc>
          <w:tcPr>
            <w:tcW w:w="80" w:type="dxa"/>
            <w:vAlign w:val="bottom"/>
            <w:tcBorders>
              <w:top w:val="single" w:sz="8" w:color="E9E9E9"/>
            </w:tcBorders>
            <w:shd w:val="clear" w:color="auto" w:fill="E9E9E9"/>
          </w:tcPr>
          <w:p>
            <w:pPr>
              <w:spacing w:after="0"/>
              <w:rPr>
                <w:sz w:val="3"/>
                <w:szCs w:val="3"/>
                <w:color w:val="auto"/>
              </w:rPr>
            </w:pPr>
          </w:p>
        </w:tc>
        <w:tc>
          <w:tcPr>
            <w:tcW w:w="1500" w:type="dxa"/>
            <w:vAlign w:val="bottom"/>
            <w:tcBorders>
              <w:top w:val="single" w:sz="8" w:color="E9E9E9"/>
            </w:tcBorders>
            <w:shd w:val="clear" w:color="auto" w:fill="E9E9E9"/>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10.16+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80" w:type="dxa"/>
            <w:vAlign w:val="bottom"/>
            <w:gridSpan w:val="30"/>
          </w:tcPr>
          <w:p>
            <w:pPr>
              <w:spacing w:after="0"/>
              <w:rPr>
                <w:sz w:val="20"/>
                <w:szCs w:val="20"/>
                <w:color w:val="auto"/>
              </w:rPr>
            </w:pPr>
            <w:r>
              <w:rPr>
                <w:rFonts w:ascii="Times New Roman" w:cs="Times New Roman" w:eastAsia="Times New Roman" w:hAnsi="Times New Roman"/>
                <w:sz w:val="16"/>
                <w:szCs w:val="16"/>
                <w:color w:val="313131"/>
              </w:rPr>
              <w:t>Lantheus Holdings, Inc. 2018 Performance Incentive Plan (f/k/a Progenics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S-8</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333-239491</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June 26, 2020</w:t>
            </w:r>
          </w:p>
        </w:tc>
        <w:tc>
          <w:tcPr>
            <w:tcW w:w="0" w:type="dxa"/>
            <w:vAlign w:val="bottom"/>
          </w:tcPr>
          <w:p>
            <w:pPr>
              <w:spacing w:after="0"/>
              <w:rPr>
                <w:sz w:val="1"/>
                <w:szCs w:val="1"/>
                <w:color w:val="auto"/>
              </w:rPr>
            </w:pPr>
          </w:p>
        </w:tc>
      </w:tr>
      <w:tr>
        <w:trPr>
          <w:trHeight w:val="137"/>
        </w:trPr>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720" w:type="dxa"/>
            <w:vAlign w:val="bottom"/>
            <w:tcBorders>
              <w:top w:val="single" w:sz="8" w:color="313131"/>
            </w:tcBorders>
            <w:gridSpan w:val="21"/>
          </w:tcPr>
          <w:p>
            <w:pPr>
              <w:spacing w:after="0" w:line="137" w:lineRule="exact"/>
              <w:rPr>
                <w:sz w:val="20"/>
                <w:szCs w:val="20"/>
                <w:color w:val="auto"/>
              </w:rPr>
            </w:pPr>
            <w:r>
              <w:rPr>
                <w:rFonts w:ascii="Times New Roman" w:cs="Times New Roman" w:eastAsia="Times New Roman" w:hAnsi="Times New Roman"/>
                <w:sz w:val="15"/>
                <w:szCs w:val="15"/>
                <w:color w:val="313131"/>
              </w:rPr>
              <w:t>Pharmaceuticals, Inc. 2018 Performance Incentive Plan).</w:t>
            </w:r>
          </w:p>
        </w:tc>
        <w:tc>
          <w:tcPr>
            <w:tcW w:w="260" w:type="dxa"/>
            <w:vAlign w:val="bottom"/>
            <w:gridSpan w:val="7"/>
          </w:tcPr>
          <w:p>
            <w:pPr>
              <w:spacing w:after="0"/>
              <w:rPr>
                <w:sz w:val="11"/>
                <w:szCs w:val="11"/>
                <w:color w:val="auto"/>
              </w:rPr>
            </w:pPr>
          </w:p>
        </w:tc>
        <w:tc>
          <w:tcPr>
            <w:tcW w:w="1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top w:val="single" w:sz="8" w:color="313131"/>
            </w:tcBorders>
          </w:tcPr>
          <w:p>
            <w:pPr>
              <w:spacing w:after="0"/>
              <w:rPr>
                <w:sz w:val="3"/>
                <w:szCs w:val="3"/>
                <w:color w:val="auto"/>
              </w:rPr>
            </w:pPr>
          </w:p>
        </w:tc>
        <w:tc>
          <w:tcPr>
            <w:tcW w:w="460" w:type="dxa"/>
            <w:vAlign w:val="bottom"/>
            <w:tcBorders>
              <w:top w:val="single" w:sz="8" w:color="313131"/>
            </w:tcBorders>
          </w:tcPr>
          <w:p>
            <w:pPr>
              <w:spacing w:after="0"/>
              <w:rPr>
                <w:sz w:val="3"/>
                <w:szCs w:val="3"/>
                <w:color w:val="auto"/>
              </w:rPr>
            </w:pPr>
          </w:p>
        </w:tc>
        <w:tc>
          <w:tcPr>
            <w:tcW w:w="920" w:type="dxa"/>
            <w:vAlign w:val="bottom"/>
            <w:tcBorders>
              <w:top w:val="single" w:sz="8" w:color="313131"/>
            </w:tcBorders>
          </w:tcPr>
          <w:p>
            <w:pPr>
              <w:spacing w:after="0"/>
              <w:rPr>
                <w:sz w:val="3"/>
                <w:szCs w:val="3"/>
                <w:color w:val="auto"/>
              </w:rPr>
            </w:pPr>
          </w:p>
        </w:tc>
        <w:tc>
          <w:tcPr>
            <w:tcW w:w="640" w:type="dxa"/>
            <w:vAlign w:val="bottom"/>
            <w:tcBorders>
              <w:top w:val="single" w:sz="8" w:color="313131"/>
            </w:tcBorders>
          </w:tcPr>
          <w:p>
            <w:pPr>
              <w:spacing w:after="0"/>
              <w:rPr>
                <w:sz w:val="3"/>
                <w:szCs w:val="3"/>
                <w:color w:val="auto"/>
              </w:rPr>
            </w:pPr>
          </w:p>
        </w:tc>
        <w:tc>
          <w:tcPr>
            <w:tcW w:w="360" w:type="dxa"/>
            <w:vAlign w:val="bottom"/>
            <w:tcBorders>
              <w:top w:val="single" w:sz="8" w:color="313131"/>
            </w:tcBorders>
          </w:tcPr>
          <w:p>
            <w:pPr>
              <w:spacing w:after="0"/>
              <w:rPr>
                <w:sz w:val="3"/>
                <w:szCs w:val="3"/>
                <w:color w:val="auto"/>
              </w:rPr>
            </w:pPr>
          </w:p>
        </w:tc>
        <w:tc>
          <w:tcPr>
            <w:tcW w:w="140" w:type="dxa"/>
            <w:vAlign w:val="bottom"/>
            <w:tcBorders>
              <w:top w:val="single" w:sz="8" w:color="313131"/>
            </w:tcBorders>
          </w:tcPr>
          <w:p>
            <w:pPr>
              <w:spacing w:after="0"/>
              <w:rPr>
                <w:sz w:val="3"/>
                <w:szCs w:val="3"/>
                <w:color w:val="auto"/>
              </w:rPr>
            </w:pPr>
          </w:p>
        </w:tc>
        <w:tc>
          <w:tcPr>
            <w:tcW w:w="260" w:type="dxa"/>
            <w:vAlign w:val="bottom"/>
            <w:tcBorders>
              <w:top w:val="single" w:sz="8" w:color="313131"/>
            </w:tcBorders>
          </w:tcPr>
          <w:p>
            <w:pPr>
              <w:spacing w:after="0"/>
              <w:rPr>
                <w:sz w:val="3"/>
                <w:szCs w:val="3"/>
                <w:color w:val="auto"/>
              </w:rPr>
            </w:pPr>
          </w:p>
        </w:tc>
        <w:tc>
          <w:tcPr>
            <w:tcW w:w="180" w:type="dxa"/>
            <w:vAlign w:val="bottom"/>
            <w:tcBorders>
              <w:top w:val="single" w:sz="8" w:color="313131"/>
            </w:tcBorders>
          </w:tcPr>
          <w:p>
            <w:pPr>
              <w:spacing w:after="0"/>
              <w:rPr>
                <w:sz w:val="3"/>
                <w:szCs w:val="3"/>
                <w:color w:val="auto"/>
              </w:rPr>
            </w:pPr>
          </w:p>
        </w:tc>
        <w:tc>
          <w:tcPr>
            <w:tcW w:w="120" w:type="dxa"/>
            <w:vAlign w:val="bottom"/>
            <w:tcBorders>
              <w:top w:val="single" w:sz="8" w:color="313131"/>
            </w:tcBorders>
          </w:tcPr>
          <w:p>
            <w:pPr>
              <w:spacing w:after="0"/>
              <w:rPr>
                <w:sz w:val="3"/>
                <w:szCs w:val="3"/>
                <w:color w:val="auto"/>
              </w:rPr>
            </w:pPr>
          </w:p>
        </w:tc>
        <w:tc>
          <w:tcPr>
            <w:tcW w:w="160" w:type="dxa"/>
            <w:vAlign w:val="bottom"/>
            <w:tcBorders>
              <w:top w:val="single" w:sz="8" w:color="313131"/>
            </w:tcBorders>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9"/>
              </w:rPr>
              <w:t>10.17</w:t>
            </w:r>
          </w:p>
        </w:tc>
        <w:tc>
          <w:tcPr>
            <w:tcW w:w="80" w:type="dxa"/>
            <w:vAlign w:val="bottom"/>
            <w:shd w:val="clear" w:color="auto" w:fill="E9E9E9"/>
          </w:tcPr>
          <w:p>
            <w:pPr>
              <w:spacing w:after="0"/>
              <w:rPr>
                <w:sz w:val="16"/>
                <w:szCs w:val="16"/>
                <w:color w:val="auto"/>
              </w:rPr>
            </w:pPr>
          </w:p>
        </w:tc>
        <w:tc>
          <w:tcPr>
            <w:tcW w:w="40" w:type="dxa"/>
            <w:vAlign w:val="bottom"/>
            <w:shd w:val="clear" w:color="auto" w:fill="E9E9E9"/>
          </w:tcPr>
          <w:p>
            <w:pPr>
              <w:spacing w:after="0"/>
              <w:rPr>
                <w:sz w:val="16"/>
                <w:szCs w:val="16"/>
                <w:color w:val="auto"/>
              </w:rPr>
            </w:pPr>
          </w:p>
        </w:tc>
        <w:tc>
          <w:tcPr>
            <w:tcW w:w="5080" w:type="dxa"/>
            <w:vAlign w:val="bottom"/>
            <w:gridSpan w:val="30"/>
            <w:shd w:val="clear" w:color="auto" w:fill="E9E9E9"/>
          </w:tcPr>
          <w:p>
            <w:pPr>
              <w:spacing w:after="0"/>
              <w:rPr>
                <w:sz w:val="20"/>
                <w:szCs w:val="20"/>
                <w:color w:val="auto"/>
              </w:rPr>
            </w:pPr>
            <w:r>
              <w:rPr>
                <w:rFonts w:ascii="Times New Roman" w:cs="Times New Roman" w:eastAsia="Times New Roman" w:hAnsi="Times New Roman"/>
                <w:sz w:val="16"/>
                <w:szCs w:val="16"/>
                <w:color w:val="313131"/>
              </w:rPr>
              <w:t>Lease, dated December 31, 2015, between the Registrant and WTC TOWER 1</w:t>
            </w:r>
          </w:p>
        </w:tc>
        <w:tc>
          <w:tcPr>
            <w:tcW w:w="100" w:type="dxa"/>
            <w:vAlign w:val="bottom"/>
            <w:shd w:val="clear" w:color="auto" w:fill="E9E9E9"/>
          </w:tcPr>
          <w:p>
            <w:pPr>
              <w:spacing w:after="0"/>
              <w:rPr>
                <w:sz w:val="16"/>
                <w:szCs w:val="16"/>
                <w:color w:val="auto"/>
              </w:rPr>
            </w:pPr>
          </w:p>
        </w:tc>
        <w:tc>
          <w:tcPr>
            <w:tcW w:w="80" w:type="dxa"/>
            <w:vAlign w:val="bottom"/>
            <w:shd w:val="clear" w:color="auto" w:fill="E9E9E9"/>
          </w:tcPr>
          <w:p>
            <w:pPr>
              <w:spacing w:after="0"/>
              <w:rPr>
                <w:sz w:val="16"/>
                <w:szCs w:val="16"/>
                <w:color w:val="auto"/>
              </w:rPr>
            </w:pPr>
          </w:p>
        </w:tc>
        <w:tc>
          <w:tcPr>
            <w:tcW w:w="72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060" w:type="dxa"/>
            <w:vAlign w:val="bottom"/>
            <w:gridSpan w:val="2"/>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8"/>
              </w:rPr>
              <w:t>000-23143</w:t>
            </w:r>
          </w:p>
        </w:tc>
        <w:tc>
          <w:tcPr>
            <w:tcW w:w="940" w:type="dxa"/>
            <w:vAlign w:val="bottom"/>
            <w:gridSpan w:val="2"/>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5"/>
              </w:rPr>
              <w:t>10.46 (21)</w:t>
            </w:r>
          </w:p>
        </w:tc>
        <w:tc>
          <w:tcPr>
            <w:tcW w:w="80" w:type="dxa"/>
            <w:vAlign w:val="bottom"/>
            <w:shd w:val="clear" w:color="auto" w:fill="E9E9E9"/>
          </w:tcPr>
          <w:p>
            <w:pPr>
              <w:spacing w:after="0"/>
              <w:rPr>
                <w:sz w:val="16"/>
                <w:szCs w:val="16"/>
                <w:color w:val="auto"/>
              </w:rPr>
            </w:pPr>
          </w:p>
        </w:tc>
        <w:tc>
          <w:tcPr>
            <w:tcW w:w="150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8"/>
              </w:rPr>
              <w:t>January 5, 2016</w:t>
            </w:r>
          </w:p>
        </w:tc>
        <w:tc>
          <w:tcPr>
            <w:tcW w:w="0" w:type="dxa"/>
            <w:vAlign w:val="bottom"/>
          </w:tcPr>
          <w:p>
            <w:pPr>
              <w:spacing w:after="0"/>
              <w:rPr>
                <w:sz w:val="1"/>
                <w:szCs w:val="1"/>
                <w:color w:val="auto"/>
              </w:rPr>
            </w:pPr>
          </w:p>
        </w:tc>
      </w:tr>
      <w:tr>
        <w:trPr>
          <w:trHeight w:val="137"/>
        </w:trPr>
        <w:tc>
          <w:tcPr>
            <w:tcW w:w="880" w:type="dxa"/>
            <w:vAlign w:val="bottom"/>
            <w:tcBorders>
              <w:top w:val="single" w:sz="8" w:color="E9E9E9"/>
            </w:tcBorders>
            <w:shd w:val="clear" w:color="auto" w:fill="E9E9E9"/>
          </w:tcPr>
          <w:p>
            <w:pPr>
              <w:spacing w:after="0"/>
              <w:rPr>
                <w:sz w:val="11"/>
                <w:szCs w:val="11"/>
                <w:color w:val="auto"/>
              </w:rPr>
            </w:pPr>
          </w:p>
        </w:tc>
        <w:tc>
          <w:tcPr>
            <w:tcW w:w="80" w:type="dxa"/>
            <w:vAlign w:val="bottom"/>
            <w:tcBorders>
              <w:top w:val="single" w:sz="8" w:color="E9E9E9"/>
            </w:tcBorders>
            <w:shd w:val="clear" w:color="auto" w:fill="E9E9E9"/>
          </w:tcPr>
          <w:p>
            <w:pPr>
              <w:spacing w:after="0"/>
              <w:rPr>
                <w:sz w:val="11"/>
                <w:szCs w:val="11"/>
                <w:color w:val="auto"/>
              </w:rPr>
            </w:pPr>
          </w:p>
        </w:tc>
        <w:tc>
          <w:tcPr>
            <w:tcW w:w="40" w:type="dxa"/>
            <w:vAlign w:val="bottom"/>
            <w:tcBorders>
              <w:top w:val="single" w:sz="8" w:color="E9E9E9"/>
            </w:tcBorders>
            <w:shd w:val="clear" w:color="auto" w:fill="E9E9E9"/>
          </w:tcPr>
          <w:p>
            <w:pPr>
              <w:spacing w:after="0"/>
              <w:rPr>
                <w:sz w:val="11"/>
                <w:szCs w:val="11"/>
                <w:color w:val="auto"/>
              </w:rPr>
            </w:pPr>
          </w:p>
        </w:tc>
        <w:tc>
          <w:tcPr>
            <w:tcW w:w="4980" w:type="dxa"/>
            <w:vAlign w:val="bottom"/>
            <w:tcBorders>
              <w:top w:val="single" w:sz="8" w:color="313131"/>
            </w:tcBorders>
            <w:gridSpan w:val="28"/>
            <w:shd w:val="clear" w:color="auto" w:fill="E9E9E9"/>
          </w:tcPr>
          <w:p>
            <w:pPr>
              <w:spacing w:after="0" w:line="137" w:lineRule="exact"/>
              <w:rPr>
                <w:sz w:val="20"/>
                <w:szCs w:val="20"/>
                <w:color w:val="auto"/>
              </w:rPr>
            </w:pPr>
            <w:r>
              <w:rPr>
                <w:rFonts w:ascii="Times New Roman" w:cs="Times New Roman" w:eastAsia="Times New Roman" w:hAnsi="Times New Roman"/>
                <w:sz w:val="15"/>
                <w:szCs w:val="15"/>
                <w:color w:val="313131"/>
              </w:rPr>
              <w:t>LLC.</w:t>
            </w:r>
          </w:p>
        </w:tc>
        <w:tc>
          <w:tcPr>
            <w:tcW w:w="100" w:type="dxa"/>
            <w:vAlign w:val="bottom"/>
            <w:tcBorders>
              <w:top w:val="single" w:sz="8" w:color="E9E9E9"/>
            </w:tcBorders>
            <w:gridSpan w:val="2"/>
            <w:shd w:val="clear" w:color="auto" w:fill="E9E9E9"/>
          </w:tcPr>
          <w:p>
            <w:pPr>
              <w:spacing w:after="0"/>
              <w:rPr>
                <w:sz w:val="11"/>
                <w:szCs w:val="11"/>
                <w:color w:val="auto"/>
              </w:rPr>
            </w:pPr>
          </w:p>
        </w:tc>
        <w:tc>
          <w:tcPr>
            <w:tcW w:w="100" w:type="dxa"/>
            <w:vAlign w:val="bottom"/>
            <w:tcBorders>
              <w:top w:val="single" w:sz="8" w:color="E9E9E9"/>
            </w:tcBorders>
            <w:shd w:val="clear" w:color="auto" w:fill="E9E9E9"/>
          </w:tcPr>
          <w:p>
            <w:pPr>
              <w:spacing w:after="0"/>
              <w:rPr>
                <w:sz w:val="11"/>
                <w:szCs w:val="11"/>
                <w:color w:val="auto"/>
              </w:rPr>
            </w:pPr>
          </w:p>
        </w:tc>
        <w:tc>
          <w:tcPr>
            <w:tcW w:w="80" w:type="dxa"/>
            <w:vAlign w:val="bottom"/>
            <w:tcBorders>
              <w:top w:val="single" w:sz="8" w:color="E9E9E9"/>
            </w:tcBorders>
            <w:shd w:val="clear" w:color="auto" w:fill="E9E9E9"/>
          </w:tcPr>
          <w:p>
            <w:pPr>
              <w:spacing w:after="0"/>
              <w:rPr>
                <w:sz w:val="11"/>
                <w:szCs w:val="11"/>
                <w:color w:val="auto"/>
              </w:rPr>
            </w:pPr>
          </w:p>
        </w:tc>
        <w:tc>
          <w:tcPr>
            <w:tcW w:w="720" w:type="dxa"/>
            <w:vAlign w:val="bottom"/>
            <w:tcBorders>
              <w:top w:val="single" w:sz="8" w:color="E9E9E9"/>
            </w:tcBorders>
            <w:shd w:val="clear" w:color="auto" w:fill="E9E9E9"/>
          </w:tcPr>
          <w:p>
            <w:pPr>
              <w:spacing w:after="0"/>
              <w:rPr>
                <w:sz w:val="11"/>
                <w:szCs w:val="11"/>
                <w:color w:val="auto"/>
              </w:rPr>
            </w:pPr>
          </w:p>
        </w:tc>
        <w:tc>
          <w:tcPr>
            <w:tcW w:w="80" w:type="dxa"/>
            <w:vAlign w:val="bottom"/>
            <w:tcBorders>
              <w:top w:val="single" w:sz="8" w:color="E9E9E9"/>
            </w:tcBorders>
            <w:shd w:val="clear" w:color="auto" w:fill="E9E9E9"/>
          </w:tcPr>
          <w:p>
            <w:pPr>
              <w:spacing w:after="0"/>
              <w:rPr>
                <w:sz w:val="11"/>
                <w:szCs w:val="11"/>
                <w:color w:val="auto"/>
              </w:rPr>
            </w:pPr>
          </w:p>
        </w:tc>
        <w:tc>
          <w:tcPr>
            <w:tcW w:w="980" w:type="dxa"/>
            <w:vAlign w:val="bottom"/>
            <w:tcBorders>
              <w:top w:val="single" w:sz="8" w:color="E9E9E9"/>
            </w:tcBorders>
            <w:shd w:val="clear" w:color="auto" w:fill="E9E9E9"/>
          </w:tcPr>
          <w:p>
            <w:pPr>
              <w:spacing w:after="0"/>
              <w:rPr>
                <w:sz w:val="11"/>
                <w:szCs w:val="11"/>
                <w:color w:val="auto"/>
              </w:rPr>
            </w:pPr>
          </w:p>
        </w:tc>
        <w:tc>
          <w:tcPr>
            <w:tcW w:w="60" w:type="dxa"/>
            <w:vAlign w:val="bottom"/>
            <w:tcBorders>
              <w:top w:val="single" w:sz="8" w:color="E9E9E9"/>
            </w:tcBorders>
            <w:shd w:val="clear" w:color="auto" w:fill="E9E9E9"/>
          </w:tcPr>
          <w:p>
            <w:pPr>
              <w:spacing w:after="0"/>
              <w:rPr>
                <w:sz w:val="11"/>
                <w:szCs w:val="11"/>
                <w:color w:val="auto"/>
              </w:rPr>
            </w:pPr>
          </w:p>
        </w:tc>
        <w:tc>
          <w:tcPr>
            <w:tcW w:w="880" w:type="dxa"/>
            <w:vAlign w:val="bottom"/>
            <w:tcBorders>
              <w:top w:val="single" w:sz="8" w:color="E9E9E9"/>
            </w:tcBorders>
            <w:shd w:val="clear" w:color="auto" w:fill="E9E9E9"/>
          </w:tcPr>
          <w:p>
            <w:pPr>
              <w:spacing w:after="0"/>
              <w:rPr>
                <w:sz w:val="11"/>
                <w:szCs w:val="11"/>
                <w:color w:val="auto"/>
              </w:rPr>
            </w:pPr>
          </w:p>
        </w:tc>
        <w:tc>
          <w:tcPr>
            <w:tcW w:w="80" w:type="dxa"/>
            <w:vAlign w:val="bottom"/>
            <w:tcBorders>
              <w:top w:val="single" w:sz="8" w:color="E9E9E9"/>
            </w:tcBorders>
            <w:shd w:val="clear" w:color="auto" w:fill="E9E9E9"/>
          </w:tcPr>
          <w:p>
            <w:pPr>
              <w:spacing w:after="0"/>
              <w:rPr>
                <w:sz w:val="11"/>
                <w:szCs w:val="11"/>
                <w:color w:val="auto"/>
              </w:rPr>
            </w:pPr>
          </w:p>
        </w:tc>
        <w:tc>
          <w:tcPr>
            <w:tcW w:w="1500" w:type="dxa"/>
            <w:vAlign w:val="bottom"/>
            <w:tcBorders>
              <w:top w:val="single" w:sz="8" w:color="E9E9E9"/>
            </w:tcBorders>
            <w:shd w:val="clear" w:color="auto" w:fill="E9E9E9"/>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880" w:type="dxa"/>
            <w:vAlign w:val="bottom"/>
            <w:tcBorders>
              <w:top w:val="single" w:sz="8" w:color="E9E9E9"/>
            </w:tcBorders>
            <w:shd w:val="clear" w:color="auto" w:fill="E9E9E9"/>
          </w:tcPr>
          <w:p>
            <w:pPr>
              <w:spacing w:after="0"/>
              <w:rPr>
                <w:sz w:val="3"/>
                <w:szCs w:val="3"/>
                <w:color w:val="auto"/>
              </w:rPr>
            </w:pPr>
          </w:p>
        </w:tc>
        <w:tc>
          <w:tcPr>
            <w:tcW w:w="80" w:type="dxa"/>
            <w:vAlign w:val="bottom"/>
            <w:tcBorders>
              <w:top w:val="single" w:sz="8" w:color="E9E9E9"/>
            </w:tcBorders>
            <w:shd w:val="clear" w:color="auto" w:fill="E9E9E9"/>
          </w:tcPr>
          <w:p>
            <w:pPr>
              <w:spacing w:after="0"/>
              <w:rPr>
                <w:sz w:val="3"/>
                <w:szCs w:val="3"/>
                <w:color w:val="auto"/>
              </w:rPr>
            </w:pPr>
          </w:p>
        </w:tc>
        <w:tc>
          <w:tcPr>
            <w:tcW w:w="40" w:type="dxa"/>
            <w:vAlign w:val="bottom"/>
            <w:tcBorders>
              <w:top w:val="single" w:sz="8" w:color="E9E9E9"/>
            </w:tcBorders>
            <w:shd w:val="clear" w:color="auto" w:fill="E9E9E9"/>
          </w:tcPr>
          <w:p>
            <w:pPr>
              <w:spacing w:after="0"/>
              <w:rPr>
                <w:sz w:val="3"/>
                <w:szCs w:val="3"/>
                <w:color w:val="auto"/>
              </w:rPr>
            </w:pPr>
          </w:p>
        </w:tc>
        <w:tc>
          <w:tcPr>
            <w:tcW w:w="340" w:type="dxa"/>
            <w:vAlign w:val="bottom"/>
            <w:tcBorders>
              <w:top w:val="single" w:sz="8" w:color="313131"/>
            </w:tcBorders>
            <w:shd w:val="clear" w:color="auto" w:fill="E9E9E9"/>
          </w:tcPr>
          <w:p>
            <w:pPr>
              <w:spacing w:after="0"/>
              <w:rPr>
                <w:sz w:val="3"/>
                <w:szCs w:val="3"/>
                <w:color w:val="auto"/>
              </w:rPr>
            </w:pPr>
          </w:p>
        </w:tc>
        <w:tc>
          <w:tcPr>
            <w:tcW w:w="460" w:type="dxa"/>
            <w:vAlign w:val="bottom"/>
            <w:tcBorders>
              <w:top w:val="single" w:sz="8" w:color="E9E9E9"/>
            </w:tcBorders>
            <w:shd w:val="clear" w:color="auto" w:fill="E9E9E9"/>
          </w:tcPr>
          <w:p>
            <w:pPr>
              <w:spacing w:after="0"/>
              <w:rPr>
                <w:sz w:val="3"/>
                <w:szCs w:val="3"/>
                <w:color w:val="auto"/>
              </w:rPr>
            </w:pPr>
          </w:p>
        </w:tc>
        <w:tc>
          <w:tcPr>
            <w:tcW w:w="920" w:type="dxa"/>
            <w:vAlign w:val="bottom"/>
            <w:tcBorders>
              <w:top w:val="single" w:sz="8" w:color="E9E9E9"/>
            </w:tcBorders>
            <w:shd w:val="clear" w:color="auto" w:fill="E9E9E9"/>
          </w:tcPr>
          <w:p>
            <w:pPr>
              <w:spacing w:after="0"/>
              <w:rPr>
                <w:sz w:val="3"/>
                <w:szCs w:val="3"/>
                <w:color w:val="auto"/>
              </w:rPr>
            </w:pPr>
          </w:p>
        </w:tc>
        <w:tc>
          <w:tcPr>
            <w:tcW w:w="640" w:type="dxa"/>
            <w:vAlign w:val="bottom"/>
            <w:tcBorders>
              <w:top w:val="single" w:sz="8" w:color="E9E9E9"/>
            </w:tcBorders>
            <w:shd w:val="clear" w:color="auto" w:fill="E9E9E9"/>
          </w:tcPr>
          <w:p>
            <w:pPr>
              <w:spacing w:after="0"/>
              <w:rPr>
                <w:sz w:val="3"/>
                <w:szCs w:val="3"/>
                <w:color w:val="auto"/>
              </w:rPr>
            </w:pPr>
          </w:p>
        </w:tc>
        <w:tc>
          <w:tcPr>
            <w:tcW w:w="360" w:type="dxa"/>
            <w:vAlign w:val="bottom"/>
            <w:tcBorders>
              <w:top w:val="single" w:sz="8" w:color="E9E9E9"/>
            </w:tcBorders>
            <w:shd w:val="clear" w:color="auto" w:fill="E9E9E9"/>
          </w:tcPr>
          <w:p>
            <w:pPr>
              <w:spacing w:after="0"/>
              <w:rPr>
                <w:sz w:val="3"/>
                <w:szCs w:val="3"/>
                <w:color w:val="auto"/>
              </w:rPr>
            </w:pPr>
          </w:p>
        </w:tc>
        <w:tc>
          <w:tcPr>
            <w:tcW w:w="140" w:type="dxa"/>
            <w:vAlign w:val="bottom"/>
            <w:tcBorders>
              <w:top w:val="single" w:sz="8" w:color="E9E9E9"/>
            </w:tcBorders>
            <w:shd w:val="clear" w:color="auto" w:fill="E9E9E9"/>
          </w:tcPr>
          <w:p>
            <w:pPr>
              <w:spacing w:after="0"/>
              <w:rPr>
                <w:sz w:val="3"/>
                <w:szCs w:val="3"/>
                <w:color w:val="auto"/>
              </w:rPr>
            </w:pPr>
          </w:p>
        </w:tc>
        <w:tc>
          <w:tcPr>
            <w:tcW w:w="260" w:type="dxa"/>
            <w:vAlign w:val="bottom"/>
            <w:tcBorders>
              <w:top w:val="single" w:sz="8" w:color="E9E9E9"/>
            </w:tcBorders>
            <w:shd w:val="clear" w:color="auto" w:fill="E9E9E9"/>
          </w:tcPr>
          <w:p>
            <w:pPr>
              <w:spacing w:after="0"/>
              <w:rPr>
                <w:sz w:val="3"/>
                <w:szCs w:val="3"/>
                <w:color w:val="auto"/>
              </w:rPr>
            </w:pPr>
          </w:p>
        </w:tc>
        <w:tc>
          <w:tcPr>
            <w:tcW w:w="180" w:type="dxa"/>
            <w:vAlign w:val="bottom"/>
            <w:tcBorders>
              <w:top w:val="single" w:sz="8" w:color="E9E9E9"/>
            </w:tcBorders>
            <w:shd w:val="clear" w:color="auto" w:fill="E9E9E9"/>
          </w:tcPr>
          <w:p>
            <w:pPr>
              <w:spacing w:after="0"/>
              <w:rPr>
                <w:sz w:val="3"/>
                <w:szCs w:val="3"/>
                <w:color w:val="auto"/>
              </w:rPr>
            </w:pPr>
          </w:p>
        </w:tc>
        <w:tc>
          <w:tcPr>
            <w:tcW w:w="120" w:type="dxa"/>
            <w:vAlign w:val="bottom"/>
            <w:tcBorders>
              <w:top w:val="single" w:sz="8" w:color="E9E9E9"/>
            </w:tcBorders>
            <w:shd w:val="clear" w:color="auto" w:fill="E9E9E9"/>
          </w:tcPr>
          <w:p>
            <w:pPr>
              <w:spacing w:after="0"/>
              <w:rPr>
                <w:sz w:val="3"/>
                <w:szCs w:val="3"/>
                <w:color w:val="auto"/>
              </w:rPr>
            </w:pPr>
          </w:p>
        </w:tc>
        <w:tc>
          <w:tcPr>
            <w:tcW w:w="160" w:type="dxa"/>
            <w:vAlign w:val="bottom"/>
            <w:tcBorders>
              <w:top w:val="single" w:sz="8" w:color="E9E9E9"/>
            </w:tcBorders>
            <w:shd w:val="clear" w:color="auto" w:fill="E9E9E9"/>
          </w:tcPr>
          <w:p>
            <w:pPr>
              <w:spacing w:after="0"/>
              <w:rPr>
                <w:sz w:val="3"/>
                <w:szCs w:val="3"/>
                <w:color w:val="auto"/>
              </w:rPr>
            </w:pPr>
          </w:p>
        </w:tc>
        <w:tc>
          <w:tcPr>
            <w:tcW w:w="100" w:type="dxa"/>
            <w:vAlign w:val="bottom"/>
            <w:tcBorders>
              <w:top w:val="single" w:sz="8" w:color="E9E9E9"/>
            </w:tcBorders>
            <w:shd w:val="clear" w:color="auto" w:fill="E9E9E9"/>
          </w:tcPr>
          <w:p>
            <w:pPr>
              <w:spacing w:after="0"/>
              <w:rPr>
                <w:sz w:val="3"/>
                <w:szCs w:val="3"/>
                <w:color w:val="auto"/>
              </w:rPr>
            </w:pPr>
          </w:p>
        </w:tc>
        <w:tc>
          <w:tcPr>
            <w:tcW w:w="500" w:type="dxa"/>
            <w:vAlign w:val="bottom"/>
            <w:tcBorders>
              <w:top w:val="single" w:sz="8" w:color="E9E9E9"/>
            </w:tcBorders>
            <w:shd w:val="clear" w:color="auto" w:fill="E9E9E9"/>
          </w:tcPr>
          <w:p>
            <w:pPr>
              <w:spacing w:after="0"/>
              <w:rPr>
                <w:sz w:val="3"/>
                <w:szCs w:val="3"/>
                <w:color w:val="auto"/>
              </w:rPr>
            </w:pPr>
          </w:p>
        </w:tc>
        <w:tc>
          <w:tcPr>
            <w:tcW w:w="80" w:type="dxa"/>
            <w:vAlign w:val="bottom"/>
            <w:tcBorders>
              <w:top w:val="single" w:sz="8" w:color="E9E9E9"/>
            </w:tcBorders>
            <w:shd w:val="clear" w:color="auto" w:fill="E9E9E9"/>
          </w:tcPr>
          <w:p>
            <w:pPr>
              <w:spacing w:after="0"/>
              <w:rPr>
                <w:sz w:val="3"/>
                <w:szCs w:val="3"/>
                <w:color w:val="auto"/>
              </w:rPr>
            </w:pPr>
          </w:p>
        </w:tc>
        <w:tc>
          <w:tcPr>
            <w:tcW w:w="20" w:type="dxa"/>
            <w:vAlign w:val="bottom"/>
            <w:tcBorders>
              <w:top w:val="single" w:sz="8" w:color="E9E9E9"/>
            </w:tcBorders>
            <w:shd w:val="clear" w:color="auto" w:fill="E9E9E9"/>
          </w:tcPr>
          <w:p>
            <w:pPr>
              <w:spacing w:after="0"/>
              <w:rPr>
                <w:sz w:val="3"/>
                <w:szCs w:val="3"/>
                <w:color w:val="auto"/>
              </w:rPr>
            </w:pPr>
          </w:p>
        </w:tc>
        <w:tc>
          <w:tcPr>
            <w:tcW w:w="20" w:type="dxa"/>
            <w:vAlign w:val="bottom"/>
            <w:tcBorders>
              <w:top w:val="single" w:sz="8" w:color="E9E9E9"/>
            </w:tcBorders>
            <w:shd w:val="clear" w:color="auto" w:fill="E9E9E9"/>
          </w:tcPr>
          <w:p>
            <w:pPr>
              <w:spacing w:after="0"/>
              <w:rPr>
                <w:sz w:val="3"/>
                <w:szCs w:val="3"/>
                <w:color w:val="auto"/>
              </w:rPr>
            </w:pPr>
          </w:p>
        </w:tc>
        <w:tc>
          <w:tcPr>
            <w:tcW w:w="80" w:type="dxa"/>
            <w:vAlign w:val="bottom"/>
            <w:tcBorders>
              <w:top w:val="single" w:sz="8" w:color="E9E9E9"/>
            </w:tcBorders>
            <w:shd w:val="clear" w:color="auto" w:fill="E9E9E9"/>
          </w:tcPr>
          <w:p>
            <w:pPr>
              <w:spacing w:after="0"/>
              <w:rPr>
                <w:sz w:val="3"/>
                <w:szCs w:val="3"/>
                <w:color w:val="auto"/>
              </w:rPr>
            </w:pPr>
          </w:p>
        </w:tc>
        <w:tc>
          <w:tcPr>
            <w:tcW w:w="20" w:type="dxa"/>
            <w:vAlign w:val="bottom"/>
            <w:tcBorders>
              <w:top w:val="single" w:sz="8" w:color="E9E9E9"/>
            </w:tcBorders>
            <w:shd w:val="clear" w:color="auto" w:fill="E9E9E9"/>
          </w:tcPr>
          <w:p>
            <w:pPr>
              <w:spacing w:after="0"/>
              <w:rPr>
                <w:sz w:val="3"/>
                <w:szCs w:val="3"/>
                <w:color w:val="auto"/>
              </w:rPr>
            </w:pPr>
          </w:p>
        </w:tc>
        <w:tc>
          <w:tcPr>
            <w:tcW w:w="200" w:type="dxa"/>
            <w:vAlign w:val="bottom"/>
            <w:tcBorders>
              <w:top w:val="single" w:sz="8" w:color="E9E9E9"/>
            </w:tcBorders>
            <w:shd w:val="clear" w:color="auto" w:fill="E9E9E9"/>
          </w:tcPr>
          <w:p>
            <w:pPr>
              <w:spacing w:after="0"/>
              <w:rPr>
                <w:sz w:val="3"/>
                <w:szCs w:val="3"/>
                <w:color w:val="auto"/>
              </w:rPr>
            </w:pPr>
          </w:p>
        </w:tc>
        <w:tc>
          <w:tcPr>
            <w:tcW w:w="20" w:type="dxa"/>
            <w:vAlign w:val="bottom"/>
            <w:tcBorders>
              <w:top w:val="single" w:sz="8" w:color="E9E9E9"/>
            </w:tcBorders>
            <w:shd w:val="clear" w:color="auto" w:fill="E9E9E9"/>
          </w:tcPr>
          <w:p>
            <w:pPr>
              <w:spacing w:after="0"/>
              <w:rPr>
                <w:sz w:val="3"/>
                <w:szCs w:val="3"/>
                <w:color w:val="auto"/>
              </w:rPr>
            </w:pPr>
          </w:p>
        </w:tc>
        <w:tc>
          <w:tcPr>
            <w:tcW w:w="80" w:type="dxa"/>
            <w:vAlign w:val="bottom"/>
            <w:tcBorders>
              <w:top w:val="single" w:sz="8" w:color="E9E9E9"/>
            </w:tcBorders>
            <w:shd w:val="clear" w:color="auto" w:fill="E9E9E9"/>
          </w:tcPr>
          <w:p>
            <w:pPr>
              <w:spacing w:after="0"/>
              <w:rPr>
                <w:sz w:val="3"/>
                <w:szCs w:val="3"/>
                <w:color w:val="auto"/>
              </w:rPr>
            </w:pPr>
          </w:p>
        </w:tc>
        <w:tc>
          <w:tcPr>
            <w:tcW w:w="20" w:type="dxa"/>
            <w:vAlign w:val="bottom"/>
            <w:tcBorders>
              <w:top w:val="single" w:sz="8" w:color="E9E9E9"/>
            </w:tcBorders>
            <w:shd w:val="clear" w:color="auto" w:fill="E9E9E9"/>
          </w:tcPr>
          <w:p>
            <w:pPr>
              <w:spacing w:after="0"/>
              <w:rPr>
                <w:sz w:val="3"/>
                <w:szCs w:val="3"/>
                <w:color w:val="auto"/>
              </w:rPr>
            </w:pPr>
          </w:p>
        </w:tc>
        <w:tc>
          <w:tcPr>
            <w:tcW w:w="20" w:type="dxa"/>
            <w:vAlign w:val="bottom"/>
            <w:tcBorders>
              <w:top w:val="single" w:sz="8" w:color="E9E9E9"/>
            </w:tcBorders>
            <w:shd w:val="clear" w:color="auto" w:fill="E9E9E9"/>
          </w:tcPr>
          <w:p>
            <w:pPr>
              <w:spacing w:after="0"/>
              <w:rPr>
                <w:sz w:val="3"/>
                <w:szCs w:val="3"/>
                <w:color w:val="auto"/>
              </w:rPr>
            </w:pPr>
          </w:p>
        </w:tc>
        <w:tc>
          <w:tcPr>
            <w:tcW w:w="60" w:type="dxa"/>
            <w:vAlign w:val="bottom"/>
            <w:tcBorders>
              <w:top w:val="single" w:sz="8" w:color="E9E9E9"/>
            </w:tcBorders>
            <w:shd w:val="clear" w:color="auto" w:fill="E9E9E9"/>
          </w:tcPr>
          <w:p>
            <w:pPr>
              <w:spacing w:after="0"/>
              <w:rPr>
                <w:sz w:val="3"/>
                <w:szCs w:val="3"/>
                <w:color w:val="auto"/>
              </w:rPr>
            </w:pPr>
          </w:p>
        </w:tc>
        <w:tc>
          <w:tcPr>
            <w:tcW w:w="20" w:type="dxa"/>
            <w:vAlign w:val="bottom"/>
            <w:tcBorders>
              <w:top w:val="single" w:sz="8" w:color="E9E9E9"/>
            </w:tcBorders>
            <w:shd w:val="clear" w:color="auto" w:fill="E9E9E9"/>
          </w:tcPr>
          <w:p>
            <w:pPr>
              <w:spacing w:after="0"/>
              <w:rPr>
                <w:sz w:val="3"/>
                <w:szCs w:val="3"/>
                <w:color w:val="auto"/>
              </w:rPr>
            </w:pPr>
          </w:p>
        </w:tc>
        <w:tc>
          <w:tcPr>
            <w:tcW w:w="80" w:type="dxa"/>
            <w:vAlign w:val="bottom"/>
            <w:tcBorders>
              <w:top w:val="single" w:sz="8" w:color="E9E9E9"/>
            </w:tcBorders>
            <w:shd w:val="clear" w:color="auto" w:fill="E9E9E9"/>
          </w:tcPr>
          <w:p>
            <w:pPr>
              <w:spacing w:after="0"/>
              <w:rPr>
                <w:sz w:val="3"/>
                <w:szCs w:val="3"/>
                <w:color w:val="auto"/>
              </w:rPr>
            </w:pPr>
          </w:p>
        </w:tc>
        <w:tc>
          <w:tcPr>
            <w:tcW w:w="40" w:type="dxa"/>
            <w:vAlign w:val="bottom"/>
            <w:tcBorders>
              <w:top w:val="single" w:sz="8" w:color="E9E9E9"/>
            </w:tcBorders>
            <w:shd w:val="clear" w:color="auto" w:fill="E9E9E9"/>
          </w:tcPr>
          <w:p>
            <w:pPr>
              <w:spacing w:after="0"/>
              <w:rPr>
                <w:sz w:val="3"/>
                <w:szCs w:val="3"/>
                <w:color w:val="auto"/>
              </w:rPr>
            </w:pPr>
          </w:p>
        </w:tc>
        <w:tc>
          <w:tcPr>
            <w:tcW w:w="20" w:type="dxa"/>
            <w:vAlign w:val="bottom"/>
            <w:tcBorders>
              <w:top w:val="single" w:sz="8" w:color="E9E9E9"/>
            </w:tcBorders>
            <w:shd w:val="clear" w:color="auto" w:fill="E9E9E9"/>
          </w:tcPr>
          <w:p>
            <w:pPr>
              <w:spacing w:after="0"/>
              <w:rPr>
                <w:sz w:val="3"/>
                <w:szCs w:val="3"/>
                <w:color w:val="auto"/>
              </w:rPr>
            </w:pPr>
          </w:p>
        </w:tc>
        <w:tc>
          <w:tcPr>
            <w:tcW w:w="20" w:type="dxa"/>
            <w:vAlign w:val="bottom"/>
            <w:tcBorders>
              <w:top w:val="single" w:sz="8" w:color="E9E9E9"/>
            </w:tcBorders>
            <w:shd w:val="clear" w:color="auto" w:fill="E9E9E9"/>
          </w:tcPr>
          <w:p>
            <w:pPr>
              <w:spacing w:after="0"/>
              <w:rPr>
                <w:sz w:val="3"/>
                <w:szCs w:val="3"/>
                <w:color w:val="auto"/>
              </w:rPr>
            </w:pPr>
          </w:p>
        </w:tc>
        <w:tc>
          <w:tcPr>
            <w:tcW w:w="80" w:type="dxa"/>
            <w:vAlign w:val="bottom"/>
            <w:tcBorders>
              <w:top w:val="single" w:sz="8" w:color="E9E9E9"/>
            </w:tcBorders>
            <w:shd w:val="clear" w:color="auto" w:fill="E9E9E9"/>
          </w:tcPr>
          <w:p>
            <w:pPr>
              <w:spacing w:after="0"/>
              <w:rPr>
                <w:sz w:val="3"/>
                <w:szCs w:val="3"/>
                <w:color w:val="auto"/>
              </w:rPr>
            </w:pPr>
          </w:p>
        </w:tc>
        <w:tc>
          <w:tcPr>
            <w:tcW w:w="20" w:type="dxa"/>
            <w:vAlign w:val="bottom"/>
            <w:tcBorders>
              <w:top w:val="single" w:sz="8" w:color="E9E9E9"/>
            </w:tcBorders>
            <w:shd w:val="clear" w:color="auto" w:fill="E9E9E9"/>
          </w:tcPr>
          <w:p>
            <w:pPr>
              <w:spacing w:after="0"/>
              <w:rPr>
                <w:sz w:val="3"/>
                <w:szCs w:val="3"/>
                <w:color w:val="auto"/>
              </w:rPr>
            </w:pPr>
          </w:p>
        </w:tc>
        <w:tc>
          <w:tcPr>
            <w:tcW w:w="100" w:type="dxa"/>
            <w:vAlign w:val="bottom"/>
            <w:tcBorders>
              <w:top w:val="single" w:sz="8" w:color="E9E9E9"/>
            </w:tcBorders>
            <w:shd w:val="clear" w:color="auto" w:fill="E9E9E9"/>
          </w:tcPr>
          <w:p>
            <w:pPr>
              <w:spacing w:after="0"/>
              <w:rPr>
                <w:sz w:val="3"/>
                <w:szCs w:val="3"/>
                <w:color w:val="auto"/>
              </w:rPr>
            </w:pPr>
          </w:p>
        </w:tc>
        <w:tc>
          <w:tcPr>
            <w:tcW w:w="80" w:type="dxa"/>
            <w:vAlign w:val="bottom"/>
            <w:tcBorders>
              <w:top w:val="single" w:sz="8" w:color="E9E9E9"/>
            </w:tcBorders>
            <w:shd w:val="clear" w:color="auto" w:fill="E9E9E9"/>
          </w:tcPr>
          <w:p>
            <w:pPr>
              <w:spacing w:after="0"/>
              <w:rPr>
                <w:sz w:val="3"/>
                <w:szCs w:val="3"/>
                <w:color w:val="auto"/>
              </w:rPr>
            </w:pPr>
          </w:p>
        </w:tc>
        <w:tc>
          <w:tcPr>
            <w:tcW w:w="720" w:type="dxa"/>
            <w:vAlign w:val="bottom"/>
            <w:tcBorders>
              <w:top w:val="single" w:sz="8" w:color="E9E9E9"/>
            </w:tcBorders>
            <w:shd w:val="clear" w:color="auto" w:fill="E9E9E9"/>
          </w:tcPr>
          <w:p>
            <w:pPr>
              <w:spacing w:after="0"/>
              <w:rPr>
                <w:sz w:val="3"/>
                <w:szCs w:val="3"/>
                <w:color w:val="auto"/>
              </w:rPr>
            </w:pPr>
          </w:p>
        </w:tc>
        <w:tc>
          <w:tcPr>
            <w:tcW w:w="80" w:type="dxa"/>
            <w:vAlign w:val="bottom"/>
            <w:tcBorders>
              <w:top w:val="single" w:sz="8" w:color="E9E9E9"/>
            </w:tcBorders>
            <w:shd w:val="clear" w:color="auto" w:fill="E9E9E9"/>
          </w:tcPr>
          <w:p>
            <w:pPr>
              <w:spacing w:after="0"/>
              <w:rPr>
                <w:sz w:val="3"/>
                <w:szCs w:val="3"/>
                <w:color w:val="auto"/>
              </w:rPr>
            </w:pPr>
          </w:p>
        </w:tc>
        <w:tc>
          <w:tcPr>
            <w:tcW w:w="980" w:type="dxa"/>
            <w:vAlign w:val="bottom"/>
            <w:tcBorders>
              <w:top w:val="single" w:sz="8" w:color="E9E9E9"/>
            </w:tcBorders>
            <w:shd w:val="clear" w:color="auto" w:fill="E9E9E9"/>
          </w:tcPr>
          <w:p>
            <w:pPr>
              <w:spacing w:after="0"/>
              <w:rPr>
                <w:sz w:val="3"/>
                <w:szCs w:val="3"/>
                <w:color w:val="auto"/>
              </w:rPr>
            </w:pPr>
          </w:p>
        </w:tc>
        <w:tc>
          <w:tcPr>
            <w:tcW w:w="60" w:type="dxa"/>
            <w:vAlign w:val="bottom"/>
            <w:tcBorders>
              <w:top w:val="single" w:sz="8" w:color="E9E9E9"/>
            </w:tcBorders>
            <w:shd w:val="clear" w:color="auto" w:fill="E9E9E9"/>
          </w:tcPr>
          <w:p>
            <w:pPr>
              <w:spacing w:after="0"/>
              <w:rPr>
                <w:sz w:val="3"/>
                <w:szCs w:val="3"/>
                <w:color w:val="auto"/>
              </w:rPr>
            </w:pPr>
          </w:p>
        </w:tc>
        <w:tc>
          <w:tcPr>
            <w:tcW w:w="880" w:type="dxa"/>
            <w:vAlign w:val="bottom"/>
            <w:tcBorders>
              <w:top w:val="single" w:sz="8" w:color="E9E9E9"/>
            </w:tcBorders>
            <w:shd w:val="clear" w:color="auto" w:fill="E9E9E9"/>
          </w:tcPr>
          <w:p>
            <w:pPr>
              <w:spacing w:after="0"/>
              <w:rPr>
                <w:sz w:val="3"/>
                <w:szCs w:val="3"/>
                <w:color w:val="auto"/>
              </w:rPr>
            </w:pPr>
          </w:p>
        </w:tc>
        <w:tc>
          <w:tcPr>
            <w:tcW w:w="80" w:type="dxa"/>
            <w:vAlign w:val="bottom"/>
            <w:tcBorders>
              <w:top w:val="single" w:sz="8" w:color="E9E9E9"/>
            </w:tcBorders>
            <w:shd w:val="clear" w:color="auto" w:fill="E9E9E9"/>
          </w:tcPr>
          <w:p>
            <w:pPr>
              <w:spacing w:after="0"/>
              <w:rPr>
                <w:sz w:val="3"/>
                <w:szCs w:val="3"/>
                <w:color w:val="auto"/>
              </w:rPr>
            </w:pPr>
          </w:p>
        </w:tc>
        <w:tc>
          <w:tcPr>
            <w:tcW w:w="1500" w:type="dxa"/>
            <w:vAlign w:val="bottom"/>
            <w:tcBorders>
              <w:top w:val="single" w:sz="8" w:color="E9E9E9"/>
            </w:tcBorders>
            <w:shd w:val="clear" w:color="auto" w:fill="E9E9E9"/>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600" w:h="16200" w:orient="portrait"/>
          <w:cols w:equalWidth="0" w:num="1">
            <w:col w:w="10600"/>
          </w:cols>
          <w:pgMar w:left="1000" w:top="975" w:right="1000" w:bottom="83" w:gutter="0" w:footer="0" w:header="0"/>
        </w:sectPr>
      </w:pP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124</w:t>
      </w:r>
    </w:p>
    <w:p>
      <w:pPr>
        <w:sectPr>
          <w:pgSz w:w="12600" w:h="16200" w:orient="portrait"/>
          <w:cols w:equalWidth="0" w:num="1">
            <w:col w:w="10600"/>
          </w:cols>
          <w:pgMar w:left="1000" w:top="975" w:right="1000" w:bottom="83" w:gutter="0" w:footer="0" w:header="0"/>
          <w:type w:val="continuous"/>
        </w:sectPr>
      </w:pPr>
    </w:p>
    <w:bookmarkStart w:id="130" w:name="page131"/>
    <w:bookmarkEnd w:id="130"/>
    <w:tbl>
      <w:tblPr>
        <w:tblLayout w:type="fixed"/>
        <w:tblInd w:w="0" w:type="dxa"/>
        <w:tblCellMar>
          <w:top w:w="0" w:type="dxa"/>
          <w:left w:w="0" w:type="dxa"/>
          <w:bottom w:w="0" w:type="dxa"/>
          <w:right w:w="0" w:type="dxa"/>
        </w:tblCellMar>
      </w:tblPr>
      <w:tr>
        <w:trPr>
          <w:trHeight w:val="214"/>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0" w:type="dxa"/>
            <w:vAlign w:val="bottom"/>
          </w:tcPr>
          <w:p>
            <w:pPr>
              <w:spacing w:after="0"/>
              <w:rPr>
                <w:sz w:val="1"/>
                <w:szCs w:val="1"/>
                <w:color w:val="auto"/>
              </w:rPr>
            </w:pPr>
          </w:p>
        </w:tc>
      </w:tr>
      <w:tr>
        <w:trPr>
          <w:trHeight w:val="182"/>
        </w:trPr>
        <w:tc>
          <w:tcPr>
            <w:tcW w:w="88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8"/>
              </w:rPr>
              <w:t>Exhibit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940" w:type="dxa"/>
            <w:vAlign w:val="bottom"/>
            <w:gridSpan w:val="38"/>
            <w:vMerge w:val="restart"/>
          </w:tcPr>
          <w:p>
            <w:pPr>
              <w:ind w:left="620"/>
              <w:spacing w:after="0"/>
              <w:rPr>
                <w:sz w:val="20"/>
                <w:szCs w:val="20"/>
                <w:color w:val="auto"/>
              </w:rPr>
            </w:pPr>
            <w:r>
              <w:rPr>
                <w:rFonts w:ascii="Times New Roman" w:cs="Times New Roman" w:eastAsia="Times New Roman" w:hAnsi="Times New Roman"/>
                <w:sz w:val="16"/>
                <w:szCs w:val="16"/>
                <w:b w:val="1"/>
                <w:bCs w:val="1"/>
                <w:color w:val="auto"/>
              </w:rPr>
              <w:t>Description of Exhibits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Form</w:t>
            </w:r>
          </w:p>
        </w:tc>
        <w:tc>
          <w:tcPr>
            <w:tcW w:w="80" w:type="dxa"/>
            <w:vAlign w:val="bottom"/>
          </w:tcPr>
          <w:p>
            <w:pPr>
              <w:spacing w:after="0"/>
              <w:rPr>
                <w:sz w:val="15"/>
                <w:szCs w:val="15"/>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File Number</w:t>
            </w:r>
          </w:p>
        </w:tc>
        <w:tc>
          <w:tcPr>
            <w:tcW w:w="60" w:type="dxa"/>
            <w:vAlign w:val="bottom"/>
          </w:tcPr>
          <w:p>
            <w:pPr>
              <w:spacing w:after="0"/>
              <w:rPr>
                <w:sz w:val="15"/>
                <w:szCs w:val="15"/>
                <w:color w:val="auto"/>
              </w:rPr>
            </w:pPr>
          </w:p>
        </w:tc>
        <w:tc>
          <w:tcPr>
            <w:tcW w:w="8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80" w:type="dxa"/>
            <w:vAlign w:val="bottom"/>
          </w:tcPr>
          <w:p>
            <w:pPr>
              <w:spacing w:after="0"/>
              <w:rPr>
                <w:sz w:val="15"/>
                <w:szCs w:val="15"/>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Filing Date</w:t>
            </w:r>
          </w:p>
        </w:tc>
        <w:tc>
          <w:tcPr>
            <w:tcW w:w="0" w:type="dxa"/>
            <w:vAlign w:val="bottom"/>
          </w:tcPr>
          <w:p>
            <w:pPr>
              <w:spacing w:after="0"/>
              <w:rPr>
                <w:sz w:val="1"/>
                <w:szCs w:val="1"/>
                <w:color w:val="auto"/>
              </w:rPr>
            </w:pPr>
          </w:p>
        </w:tc>
      </w:tr>
      <w:tr>
        <w:trPr>
          <w:trHeight w:val="210"/>
        </w:trPr>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38"/>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10.18+</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120" w:type="dxa"/>
            <w:vAlign w:val="bottom"/>
            <w:gridSpan w:val="43"/>
          </w:tcPr>
          <w:p>
            <w:pPr>
              <w:spacing w:after="0"/>
              <w:rPr>
                <w:sz w:val="20"/>
                <w:szCs w:val="20"/>
                <w:color w:val="auto"/>
              </w:rPr>
            </w:pPr>
            <w:r>
              <w:rPr>
                <w:rFonts w:ascii="Times New Roman" w:cs="Times New Roman" w:eastAsia="Times New Roman" w:hAnsi="Times New Roman"/>
                <w:sz w:val="16"/>
                <w:szCs w:val="16"/>
                <w:color w:val="313131"/>
              </w:rPr>
              <w:t>Fifth Amendment to Lantheus Holdings, Inc. 2015 Equity Incentive Plan</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001-36569</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April 29, 2021</w:t>
            </w:r>
          </w:p>
        </w:tc>
        <w:tc>
          <w:tcPr>
            <w:tcW w:w="0" w:type="dxa"/>
            <w:vAlign w:val="bottom"/>
          </w:tcPr>
          <w:p>
            <w:pPr>
              <w:spacing w:after="0"/>
              <w:rPr>
                <w:sz w:val="1"/>
                <w:szCs w:val="1"/>
                <w:color w:val="auto"/>
              </w:rPr>
            </w:pPr>
          </w:p>
        </w:tc>
      </w:tr>
      <w:tr>
        <w:trPr>
          <w:trHeight w:val="35"/>
        </w:trPr>
        <w:tc>
          <w:tcPr>
            <w:tcW w:w="1000" w:type="dxa"/>
            <w:vAlign w:val="bottom"/>
            <w:gridSpan w:val="3"/>
          </w:tcPr>
          <w:p>
            <w:pPr>
              <w:spacing w:after="0"/>
              <w:rPr>
                <w:sz w:val="3"/>
                <w:szCs w:val="3"/>
                <w:color w:val="auto"/>
              </w:rPr>
            </w:pPr>
          </w:p>
        </w:tc>
        <w:tc>
          <w:tcPr>
            <w:tcW w:w="4580" w:type="dxa"/>
            <w:vAlign w:val="bottom"/>
            <w:tcBorders>
              <w:top w:val="single" w:sz="8" w:color="313131"/>
            </w:tcBorders>
            <w:gridSpan w:val="23"/>
          </w:tcPr>
          <w:p>
            <w:pPr>
              <w:spacing w:after="0"/>
              <w:rPr>
                <w:sz w:val="3"/>
                <w:szCs w:val="3"/>
                <w:color w:val="auto"/>
              </w:rPr>
            </w:pPr>
          </w:p>
        </w:tc>
        <w:tc>
          <w:tcPr>
            <w:tcW w:w="4980" w:type="dxa"/>
            <w:vAlign w:val="bottom"/>
            <w:gridSpan w:val="30"/>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tcBorders>
              <w:bottom w:val="single" w:sz="8" w:color="E9E9E9"/>
            </w:tcBorders>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9"/>
              </w:rPr>
              <w:t>10.19††</w:t>
            </w:r>
          </w:p>
        </w:tc>
        <w:tc>
          <w:tcPr>
            <w:tcW w:w="80" w:type="dxa"/>
            <w:vAlign w:val="bottom"/>
            <w:tcBorders>
              <w:bottom w:val="single" w:sz="8" w:color="E9E9E9"/>
            </w:tcBorders>
            <w:shd w:val="clear" w:color="auto" w:fill="E9E9E9"/>
          </w:tcPr>
          <w:p>
            <w:pPr>
              <w:spacing w:after="0"/>
              <w:rPr>
                <w:sz w:val="16"/>
                <w:szCs w:val="16"/>
                <w:color w:val="auto"/>
              </w:rPr>
            </w:pPr>
          </w:p>
        </w:tc>
        <w:tc>
          <w:tcPr>
            <w:tcW w:w="40" w:type="dxa"/>
            <w:vAlign w:val="bottom"/>
            <w:tcBorders>
              <w:bottom w:val="single" w:sz="8" w:color="E9E9E9"/>
            </w:tcBorders>
            <w:shd w:val="clear" w:color="auto" w:fill="E9E9E9"/>
          </w:tcPr>
          <w:p>
            <w:pPr>
              <w:spacing w:after="0"/>
              <w:rPr>
                <w:sz w:val="16"/>
                <w:szCs w:val="16"/>
                <w:color w:val="auto"/>
              </w:rPr>
            </w:pPr>
          </w:p>
        </w:tc>
        <w:tc>
          <w:tcPr>
            <w:tcW w:w="5120" w:type="dxa"/>
            <w:vAlign w:val="bottom"/>
            <w:tcBorders>
              <w:bottom w:val="single" w:sz="8" w:color="313131"/>
            </w:tcBorders>
            <w:gridSpan w:val="43"/>
            <w:shd w:val="clear" w:color="auto" w:fill="E9E9E9"/>
          </w:tcPr>
          <w:p>
            <w:pPr>
              <w:spacing w:after="0"/>
              <w:rPr>
                <w:sz w:val="20"/>
                <w:szCs w:val="20"/>
                <w:color w:val="auto"/>
              </w:rPr>
            </w:pPr>
            <w:r>
              <w:rPr>
                <w:rFonts w:ascii="Times New Roman" w:cs="Times New Roman" w:eastAsia="Times New Roman" w:hAnsi="Times New Roman"/>
                <w:sz w:val="16"/>
                <w:szCs w:val="16"/>
                <w:color w:val="313131"/>
                <w:w w:val="98"/>
              </w:rPr>
              <w:t>Manufacturing and Supply Agreement, effective as of February 23, 2022, by and</w:t>
            </w:r>
          </w:p>
        </w:tc>
        <w:tc>
          <w:tcPr>
            <w:tcW w:w="20" w:type="dxa"/>
            <w:vAlign w:val="bottom"/>
            <w:tcBorders>
              <w:bottom w:val="single" w:sz="8" w:color="E9E9E9"/>
            </w:tcBorders>
            <w:shd w:val="clear" w:color="auto" w:fill="E9E9E9"/>
          </w:tcPr>
          <w:p>
            <w:pPr>
              <w:spacing w:after="0"/>
              <w:rPr>
                <w:sz w:val="16"/>
                <w:szCs w:val="16"/>
                <w:color w:val="auto"/>
              </w:rPr>
            </w:pPr>
          </w:p>
        </w:tc>
        <w:tc>
          <w:tcPr>
            <w:tcW w:w="40" w:type="dxa"/>
            <w:vAlign w:val="bottom"/>
            <w:tcBorders>
              <w:bottom w:val="single" w:sz="8" w:color="E9E9E9"/>
            </w:tcBorders>
            <w:shd w:val="clear" w:color="auto" w:fill="E9E9E9"/>
          </w:tcPr>
          <w:p>
            <w:pPr>
              <w:spacing w:after="0"/>
              <w:rPr>
                <w:sz w:val="16"/>
                <w:szCs w:val="16"/>
                <w:color w:val="auto"/>
              </w:rPr>
            </w:pPr>
          </w:p>
        </w:tc>
        <w:tc>
          <w:tcPr>
            <w:tcW w:w="80" w:type="dxa"/>
            <w:vAlign w:val="bottom"/>
            <w:tcBorders>
              <w:bottom w:val="single" w:sz="8" w:color="E9E9E9"/>
            </w:tcBorders>
            <w:shd w:val="clear" w:color="auto" w:fill="E9E9E9"/>
          </w:tcPr>
          <w:p>
            <w:pPr>
              <w:spacing w:after="0"/>
              <w:rPr>
                <w:sz w:val="16"/>
                <w:szCs w:val="16"/>
                <w:color w:val="auto"/>
              </w:rPr>
            </w:pPr>
          </w:p>
        </w:tc>
        <w:tc>
          <w:tcPr>
            <w:tcW w:w="720" w:type="dxa"/>
            <w:vAlign w:val="bottom"/>
            <w:tcBorders>
              <w:bottom w:val="single" w:sz="8" w:color="E9E9E9"/>
            </w:tcBorders>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1060" w:type="dxa"/>
            <w:vAlign w:val="bottom"/>
            <w:tcBorders>
              <w:bottom w:val="single" w:sz="8" w:color="E9E9E9"/>
            </w:tcBorders>
            <w:gridSpan w:val="2"/>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8"/>
              </w:rPr>
              <w:t>001-36569</w:t>
            </w:r>
          </w:p>
        </w:tc>
        <w:tc>
          <w:tcPr>
            <w:tcW w:w="940" w:type="dxa"/>
            <w:vAlign w:val="bottom"/>
            <w:tcBorders>
              <w:bottom w:val="single" w:sz="8" w:color="E9E9E9"/>
            </w:tcBorders>
            <w:gridSpan w:val="2"/>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80" w:type="dxa"/>
            <w:vAlign w:val="bottom"/>
            <w:tcBorders>
              <w:bottom w:val="single" w:sz="8" w:color="E9E9E9"/>
            </w:tcBorders>
            <w:shd w:val="clear" w:color="auto" w:fill="E9E9E9"/>
          </w:tcPr>
          <w:p>
            <w:pPr>
              <w:spacing w:after="0"/>
              <w:rPr>
                <w:sz w:val="16"/>
                <w:szCs w:val="16"/>
                <w:color w:val="auto"/>
              </w:rPr>
            </w:pPr>
          </w:p>
        </w:tc>
        <w:tc>
          <w:tcPr>
            <w:tcW w:w="1500" w:type="dxa"/>
            <w:vAlign w:val="bottom"/>
            <w:tcBorders>
              <w:bottom w:val="single" w:sz="8" w:color="E9E9E9"/>
            </w:tcBorders>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8"/>
              </w:rPr>
              <w:t>April 29, 2022</w:t>
            </w:r>
          </w:p>
        </w:tc>
        <w:tc>
          <w:tcPr>
            <w:tcW w:w="0" w:type="dxa"/>
            <w:vAlign w:val="bottom"/>
          </w:tcPr>
          <w:p>
            <w:pPr>
              <w:spacing w:after="0"/>
              <w:rPr>
                <w:sz w:val="1"/>
                <w:szCs w:val="1"/>
                <w:color w:val="auto"/>
              </w:rPr>
            </w:pPr>
          </w:p>
        </w:tc>
      </w:tr>
      <w:tr>
        <w:trPr>
          <w:trHeight w:val="137"/>
        </w:trPr>
        <w:tc>
          <w:tcPr>
            <w:tcW w:w="880" w:type="dxa"/>
            <w:vAlign w:val="bottom"/>
            <w:shd w:val="clear" w:color="auto" w:fill="E9E9E9"/>
          </w:tcPr>
          <w:p>
            <w:pPr>
              <w:spacing w:after="0"/>
              <w:rPr>
                <w:sz w:val="11"/>
                <w:szCs w:val="11"/>
                <w:color w:val="auto"/>
              </w:rPr>
            </w:pPr>
          </w:p>
        </w:tc>
        <w:tc>
          <w:tcPr>
            <w:tcW w:w="80" w:type="dxa"/>
            <w:vAlign w:val="bottom"/>
            <w:shd w:val="clear" w:color="auto" w:fill="E9E9E9"/>
          </w:tcPr>
          <w:p>
            <w:pPr>
              <w:spacing w:after="0"/>
              <w:rPr>
                <w:sz w:val="11"/>
                <w:szCs w:val="11"/>
                <w:color w:val="auto"/>
              </w:rPr>
            </w:pPr>
          </w:p>
        </w:tc>
        <w:tc>
          <w:tcPr>
            <w:tcW w:w="40" w:type="dxa"/>
            <w:vAlign w:val="bottom"/>
            <w:shd w:val="clear" w:color="auto" w:fill="E9E9E9"/>
          </w:tcPr>
          <w:p>
            <w:pPr>
              <w:spacing w:after="0"/>
              <w:rPr>
                <w:sz w:val="11"/>
                <w:szCs w:val="11"/>
                <w:color w:val="auto"/>
              </w:rPr>
            </w:pPr>
          </w:p>
        </w:tc>
        <w:tc>
          <w:tcPr>
            <w:tcW w:w="5120" w:type="dxa"/>
            <w:vAlign w:val="bottom"/>
            <w:gridSpan w:val="43"/>
            <w:shd w:val="clear" w:color="auto" w:fill="E9E9E9"/>
          </w:tcPr>
          <w:p>
            <w:pPr>
              <w:spacing w:after="0" w:line="137" w:lineRule="exact"/>
              <w:rPr>
                <w:sz w:val="20"/>
                <w:szCs w:val="20"/>
                <w:color w:val="auto"/>
              </w:rPr>
            </w:pPr>
            <w:r>
              <w:rPr>
                <w:rFonts w:ascii="Times New Roman" w:cs="Times New Roman" w:eastAsia="Times New Roman" w:hAnsi="Times New Roman"/>
                <w:sz w:val="15"/>
                <w:szCs w:val="15"/>
                <w:color w:val="313131"/>
              </w:rPr>
              <w:t>between Lantheus Medical Imaging, Inc. and Jubilant HollisterStier LLC.</w:t>
            </w:r>
          </w:p>
        </w:tc>
        <w:tc>
          <w:tcPr>
            <w:tcW w:w="20" w:type="dxa"/>
            <w:vAlign w:val="bottom"/>
            <w:shd w:val="clear" w:color="auto" w:fill="E9E9E9"/>
          </w:tcPr>
          <w:p>
            <w:pPr>
              <w:spacing w:after="0"/>
              <w:rPr>
                <w:sz w:val="11"/>
                <w:szCs w:val="11"/>
                <w:color w:val="auto"/>
              </w:rPr>
            </w:pPr>
          </w:p>
        </w:tc>
        <w:tc>
          <w:tcPr>
            <w:tcW w:w="40" w:type="dxa"/>
            <w:vAlign w:val="bottom"/>
            <w:shd w:val="clear" w:color="auto" w:fill="E9E9E9"/>
          </w:tcPr>
          <w:p>
            <w:pPr>
              <w:spacing w:after="0"/>
              <w:rPr>
                <w:sz w:val="11"/>
                <w:szCs w:val="11"/>
                <w:color w:val="auto"/>
              </w:rPr>
            </w:pPr>
          </w:p>
        </w:tc>
        <w:tc>
          <w:tcPr>
            <w:tcW w:w="80" w:type="dxa"/>
            <w:vAlign w:val="bottom"/>
            <w:shd w:val="clear" w:color="auto" w:fill="E9E9E9"/>
          </w:tcPr>
          <w:p>
            <w:pPr>
              <w:spacing w:after="0"/>
              <w:rPr>
                <w:sz w:val="11"/>
                <w:szCs w:val="11"/>
                <w:color w:val="auto"/>
              </w:rPr>
            </w:pPr>
          </w:p>
        </w:tc>
        <w:tc>
          <w:tcPr>
            <w:tcW w:w="720" w:type="dxa"/>
            <w:vAlign w:val="bottom"/>
            <w:shd w:val="clear" w:color="auto" w:fill="E9E9E9"/>
          </w:tcPr>
          <w:p>
            <w:pPr>
              <w:spacing w:after="0"/>
              <w:rPr>
                <w:sz w:val="11"/>
                <w:szCs w:val="11"/>
                <w:color w:val="auto"/>
              </w:rPr>
            </w:pPr>
          </w:p>
        </w:tc>
        <w:tc>
          <w:tcPr>
            <w:tcW w:w="80" w:type="dxa"/>
            <w:vAlign w:val="bottom"/>
            <w:shd w:val="clear" w:color="auto" w:fill="E9E9E9"/>
          </w:tcPr>
          <w:p>
            <w:pPr>
              <w:spacing w:after="0"/>
              <w:rPr>
                <w:sz w:val="11"/>
                <w:szCs w:val="11"/>
                <w:color w:val="auto"/>
              </w:rPr>
            </w:pPr>
          </w:p>
        </w:tc>
        <w:tc>
          <w:tcPr>
            <w:tcW w:w="980" w:type="dxa"/>
            <w:vAlign w:val="bottom"/>
            <w:shd w:val="clear" w:color="auto" w:fill="E9E9E9"/>
          </w:tcPr>
          <w:p>
            <w:pPr>
              <w:spacing w:after="0"/>
              <w:rPr>
                <w:sz w:val="11"/>
                <w:szCs w:val="11"/>
                <w:color w:val="auto"/>
              </w:rPr>
            </w:pPr>
          </w:p>
        </w:tc>
        <w:tc>
          <w:tcPr>
            <w:tcW w:w="60" w:type="dxa"/>
            <w:vAlign w:val="bottom"/>
            <w:shd w:val="clear" w:color="auto" w:fill="E9E9E9"/>
          </w:tcPr>
          <w:p>
            <w:pPr>
              <w:spacing w:after="0"/>
              <w:rPr>
                <w:sz w:val="11"/>
                <w:szCs w:val="11"/>
                <w:color w:val="auto"/>
              </w:rPr>
            </w:pPr>
          </w:p>
        </w:tc>
        <w:tc>
          <w:tcPr>
            <w:tcW w:w="880" w:type="dxa"/>
            <w:vAlign w:val="bottom"/>
            <w:shd w:val="clear" w:color="auto" w:fill="E9E9E9"/>
          </w:tcPr>
          <w:p>
            <w:pPr>
              <w:spacing w:after="0"/>
              <w:rPr>
                <w:sz w:val="11"/>
                <w:szCs w:val="11"/>
                <w:color w:val="auto"/>
              </w:rPr>
            </w:pPr>
          </w:p>
        </w:tc>
        <w:tc>
          <w:tcPr>
            <w:tcW w:w="80" w:type="dxa"/>
            <w:vAlign w:val="bottom"/>
            <w:shd w:val="clear" w:color="auto" w:fill="E9E9E9"/>
          </w:tcPr>
          <w:p>
            <w:pPr>
              <w:spacing w:after="0"/>
              <w:rPr>
                <w:sz w:val="11"/>
                <w:szCs w:val="11"/>
                <w:color w:val="auto"/>
              </w:rPr>
            </w:pPr>
          </w:p>
        </w:tc>
        <w:tc>
          <w:tcPr>
            <w:tcW w:w="1500" w:type="dxa"/>
            <w:vAlign w:val="bottom"/>
            <w:shd w:val="clear" w:color="auto" w:fill="E9E9E9"/>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1000" w:type="dxa"/>
            <w:vAlign w:val="bottom"/>
            <w:tcBorders>
              <w:top w:val="single" w:sz="8" w:color="E9E9E9"/>
            </w:tcBorders>
            <w:gridSpan w:val="3"/>
            <w:shd w:val="clear" w:color="auto" w:fill="E9E9E9"/>
          </w:tcPr>
          <w:p>
            <w:pPr>
              <w:spacing w:after="0"/>
              <w:rPr>
                <w:sz w:val="3"/>
                <w:szCs w:val="3"/>
                <w:color w:val="auto"/>
              </w:rPr>
            </w:pPr>
          </w:p>
        </w:tc>
        <w:tc>
          <w:tcPr>
            <w:tcW w:w="4620" w:type="dxa"/>
            <w:vAlign w:val="bottom"/>
            <w:tcBorders>
              <w:top w:val="single" w:sz="8" w:color="313131"/>
            </w:tcBorders>
            <w:gridSpan w:val="25"/>
            <w:shd w:val="clear" w:color="auto" w:fill="E9E9E9"/>
          </w:tcPr>
          <w:p>
            <w:pPr>
              <w:spacing w:after="0"/>
              <w:rPr>
                <w:sz w:val="3"/>
                <w:szCs w:val="3"/>
                <w:color w:val="auto"/>
              </w:rPr>
            </w:pPr>
          </w:p>
        </w:tc>
        <w:tc>
          <w:tcPr>
            <w:tcW w:w="4940" w:type="dxa"/>
            <w:vAlign w:val="bottom"/>
            <w:tcBorders>
              <w:top w:val="single" w:sz="8" w:color="E9E9E9"/>
            </w:tcBorders>
            <w:gridSpan w:val="28"/>
            <w:shd w:val="clear" w:color="auto" w:fill="E9E9E9"/>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120" w:type="dxa"/>
            <w:vAlign w:val="bottom"/>
            <w:gridSpan w:val="43"/>
          </w:tcPr>
          <w:p>
            <w:pPr>
              <w:spacing w:after="0"/>
              <w:rPr>
                <w:sz w:val="20"/>
                <w:szCs w:val="20"/>
                <w:color w:val="auto"/>
              </w:rPr>
            </w:pPr>
            <w:r>
              <w:rPr>
                <w:rFonts w:ascii="Times New Roman" w:cs="Times New Roman" w:eastAsia="Times New Roman" w:hAnsi="Times New Roman"/>
                <w:sz w:val="16"/>
                <w:szCs w:val="16"/>
                <w:color w:val="313131"/>
              </w:rPr>
              <w:t>Form of Restricted Stock Unit Award Agreement (Employee Time-Based</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001-36569</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April 29, 2022</w:t>
            </w:r>
          </w:p>
        </w:tc>
        <w:tc>
          <w:tcPr>
            <w:tcW w:w="0" w:type="dxa"/>
            <w:vAlign w:val="bottom"/>
          </w:tcPr>
          <w:p>
            <w:pPr>
              <w:spacing w:after="0"/>
              <w:rPr>
                <w:sz w:val="1"/>
                <w:szCs w:val="1"/>
                <w:color w:val="auto"/>
              </w:rPr>
            </w:pPr>
          </w:p>
        </w:tc>
      </w:tr>
      <w:tr>
        <w:trPr>
          <w:trHeight w:val="137"/>
        </w:trPr>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700" w:type="dxa"/>
            <w:vAlign w:val="bottom"/>
            <w:tcBorders>
              <w:top w:val="single" w:sz="8" w:color="313131"/>
            </w:tcBorders>
            <w:gridSpan w:val="28"/>
          </w:tcPr>
          <w:p>
            <w:pPr>
              <w:spacing w:after="0" w:line="137" w:lineRule="exact"/>
              <w:rPr>
                <w:sz w:val="20"/>
                <w:szCs w:val="20"/>
                <w:color w:val="auto"/>
              </w:rPr>
            </w:pPr>
            <w:r>
              <w:rPr>
                <w:rFonts w:ascii="Times New Roman" w:cs="Times New Roman" w:eastAsia="Times New Roman" w:hAnsi="Times New Roman"/>
                <w:sz w:val="15"/>
                <w:szCs w:val="15"/>
                <w:color w:val="313131"/>
              </w:rPr>
              <w:t>Vesting) of Lantheus Holdings, Inc.</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1000" w:type="dxa"/>
            <w:vAlign w:val="bottom"/>
            <w:gridSpan w:val="3"/>
          </w:tcPr>
          <w:p>
            <w:pPr>
              <w:spacing w:after="0"/>
              <w:rPr>
                <w:sz w:val="3"/>
                <w:szCs w:val="3"/>
                <w:color w:val="auto"/>
              </w:rPr>
            </w:pPr>
          </w:p>
        </w:tc>
        <w:tc>
          <w:tcPr>
            <w:tcW w:w="2260" w:type="dxa"/>
            <w:vAlign w:val="bottom"/>
            <w:tcBorders>
              <w:top w:val="single" w:sz="8" w:color="313131"/>
            </w:tcBorders>
            <w:gridSpan w:val="6"/>
          </w:tcPr>
          <w:p>
            <w:pPr>
              <w:spacing w:after="0"/>
              <w:rPr>
                <w:sz w:val="3"/>
                <w:szCs w:val="3"/>
                <w:color w:val="auto"/>
              </w:rPr>
            </w:pPr>
          </w:p>
        </w:tc>
        <w:tc>
          <w:tcPr>
            <w:tcW w:w="7300" w:type="dxa"/>
            <w:vAlign w:val="bottom"/>
            <w:gridSpan w:val="47"/>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9"/>
              </w:rPr>
              <w:t>10.21</w:t>
            </w:r>
          </w:p>
        </w:tc>
        <w:tc>
          <w:tcPr>
            <w:tcW w:w="80" w:type="dxa"/>
            <w:vAlign w:val="bottom"/>
            <w:shd w:val="clear" w:color="auto" w:fill="E9E9E9"/>
          </w:tcPr>
          <w:p>
            <w:pPr>
              <w:spacing w:after="0"/>
              <w:rPr>
                <w:sz w:val="16"/>
                <w:szCs w:val="16"/>
                <w:color w:val="auto"/>
              </w:rPr>
            </w:pPr>
          </w:p>
        </w:tc>
        <w:tc>
          <w:tcPr>
            <w:tcW w:w="40" w:type="dxa"/>
            <w:vAlign w:val="bottom"/>
            <w:shd w:val="clear" w:color="auto" w:fill="E9E9E9"/>
          </w:tcPr>
          <w:p>
            <w:pPr>
              <w:spacing w:after="0"/>
              <w:rPr>
                <w:sz w:val="16"/>
                <w:szCs w:val="16"/>
                <w:color w:val="auto"/>
              </w:rPr>
            </w:pPr>
          </w:p>
        </w:tc>
        <w:tc>
          <w:tcPr>
            <w:tcW w:w="5120" w:type="dxa"/>
            <w:vAlign w:val="bottom"/>
            <w:gridSpan w:val="43"/>
            <w:shd w:val="clear" w:color="auto" w:fill="E9E9E9"/>
          </w:tcPr>
          <w:p>
            <w:pPr>
              <w:spacing w:after="0"/>
              <w:rPr>
                <w:sz w:val="20"/>
                <w:szCs w:val="20"/>
                <w:color w:val="auto"/>
              </w:rPr>
            </w:pPr>
            <w:r>
              <w:rPr>
                <w:rFonts w:ascii="Times New Roman" w:cs="Times New Roman" w:eastAsia="Times New Roman" w:hAnsi="Times New Roman"/>
                <w:sz w:val="16"/>
                <w:szCs w:val="16"/>
                <w:color w:val="313131"/>
              </w:rPr>
              <w:t>Form of Restricted Stock Unit Award Agreement (Relative Total Shareholder</w:t>
            </w:r>
          </w:p>
        </w:tc>
        <w:tc>
          <w:tcPr>
            <w:tcW w:w="20" w:type="dxa"/>
            <w:vAlign w:val="bottom"/>
            <w:shd w:val="clear" w:color="auto" w:fill="E9E9E9"/>
          </w:tcPr>
          <w:p>
            <w:pPr>
              <w:spacing w:after="0"/>
              <w:rPr>
                <w:sz w:val="16"/>
                <w:szCs w:val="16"/>
                <w:color w:val="auto"/>
              </w:rPr>
            </w:pPr>
          </w:p>
        </w:tc>
        <w:tc>
          <w:tcPr>
            <w:tcW w:w="40" w:type="dxa"/>
            <w:vAlign w:val="bottom"/>
            <w:shd w:val="clear" w:color="auto" w:fill="E9E9E9"/>
          </w:tcPr>
          <w:p>
            <w:pPr>
              <w:spacing w:after="0"/>
              <w:rPr>
                <w:sz w:val="16"/>
                <w:szCs w:val="16"/>
                <w:color w:val="auto"/>
              </w:rPr>
            </w:pPr>
          </w:p>
        </w:tc>
        <w:tc>
          <w:tcPr>
            <w:tcW w:w="80" w:type="dxa"/>
            <w:vAlign w:val="bottom"/>
            <w:shd w:val="clear" w:color="auto" w:fill="E9E9E9"/>
          </w:tcPr>
          <w:p>
            <w:pPr>
              <w:spacing w:after="0"/>
              <w:rPr>
                <w:sz w:val="16"/>
                <w:szCs w:val="16"/>
                <w:color w:val="auto"/>
              </w:rPr>
            </w:pPr>
          </w:p>
        </w:tc>
        <w:tc>
          <w:tcPr>
            <w:tcW w:w="72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1060" w:type="dxa"/>
            <w:vAlign w:val="bottom"/>
            <w:gridSpan w:val="2"/>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8"/>
              </w:rPr>
              <w:t>001-36569</w:t>
            </w:r>
          </w:p>
        </w:tc>
        <w:tc>
          <w:tcPr>
            <w:tcW w:w="940" w:type="dxa"/>
            <w:vAlign w:val="bottom"/>
            <w:gridSpan w:val="2"/>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80" w:type="dxa"/>
            <w:vAlign w:val="bottom"/>
            <w:shd w:val="clear" w:color="auto" w:fill="E9E9E9"/>
          </w:tcPr>
          <w:p>
            <w:pPr>
              <w:spacing w:after="0"/>
              <w:rPr>
                <w:sz w:val="16"/>
                <w:szCs w:val="16"/>
                <w:color w:val="auto"/>
              </w:rPr>
            </w:pPr>
          </w:p>
        </w:tc>
        <w:tc>
          <w:tcPr>
            <w:tcW w:w="150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8"/>
              </w:rPr>
              <w:t>April 29, 2022</w:t>
            </w:r>
          </w:p>
        </w:tc>
        <w:tc>
          <w:tcPr>
            <w:tcW w:w="0" w:type="dxa"/>
            <w:vAlign w:val="bottom"/>
          </w:tcPr>
          <w:p>
            <w:pPr>
              <w:spacing w:after="0"/>
              <w:rPr>
                <w:sz w:val="1"/>
                <w:szCs w:val="1"/>
                <w:color w:val="auto"/>
              </w:rPr>
            </w:pPr>
          </w:p>
        </w:tc>
      </w:tr>
      <w:tr>
        <w:trPr>
          <w:trHeight w:val="176"/>
        </w:trPr>
        <w:tc>
          <w:tcPr>
            <w:tcW w:w="880" w:type="dxa"/>
            <w:vAlign w:val="bottom"/>
            <w:tcBorders>
              <w:top w:val="single" w:sz="8" w:color="E9E9E9"/>
              <w:bottom w:val="single" w:sz="8" w:color="E9E9E9"/>
            </w:tcBorders>
            <w:shd w:val="clear" w:color="auto" w:fill="E9E9E9"/>
          </w:tcPr>
          <w:p>
            <w:pPr>
              <w:spacing w:after="0"/>
              <w:rPr>
                <w:sz w:val="15"/>
                <w:szCs w:val="15"/>
                <w:color w:val="auto"/>
              </w:rPr>
            </w:pPr>
          </w:p>
        </w:tc>
        <w:tc>
          <w:tcPr>
            <w:tcW w:w="80" w:type="dxa"/>
            <w:vAlign w:val="bottom"/>
            <w:tcBorders>
              <w:top w:val="single" w:sz="8" w:color="E9E9E9"/>
              <w:bottom w:val="single" w:sz="8" w:color="E9E9E9"/>
            </w:tcBorders>
            <w:shd w:val="clear" w:color="auto" w:fill="E9E9E9"/>
          </w:tcPr>
          <w:p>
            <w:pPr>
              <w:spacing w:after="0"/>
              <w:rPr>
                <w:sz w:val="15"/>
                <w:szCs w:val="15"/>
                <w:color w:val="auto"/>
              </w:rPr>
            </w:pPr>
          </w:p>
        </w:tc>
        <w:tc>
          <w:tcPr>
            <w:tcW w:w="40" w:type="dxa"/>
            <w:vAlign w:val="bottom"/>
            <w:tcBorders>
              <w:top w:val="single" w:sz="8" w:color="E9E9E9"/>
              <w:bottom w:val="single" w:sz="8" w:color="E9E9E9"/>
            </w:tcBorders>
            <w:shd w:val="clear" w:color="auto" w:fill="E9E9E9"/>
          </w:tcPr>
          <w:p>
            <w:pPr>
              <w:spacing w:after="0"/>
              <w:rPr>
                <w:sz w:val="15"/>
                <w:szCs w:val="15"/>
                <w:color w:val="auto"/>
              </w:rPr>
            </w:pPr>
          </w:p>
        </w:tc>
        <w:tc>
          <w:tcPr>
            <w:tcW w:w="4000" w:type="dxa"/>
            <w:vAlign w:val="bottom"/>
            <w:tcBorders>
              <w:top w:val="single" w:sz="8" w:color="313131"/>
              <w:bottom w:val="single" w:sz="8" w:color="313131"/>
            </w:tcBorders>
            <w:gridSpan w:val="17"/>
            <w:shd w:val="clear" w:color="auto" w:fill="E9E9E9"/>
          </w:tcPr>
          <w:p>
            <w:pPr>
              <w:spacing w:after="0" w:line="137" w:lineRule="exact"/>
              <w:rPr>
                <w:sz w:val="20"/>
                <w:szCs w:val="20"/>
                <w:color w:val="auto"/>
              </w:rPr>
            </w:pPr>
            <w:r>
              <w:rPr>
                <w:rFonts w:ascii="Times New Roman" w:cs="Times New Roman" w:eastAsia="Times New Roman" w:hAnsi="Times New Roman"/>
                <w:sz w:val="15"/>
                <w:szCs w:val="15"/>
                <w:color w:val="313131"/>
              </w:rPr>
              <w:t>Return Performance-Based Vesting) of Lantheus Holdings, Inc.</w:t>
            </w:r>
          </w:p>
        </w:tc>
        <w:tc>
          <w:tcPr>
            <w:tcW w:w="920" w:type="dxa"/>
            <w:vAlign w:val="bottom"/>
            <w:tcBorders>
              <w:top w:val="single" w:sz="8" w:color="313131"/>
              <w:bottom w:val="single" w:sz="8" w:color="E9E9E9"/>
            </w:tcBorders>
            <w:gridSpan w:val="16"/>
            <w:shd w:val="clear" w:color="auto" w:fill="E9E9E9"/>
          </w:tcPr>
          <w:p>
            <w:pPr>
              <w:spacing w:after="0"/>
              <w:rPr>
                <w:sz w:val="15"/>
                <w:szCs w:val="15"/>
                <w:color w:val="auto"/>
              </w:rPr>
            </w:pPr>
          </w:p>
        </w:tc>
        <w:tc>
          <w:tcPr>
            <w:tcW w:w="40" w:type="dxa"/>
            <w:vAlign w:val="bottom"/>
            <w:tcBorders>
              <w:top w:val="single" w:sz="8" w:color="E9E9E9"/>
              <w:bottom w:val="single" w:sz="8" w:color="E9E9E9"/>
            </w:tcBorders>
            <w:shd w:val="clear" w:color="auto" w:fill="E9E9E9"/>
          </w:tcPr>
          <w:p>
            <w:pPr>
              <w:spacing w:after="0"/>
              <w:rPr>
                <w:sz w:val="15"/>
                <w:szCs w:val="15"/>
                <w:color w:val="auto"/>
              </w:rPr>
            </w:pPr>
          </w:p>
        </w:tc>
        <w:tc>
          <w:tcPr>
            <w:tcW w:w="20" w:type="dxa"/>
            <w:vAlign w:val="bottom"/>
            <w:tcBorders>
              <w:top w:val="single" w:sz="8" w:color="E9E9E9"/>
              <w:bottom w:val="single" w:sz="8" w:color="E9E9E9"/>
            </w:tcBorders>
            <w:shd w:val="clear" w:color="auto" w:fill="E9E9E9"/>
          </w:tcPr>
          <w:p>
            <w:pPr>
              <w:spacing w:after="0"/>
              <w:rPr>
                <w:sz w:val="15"/>
                <w:szCs w:val="15"/>
                <w:color w:val="auto"/>
              </w:rPr>
            </w:pPr>
          </w:p>
        </w:tc>
        <w:tc>
          <w:tcPr>
            <w:tcW w:w="20" w:type="dxa"/>
            <w:vAlign w:val="bottom"/>
            <w:tcBorders>
              <w:top w:val="single" w:sz="8" w:color="E9E9E9"/>
              <w:bottom w:val="single" w:sz="8" w:color="E9E9E9"/>
            </w:tcBorders>
            <w:shd w:val="clear" w:color="auto" w:fill="E9E9E9"/>
          </w:tcPr>
          <w:p>
            <w:pPr>
              <w:spacing w:after="0"/>
              <w:rPr>
                <w:sz w:val="15"/>
                <w:szCs w:val="15"/>
                <w:color w:val="auto"/>
              </w:rPr>
            </w:pPr>
          </w:p>
        </w:tc>
        <w:tc>
          <w:tcPr>
            <w:tcW w:w="20" w:type="dxa"/>
            <w:vAlign w:val="bottom"/>
            <w:tcBorders>
              <w:top w:val="single" w:sz="8" w:color="E9E9E9"/>
              <w:bottom w:val="single" w:sz="8" w:color="E9E9E9"/>
            </w:tcBorders>
            <w:shd w:val="clear" w:color="auto" w:fill="E9E9E9"/>
          </w:tcPr>
          <w:p>
            <w:pPr>
              <w:spacing w:after="0"/>
              <w:rPr>
                <w:sz w:val="15"/>
                <w:szCs w:val="15"/>
                <w:color w:val="auto"/>
              </w:rPr>
            </w:pPr>
          </w:p>
        </w:tc>
        <w:tc>
          <w:tcPr>
            <w:tcW w:w="20" w:type="dxa"/>
            <w:vAlign w:val="bottom"/>
            <w:tcBorders>
              <w:top w:val="single" w:sz="8" w:color="E9E9E9"/>
              <w:bottom w:val="single" w:sz="8" w:color="E9E9E9"/>
            </w:tcBorders>
            <w:shd w:val="clear" w:color="auto" w:fill="E9E9E9"/>
          </w:tcPr>
          <w:p>
            <w:pPr>
              <w:spacing w:after="0"/>
              <w:rPr>
                <w:sz w:val="15"/>
                <w:szCs w:val="15"/>
                <w:color w:val="auto"/>
              </w:rPr>
            </w:pPr>
          </w:p>
        </w:tc>
        <w:tc>
          <w:tcPr>
            <w:tcW w:w="20" w:type="dxa"/>
            <w:vAlign w:val="bottom"/>
            <w:tcBorders>
              <w:top w:val="single" w:sz="8" w:color="E9E9E9"/>
              <w:bottom w:val="single" w:sz="8" w:color="E9E9E9"/>
            </w:tcBorders>
            <w:shd w:val="clear" w:color="auto" w:fill="E9E9E9"/>
          </w:tcPr>
          <w:p>
            <w:pPr>
              <w:spacing w:after="0"/>
              <w:rPr>
                <w:sz w:val="15"/>
                <w:szCs w:val="15"/>
                <w:color w:val="auto"/>
              </w:rPr>
            </w:pPr>
          </w:p>
        </w:tc>
        <w:tc>
          <w:tcPr>
            <w:tcW w:w="20" w:type="dxa"/>
            <w:vAlign w:val="bottom"/>
            <w:tcBorders>
              <w:top w:val="single" w:sz="8" w:color="E9E9E9"/>
              <w:bottom w:val="single" w:sz="8" w:color="E9E9E9"/>
            </w:tcBorders>
            <w:shd w:val="clear" w:color="auto" w:fill="E9E9E9"/>
          </w:tcPr>
          <w:p>
            <w:pPr>
              <w:spacing w:after="0"/>
              <w:rPr>
                <w:sz w:val="15"/>
                <w:szCs w:val="15"/>
                <w:color w:val="auto"/>
              </w:rPr>
            </w:pPr>
          </w:p>
        </w:tc>
        <w:tc>
          <w:tcPr>
            <w:tcW w:w="20" w:type="dxa"/>
            <w:vAlign w:val="bottom"/>
            <w:tcBorders>
              <w:top w:val="single" w:sz="8" w:color="E9E9E9"/>
              <w:bottom w:val="single" w:sz="8" w:color="E9E9E9"/>
            </w:tcBorders>
            <w:shd w:val="clear" w:color="auto" w:fill="E9E9E9"/>
          </w:tcPr>
          <w:p>
            <w:pPr>
              <w:spacing w:after="0"/>
              <w:rPr>
                <w:sz w:val="15"/>
                <w:szCs w:val="15"/>
                <w:color w:val="auto"/>
              </w:rPr>
            </w:pPr>
          </w:p>
        </w:tc>
        <w:tc>
          <w:tcPr>
            <w:tcW w:w="20" w:type="dxa"/>
            <w:vAlign w:val="bottom"/>
            <w:tcBorders>
              <w:top w:val="single" w:sz="8" w:color="E9E9E9"/>
              <w:bottom w:val="single" w:sz="8" w:color="E9E9E9"/>
            </w:tcBorders>
            <w:shd w:val="clear" w:color="auto" w:fill="E9E9E9"/>
          </w:tcPr>
          <w:p>
            <w:pPr>
              <w:spacing w:after="0"/>
              <w:rPr>
                <w:sz w:val="15"/>
                <w:szCs w:val="15"/>
                <w:color w:val="auto"/>
              </w:rPr>
            </w:pPr>
          </w:p>
        </w:tc>
        <w:tc>
          <w:tcPr>
            <w:tcW w:w="0" w:type="dxa"/>
            <w:vAlign w:val="bottom"/>
            <w:tcBorders>
              <w:top w:val="single" w:sz="8" w:color="E9E9E9"/>
              <w:bottom w:val="single" w:sz="8" w:color="E9E9E9"/>
            </w:tcBorders>
            <w:shd w:val="clear" w:color="auto" w:fill="E9E9E9"/>
          </w:tcPr>
          <w:p>
            <w:pPr>
              <w:spacing w:after="0"/>
              <w:rPr>
                <w:sz w:val="15"/>
                <w:szCs w:val="15"/>
                <w:color w:val="auto"/>
              </w:rPr>
            </w:pPr>
          </w:p>
        </w:tc>
        <w:tc>
          <w:tcPr>
            <w:tcW w:w="20" w:type="dxa"/>
            <w:vAlign w:val="bottom"/>
            <w:tcBorders>
              <w:top w:val="single" w:sz="8" w:color="E9E9E9"/>
              <w:bottom w:val="single" w:sz="8" w:color="E9E9E9"/>
            </w:tcBorders>
            <w:shd w:val="clear" w:color="auto" w:fill="E9E9E9"/>
          </w:tcPr>
          <w:p>
            <w:pPr>
              <w:spacing w:after="0"/>
              <w:rPr>
                <w:sz w:val="15"/>
                <w:szCs w:val="15"/>
                <w:color w:val="auto"/>
              </w:rPr>
            </w:pPr>
          </w:p>
        </w:tc>
        <w:tc>
          <w:tcPr>
            <w:tcW w:w="40" w:type="dxa"/>
            <w:vAlign w:val="bottom"/>
            <w:tcBorders>
              <w:top w:val="single" w:sz="8" w:color="E9E9E9"/>
              <w:bottom w:val="single" w:sz="8" w:color="E9E9E9"/>
            </w:tcBorders>
            <w:shd w:val="clear" w:color="auto" w:fill="E9E9E9"/>
          </w:tcPr>
          <w:p>
            <w:pPr>
              <w:spacing w:after="0"/>
              <w:rPr>
                <w:sz w:val="15"/>
                <w:szCs w:val="15"/>
                <w:color w:val="auto"/>
              </w:rPr>
            </w:pPr>
          </w:p>
        </w:tc>
        <w:tc>
          <w:tcPr>
            <w:tcW w:w="80" w:type="dxa"/>
            <w:vAlign w:val="bottom"/>
            <w:tcBorders>
              <w:top w:val="single" w:sz="8" w:color="E9E9E9"/>
              <w:bottom w:val="single" w:sz="8" w:color="E9E9E9"/>
            </w:tcBorders>
            <w:shd w:val="clear" w:color="auto" w:fill="E9E9E9"/>
          </w:tcPr>
          <w:p>
            <w:pPr>
              <w:spacing w:after="0"/>
              <w:rPr>
                <w:sz w:val="15"/>
                <w:szCs w:val="15"/>
                <w:color w:val="auto"/>
              </w:rPr>
            </w:pPr>
          </w:p>
        </w:tc>
        <w:tc>
          <w:tcPr>
            <w:tcW w:w="720" w:type="dxa"/>
            <w:vAlign w:val="bottom"/>
            <w:tcBorders>
              <w:top w:val="single" w:sz="8" w:color="E9E9E9"/>
              <w:bottom w:val="single" w:sz="8" w:color="E9E9E9"/>
            </w:tcBorders>
            <w:shd w:val="clear" w:color="auto" w:fill="E9E9E9"/>
          </w:tcPr>
          <w:p>
            <w:pPr>
              <w:spacing w:after="0"/>
              <w:rPr>
                <w:sz w:val="15"/>
                <w:szCs w:val="15"/>
                <w:color w:val="auto"/>
              </w:rPr>
            </w:pPr>
          </w:p>
        </w:tc>
        <w:tc>
          <w:tcPr>
            <w:tcW w:w="80" w:type="dxa"/>
            <w:vAlign w:val="bottom"/>
            <w:tcBorders>
              <w:top w:val="single" w:sz="8" w:color="E9E9E9"/>
              <w:bottom w:val="single" w:sz="8" w:color="E9E9E9"/>
            </w:tcBorders>
            <w:shd w:val="clear" w:color="auto" w:fill="E9E9E9"/>
          </w:tcPr>
          <w:p>
            <w:pPr>
              <w:spacing w:after="0"/>
              <w:rPr>
                <w:sz w:val="15"/>
                <w:szCs w:val="15"/>
                <w:color w:val="auto"/>
              </w:rPr>
            </w:pPr>
          </w:p>
        </w:tc>
        <w:tc>
          <w:tcPr>
            <w:tcW w:w="980" w:type="dxa"/>
            <w:vAlign w:val="bottom"/>
            <w:tcBorders>
              <w:top w:val="single" w:sz="8" w:color="E9E9E9"/>
              <w:bottom w:val="single" w:sz="8" w:color="E9E9E9"/>
            </w:tcBorders>
            <w:shd w:val="clear" w:color="auto" w:fill="E9E9E9"/>
          </w:tcPr>
          <w:p>
            <w:pPr>
              <w:spacing w:after="0"/>
              <w:rPr>
                <w:sz w:val="15"/>
                <w:szCs w:val="15"/>
                <w:color w:val="auto"/>
              </w:rPr>
            </w:pPr>
          </w:p>
        </w:tc>
        <w:tc>
          <w:tcPr>
            <w:tcW w:w="60" w:type="dxa"/>
            <w:vAlign w:val="bottom"/>
            <w:tcBorders>
              <w:top w:val="single" w:sz="8" w:color="E9E9E9"/>
              <w:bottom w:val="single" w:sz="8" w:color="E9E9E9"/>
            </w:tcBorders>
            <w:shd w:val="clear" w:color="auto" w:fill="E9E9E9"/>
          </w:tcPr>
          <w:p>
            <w:pPr>
              <w:spacing w:after="0"/>
              <w:rPr>
                <w:sz w:val="15"/>
                <w:szCs w:val="15"/>
                <w:color w:val="auto"/>
              </w:rPr>
            </w:pPr>
          </w:p>
        </w:tc>
        <w:tc>
          <w:tcPr>
            <w:tcW w:w="880" w:type="dxa"/>
            <w:vAlign w:val="bottom"/>
            <w:tcBorders>
              <w:top w:val="single" w:sz="8" w:color="E9E9E9"/>
              <w:bottom w:val="single" w:sz="8" w:color="E9E9E9"/>
            </w:tcBorders>
            <w:shd w:val="clear" w:color="auto" w:fill="E9E9E9"/>
          </w:tcPr>
          <w:p>
            <w:pPr>
              <w:spacing w:after="0"/>
              <w:rPr>
                <w:sz w:val="15"/>
                <w:szCs w:val="15"/>
                <w:color w:val="auto"/>
              </w:rPr>
            </w:pPr>
          </w:p>
        </w:tc>
        <w:tc>
          <w:tcPr>
            <w:tcW w:w="80" w:type="dxa"/>
            <w:vAlign w:val="bottom"/>
            <w:tcBorders>
              <w:top w:val="single" w:sz="8" w:color="E9E9E9"/>
              <w:bottom w:val="single" w:sz="8" w:color="E9E9E9"/>
            </w:tcBorders>
            <w:shd w:val="clear" w:color="auto" w:fill="E9E9E9"/>
          </w:tcPr>
          <w:p>
            <w:pPr>
              <w:spacing w:after="0"/>
              <w:rPr>
                <w:sz w:val="15"/>
                <w:szCs w:val="15"/>
                <w:color w:val="auto"/>
              </w:rPr>
            </w:pPr>
          </w:p>
        </w:tc>
        <w:tc>
          <w:tcPr>
            <w:tcW w:w="1500" w:type="dxa"/>
            <w:vAlign w:val="bottom"/>
            <w:tcBorders>
              <w:top w:val="single" w:sz="8" w:color="E9E9E9"/>
              <w:bottom w:val="single" w:sz="8" w:color="E9E9E9"/>
            </w:tcBorders>
            <w:shd w:val="clear" w:color="auto" w:fill="E9E9E9"/>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120" w:type="dxa"/>
            <w:vAlign w:val="bottom"/>
            <w:gridSpan w:val="43"/>
          </w:tcPr>
          <w:p>
            <w:pPr>
              <w:spacing w:after="0"/>
              <w:rPr>
                <w:sz w:val="20"/>
                <w:szCs w:val="20"/>
                <w:color w:val="auto"/>
              </w:rPr>
            </w:pPr>
            <w:r>
              <w:rPr>
                <w:rFonts w:ascii="Times New Roman" w:cs="Times New Roman" w:eastAsia="Times New Roman" w:hAnsi="Times New Roman"/>
                <w:sz w:val="16"/>
                <w:szCs w:val="16"/>
                <w:color w:val="313131"/>
                <w:w w:val="99"/>
              </w:rPr>
              <w:t>Form of Stock Option Award Agreement (Time Vesting) of Lantheus Holdings,</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001-36569</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April 29, 2022</w:t>
            </w:r>
          </w:p>
        </w:tc>
        <w:tc>
          <w:tcPr>
            <w:tcW w:w="0" w:type="dxa"/>
            <w:vAlign w:val="bottom"/>
          </w:tcPr>
          <w:p>
            <w:pPr>
              <w:spacing w:after="0"/>
              <w:rPr>
                <w:sz w:val="1"/>
                <w:szCs w:val="1"/>
                <w:color w:val="auto"/>
              </w:rPr>
            </w:pPr>
          </w:p>
        </w:tc>
      </w:tr>
      <w:tr>
        <w:trPr>
          <w:trHeight w:val="137"/>
        </w:trPr>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100" w:type="dxa"/>
            <w:vAlign w:val="bottom"/>
            <w:tcBorders>
              <w:top w:val="single" w:sz="8" w:color="313131"/>
            </w:tcBorders>
            <w:gridSpan w:val="41"/>
          </w:tcPr>
          <w:p>
            <w:pPr>
              <w:spacing w:after="0" w:line="137" w:lineRule="exact"/>
              <w:rPr>
                <w:sz w:val="20"/>
                <w:szCs w:val="20"/>
                <w:color w:val="auto"/>
              </w:rPr>
            </w:pPr>
            <w:r>
              <w:rPr>
                <w:rFonts w:ascii="Times New Roman" w:cs="Times New Roman" w:eastAsia="Times New Roman" w:hAnsi="Times New Roman"/>
                <w:sz w:val="15"/>
                <w:szCs w:val="15"/>
                <w:color w:val="313131"/>
              </w:rPr>
              <w:t>Inc.</w:t>
            </w:r>
          </w:p>
        </w:tc>
        <w:tc>
          <w:tcPr>
            <w:tcW w:w="20" w:type="dxa"/>
            <w:vAlign w:val="bottom"/>
          </w:tcPr>
          <w:p>
            <w:pPr>
              <w:spacing w:after="0"/>
              <w:rPr>
                <w:sz w:val="11"/>
                <w:szCs w:val="11"/>
                <w:color w:val="auto"/>
              </w:rPr>
            </w:pPr>
          </w:p>
        </w:tc>
        <w:tc>
          <w:tcPr>
            <w:tcW w:w="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1000" w:type="dxa"/>
            <w:vAlign w:val="bottom"/>
            <w:gridSpan w:val="3"/>
          </w:tcPr>
          <w:p>
            <w:pPr>
              <w:spacing w:after="0"/>
              <w:rPr>
                <w:sz w:val="3"/>
                <w:szCs w:val="3"/>
                <w:color w:val="auto"/>
              </w:rPr>
            </w:pPr>
          </w:p>
        </w:tc>
        <w:tc>
          <w:tcPr>
            <w:tcW w:w="240" w:type="dxa"/>
            <w:vAlign w:val="bottom"/>
            <w:tcBorders>
              <w:top w:val="single" w:sz="8" w:color="313131"/>
            </w:tcBorders>
          </w:tcPr>
          <w:p>
            <w:pPr>
              <w:spacing w:after="0"/>
              <w:rPr>
                <w:sz w:val="3"/>
                <w:szCs w:val="3"/>
                <w:color w:val="auto"/>
              </w:rPr>
            </w:pPr>
          </w:p>
        </w:tc>
        <w:tc>
          <w:tcPr>
            <w:tcW w:w="9320" w:type="dxa"/>
            <w:vAlign w:val="bottom"/>
            <w:gridSpan w:val="5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9"/>
              </w:rPr>
              <w:t>10.23</w:t>
            </w:r>
          </w:p>
        </w:tc>
        <w:tc>
          <w:tcPr>
            <w:tcW w:w="80" w:type="dxa"/>
            <w:vAlign w:val="bottom"/>
            <w:shd w:val="clear" w:color="auto" w:fill="E9E9E9"/>
          </w:tcPr>
          <w:p>
            <w:pPr>
              <w:spacing w:after="0"/>
              <w:rPr>
                <w:sz w:val="16"/>
                <w:szCs w:val="16"/>
                <w:color w:val="auto"/>
              </w:rPr>
            </w:pPr>
          </w:p>
        </w:tc>
        <w:tc>
          <w:tcPr>
            <w:tcW w:w="40" w:type="dxa"/>
            <w:vAlign w:val="bottom"/>
            <w:shd w:val="clear" w:color="auto" w:fill="E9E9E9"/>
          </w:tcPr>
          <w:p>
            <w:pPr>
              <w:spacing w:after="0"/>
              <w:rPr>
                <w:sz w:val="16"/>
                <w:szCs w:val="16"/>
                <w:color w:val="auto"/>
              </w:rPr>
            </w:pPr>
          </w:p>
        </w:tc>
        <w:tc>
          <w:tcPr>
            <w:tcW w:w="5120" w:type="dxa"/>
            <w:vAlign w:val="bottom"/>
            <w:gridSpan w:val="43"/>
            <w:shd w:val="clear" w:color="auto" w:fill="E9E9E9"/>
          </w:tcPr>
          <w:p>
            <w:pPr>
              <w:spacing w:after="0"/>
              <w:rPr>
                <w:sz w:val="20"/>
                <w:szCs w:val="20"/>
                <w:color w:val="auto"/>
              </w:rPr>
            </w:pPr>
            <w:r>
              <w:rPr>
                <w:rFonts w:ascii="Times New Roman" w:cs="Times New Roman" w:eastAsia="Times New Roman" w:hAnsi="Times New Roman"/>
                <w:sz w:val="16"/>
                <w:szCs w:val="16"/>
                <w:color w:val="313131"/>
              </w:rPr>
              <w:t>Sixth Amendment to Lantheus Holdings, Inc. 2015 Equity Incentive Plan</w:t>
            </w:r>
          </w:p>
        </w:tc>
        <w:tc>
          <w:tcPr>
            <w:tcW w:w="20" w:type="dxa"/>
            <w:vAlign w:val="bottom"/>
            <w:shd w:val="clear" w:color="auto" w:fill="E9E9E9"/>
          </w:tcPr>
          <w:p>
            <w:pPr>
              <w:spacing w:after="0"/>
              <w:rPr>
                <w:sz w:val="16"/>
                <w:szCs w:val="16"/>
                <w:color w:val="auto"/>
              </w:rPr>
            </w:pPr>
          </w:p>
        </w:tc>
        <w:tc>
          <w:tcPr>
            <w:tcW w:w="40" w:type="dxa"/>
            <w:vAlign w:val="bottom"/>
            <w:shd w:val="clear" w:color="auto" w:fill="E9E9E9"/>
          </w:tcPr>
          <w:p>
            <w:pPr>
              <w:spacing w:after="0"/>
              <w:rPr>
                <w:sz w:val="16"/>
                <w:szCs w:val="16"/>
                <w:color w:val="auto"/>
              </w:rPr>
            </w:pPr>
          </w:p>
        </w:tc>
        <w:tc>
          <w:tcPr>
            <w:tcW w:w="80" w:type="dxa"/>
            <w:vAlign w:val="bottom"/>
            <w:shd w:val="clear" w:color="auto" w:fill="E9E9E9"/>
          </w:tcPr>
          <w:p>
            <w:pPr>
              <w:spacing w:after="0"/>
              <w:rPr>
                <w:sz w:val="16"/>
                <w:szCs w:val="16"/>
                <w:color w:val="auto"/>
              </w:rPr>
            </w:pPr>
          </w:p>
        </w:tc>
        <w:tc>
          <w:tcPr>
            <w:tcW w:w="72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060" w:type="dxa"/>
            <w:vAlign w:val="bottom"/>
            <w:gridSpan w:val="2"/>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8"/>
              </w:rPr>
              <w:t>001-36569</w:t>
            </w:r>
          </w:p>
        </w:tc>
        <w:tc>
          <w:tcPr>
            <w:tcW w:w="940" w:type="dxa"/>
            <w:vAlign w:val="bottom"/>
            <w:gridSpan w:val="2"/>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80" w:type="dxa"/>
            <w:vAlign w:val="bottom"/>
            <w:shd w:val="clear" w:color="auto" w:fill="E9E9E9"/>
          </w:tcPr>
          <w:p>
            <w:pPr>
              <w:spacing w:after="0"/>
              <w:rPr>
                <w:sz w:val="16"/>
                <w:szCs w:val="16"/>
                <w:color w:val="auto"/>
              </w:rPr>
            </w:pPr>
          </w:p>
        </w:tc>
        <w:tc>
          <w:tcPr>
            <w:tcW w:w="150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8"/>
              </w:rPr>
              <w:t>May 2, 2022</w:t>
            </w:r>
          </w:p>
        </w:tc>
        <w:tc>
          <w:tcPr>
            <w:tcW w:w="0" w:type="dxa"/>
            <w:vAlign w:val="bottom"/>
          </w:tcPr>
          <w:p>
            <w:pPr>
              <w:spacing w:after="0"/>
              <w:rPr>
                <w:sz w:val="1"/>
                <w:szCs w:val="1"/>
                <w:color w:val="auto"/>
              </w:rPr>
            </w:pPr>
          </w:p>
        </w:tc>
      </w:tr>
      <w:tr>
        <w:trPr>
          <w:trHeight w:val="35"/>
        </w:trPr>
        <w:tc>
          <w:tcPr>
            <w:tcW w:w="1000" w:type="dxa"/>
            <w:vAlign w:val="bottom"/>
            <w:tcBorders>
              <w:top w:val="single" w:sz="8" w:color="E9E9E9"/>
            </w:tcBorders>
            <w:gridSpan w:val="3"/>
            <w:shd w:val="clear" w:color="auto" w:fill="E9E9E9"/>
          </w:tcPr>
          <w:p>
            <w:pPr>
              <w:spacing w:after="0"/>
              <w:rPr>
                <w:sz w:val="3"/>
                <w:szCs w:val="3"/>
                <w:color w:val="auto"/>
              </w:rPr>
            </w:pPr>
          </w:p>
        </w:tc>
        <w:tc>
          <w:tcPr>
            <w:tcW w:w="4600" w:type="dxa"/>
            <w:vAlign w:val="bottom"/>
            <w:tcBorders>
              <w:top w:val="single" w:sz="8" w:color="313131"/>
            </w:tcBorders>
            <w:gridSpan w:val="24"/>
            <w:shd w:val="clear" w:color="auto" w:fill="E9E9E9"/>
          </w:tcPr>
          <w:p>
            <w:pPr>
              <w:spacing w:after="0"/>
              <w:rPr>
                <w:sz w:val="3"/>
                <w:szCs w:val="3"/>
                <w:color w:val="auto"/>
              </w:rPr>
            </w:pPr>
          </w:p>
        </w:tc>
        <w:tc>
          <w:tcPr>
            <w:tcW w:w="4960" w:type="dxa"/>
            <w:vAlign w:val="bottom"/>
            <w:tcBorders>
              <w:top w:val="single" w:sz="8" w:color="E9E9E9"/>
            </w:tcBorders>
            <w:gridSpan w:val="29"/>
            <w:shd w:val="clear" w:color="auto" w:fill="E9E9E9"/>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10.24††</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120" w:type="dxa"/>
            <w:vAlign w:val="bottom"/>
            <w:gridSpan w:val="43"/>
          </w:tcPr>
          <w:p>
            <w:pPr>
              <w:spacing w:after="0"/>
              <w:rPr>
                <w:sz w:val="20"/>
                <w:szCs w:val="20"/>
                <w:color w:val="auto"/>
              </w:rPr>
            </w:pPr>
            <w:r>
              <w:rPr>
                <w:rFonts w:ascii="Times New Roman" w:cs="Times New Roman" w:eastAsia="Times New Roman" w:hAnsi="Times New Roman"/>
                <w:sz w:val="16"/>
                <w:szCs w:val="16"/>
                <w:color w:val="313131"/>
              </w:rPr>
              <w:t>License and Collaboration Agreement, dated as of November 11, 2022, by and</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000-36569</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November 14, 2022</w:t>
            </w:r>
          </w:p>
        </w:tc>
        <w:tc>
          <w:tcPr>
            <w:tcW w:w="0" w:type="dxa"/>
            <w:vAlign w:val="bottom"/>
          </w:tcPr>
          <w:p>
            <w:pPr>
              <w:spacing w:after="0"/>
              <w:rPr>
                <w:sz w:val="1"/>
                <w:szCs w:val="1"/>
                <w:color w:val="auto"/>
              </w:rPr>
            </w:pPr>
          </w:p>
        </w:tc>
      </w:tr>
      <w:tr>
        <w:trPr>
          <w:trHeight w:val="137"/>
        </w:trPr>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980" w:type="dxa"/>
            <w:vAlign w:val="bottom"/>
            <w:tcBorders>
              <w:top w:val="single" w:sz="8" w:color="313131"/>
            </w:tcBorders>
            <w:gridSpan w:val="35"/>
          </w:tcPr>
          <w:p>
            <w:pPr>
              <w:spacing w:after="0" w:line="137" w:lineRule="exact"/>
              <w:rPr>
                <w:sz w:val="20"/>
                <w:szCs w:val="20"/>
                <w:color w:val="auto"/>
              </w:rPr>
            </w:pPr>
            <w:r>
              <w:rPr>
                <w:rFonts w:ascii="Times New Roman" w:cs="Times New Roman" w:eastAsia="Times New Roman" w:hAnsi="Times New Roman"/>
                <w:sz w:val="15"/>
                <w:szCs w:val="15"/>
                <w:color w:val="313131"/>
              </w:rPr>
              <w:t>between Point Biopharma, Inc., and Lantheus Two, LLC.</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1000" w:type="dxa"/>
            <w:vAlign w:val="bottom"/>
            <w:gridSpan w:val="3"/>
          </w:tcPr>
          <w:p>
            <w:pPr>
              <w:spacing w:after="0"/>
              <w:rPr>
                <w:sz w:val="3"/>
                <w:szCs w:val="3"/>
                <w:color w:val="auto"/>
              </w:rPr>
            </w:pPr>
          </w:p>
        </w:tc>
        <w:tc>
          <w:tcPr>
            <w:tcW w:w="3600" w:type="dxa"/>
            <w:vAlign w:val="bottom"/>
            <w:tcBorders>
              <w:top w:val="single" w:sz="8" w:color="313131"/>
            </w:tcBorders>
            <w:gridSpan w:val="13"/>
          </w:tcPr>
          <w:p>
            <w:pPr>
              <w:spacing w:after="0"/>
              <w:rPr>
                <w:sz w:val="3"/>
                <w:szCs w:val="3"/>
                <w:color w:val="auto"/>
              </w:rPr>
            </w:pPr>
          </w:p>
        </w:tc>
        <w:tc>
          <w:tcPr>
            <w:tcW w:w="5960" w:type="dxa"/>
            <w:vAlign w:val="bottom"/>
            <w:gridSpan w:val="40"/>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9"/>
              </w:rPr>
              <w:t>10.25</w:t>
            </w:r>
          </w:p>
        </w:tc>
        <w:tc>
          <w:tcPr>
            <w:tcW w:w="80" w:type="dxa"/>
            <w:vAlign w:val="bottom"/>
            <w:shd w:val="clear" w:color="auto" w:fill="E9E9E9"/>
          </w:tcPr>
          <w:p>
            <w:pPr>
              <w:spacing w:after="0"/>
              <w:rPr>
                <w:sz w:val="16"/>
                <w:szCs w:val="16"/>
                <w:color w:val="auto"/>
              </w:rPr>
            </w:pPr>
          </w:p>
        </w:tc>
        <w:tc>
          <w:tcPr>
            <w:tcW w:w="40" w:type="dxa"/>
            <w:vAlign w:val="bottom"/>
            <w:shd w:val="clear" w:color="auto" w:fill="E9E9E9"/>
          </w:tcPr>
          <w:p>
            <w:pPr>
              <w:spacing w:after="0"/>
              <w:rPr>
                <w:sz w:val="16"/>
                <w:szCs w:val="16"/>
                <w:color w:val="auto"/>
              </w:rPr>
            </w:pPr>
          </w:p>
        </w:tc>
        <w:tc>
          <w:tcPr>
            <w:tcW w:w="5120" w:type="dxa"/>
            <w:vAlign w:val="bottom"/>
            <w:gridSpan w:val="43"/>
            <w:shd w:val="clear" w:color="auto" w:fill="E9E9E9"/>
          </w:tcPr>
          <w:p>
            <w:pPr>
              <w:spacing w:after="0"/>
              <w:rPr>
                <w:sz w:val="20"/>
                <w:szCs w:val="20"/>
                <w:color w:val="auto"/>
              </w:rPr>
            </w:pPr>
            <w:r>
              <w:rPr>
                <w:rFonts w:ascii="Times New Roman" w:cs="Times New Roman" w:eastAsia="Times New Roman" w:hAnsi="Times New Roman"/>
                <w:sz w:val="16"/>
                <w:szCs w:val="16"/>
                <w:color w:val="313131"/>
              </w:rPr>
              <w:t>Credit Agreement dated as of December 2, 2022 by and among Citizens Bank,</w:t>
            </w:r>
          </w:p>
        </w:tc>
        <w:tc>
          <w:tcPr>
            <w:tcW w:w="20" w:type="dxa"/>
            <w:vAlign w:val="bottom"/>
            <w:shd w:val="clear" w:color="auto" w:fill="E9E9E9"/>
          </w:tcPr>
          <w:p>
            <w:pPr>
              <w:spacing w:after="0"/>
              <w:rPr>
                <w:sz w:val="16"/>
                <w:szCs w:val="16"/>
                <w:color w:val="auto"/>
              </w:rPr>
            </w:pPr>
          </w:p>
        </w:tc>
        <w:tc>
          <w:tcPr>
            <w:tcW w:w="40" w:type="dxa"/>
            <w:vAlign w:val="bottom"/>
            <w:shd w:val="clear" w:color="auto" w:fill="E9E9E9"/>
          </w:tcPr>
          <w:p>
            <w:pPr>
              <w:spacing w:after="0"/>
              <w:rPr>
                <w:sz w:val="16"/>
                <w:szCs w:val="16"/>
                <w:color w:val="auto"/>
              </w:rPr>
            </w:pPr>
          </w:p>
        </w:tc>
        <w:tc>
          <w:tcPr>
            <w:tcW w:w="80" w:type="dxa"/>
            <w:vAlign w:val="bottom"/>
            <w:shd w:val="clear" w:color="auto" w:fill="E9E9E9"/>
          </w:tcPr>
          <w:p>
            <w:pPr>
              <w:spacing w:after="0"/>
              <w:rPr>
                <w:sz w:val="16"/>
                <w:szCs w:val="16"/>
                <w:color w:val="auto"/>
              </w:rPr>
            </w:pPr>
          </w:p>
        </w:tc>
        <w:tc>
          <w:tcPr>
            <w:tcW w:w="72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060" w:type="dxa"/>
            <w:vAlign w:val="bottom"/>
            <w:gridSpan w:val="2"/>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8"/>
              </w:rPr>
              <w:t>001-36569</w:t>
            </w:r>
          </w:p>
        </w:tc>
        <w:tc>
          <w:tcPr>
            <w:tcW w:w="940" w:type="dxa"/>
            <w:vAlign w:val="bottom"/>
            <w:gridSpan w:val="2"/>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80" w:type="dxa"/>
            <w:vAlign w:val="bottom"/>
            <w:shd w:val="clear" w:color="auto" w:fill="E9E9E9"/>
          </w:tcPr>
          <w:p>
            <w:pPr>
              <w:spacing w:after="0"/>
              <w:rPr>
                <w:sz w:val="16"/>
                <w:szCs w:val="16"/>
                <w:color w:val="auto"/>
              </w:rPr>
            </w:pPr>
          </w:p>
        </w:tc>
        <w:tc>
          <w:tcPr>
            <w:tcW w:w="150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6"/>
              </w:rPr>
              <w:t>December 5, 2022</w:t>
            </w:r>
          </w:p>
        </w:tc>
        <w:tc>
          <w:tcPr>
            <w:tcW w:w="0" w:type="dxa"/>
            <w:vAlign w:val="bottom"/>
          </w:tcPr>
          <w:p>
            <w:pPr>
              <w:spacing w:after="0"/>
              <w:rPr>
                <w:sz w:val="1"/>
                <w:szCs w:val="1"/>
                <w:color w:val="auto"/>
              </w:rPr>
            </w:pPr>
          </w:p>
        </w:tc>
      </w:tr>
      <w:tr>
        <w:trPr>
          <w:trHeight w:val="137"/>
        </w:trPr>
        <w:tc>
          <w:tcPr>
            <w:tcW w:w="880" w:type="dxa"/>
            <w:vAlign w:val="bottom"/>
            <w:tcBorders>
              <w:top w:val="single" w:sz="8" w:color="E9E9E9"/>
              <w:bottom w:val="single" w:sz="8" w:color="E9E9E9"/>
            </w:tcBorders>
            <w:shd w:val="clear" w:color="auto" w:fill="E9E9E9"/>
          </w:tcPr>
          <w:p>
            <w:pPr>
              <w:spacing w:after="0"/>
              <w:rPr>
                <w:sz w:val="11"/>
                <w:szCs w:val="11"/>
                <w:color w:val="auto"/>
              </w:rPr>
            </w:pPr>
          </w:p>
        </w:tc>
        <w:tc>
          <w:tcPr>
            <w:tcW w:w="80" w:type="dxa"/>
            <w:vAlign w:val="bottom"/>
            <w:tcBorders>
              <w:top w:val="single" w:sz="8" w:color="E9E9E9"/>
              <w:bottom w:val="single" w:sz="8" w:color="E9E9E9"/>
            </w:tcBorders>
            <w:shd w:val="clear" w:color="auto" w:fill="E9E9E9"/>
          </w:tcPr>
          <w:p>
            <w:pPr>
              <w:spacing w:after="0"/>
              <w:rPr>
                <w:sz w:val="11"/>
                <w:szCs w:val="11"/>
                <w:color w:val="auto"/>
              </w:rPr>
            </w:pPr>
          </w:p>
        </w:tc>
        <w:tc>
          <w:tcPr>
            <w:tcW w:w="40" w:type="dxa"/>
            <w:vAlign w:val="bottom"/>
            <w:tcBorders>
              <w:top w:val="single" w:sz="8" w:color="E9E9E9"/>
              <w:bottom w:val="single" w:sz="8" w:color="E9E9E9"/>
            </w:tcBorders>
            <w:shd w:val="clear" w:color="auto" w:fill="E9E9E9"/>
          </w:tcPr>
          <w:p>
            <w:pPr>
              <w:spacing w:after="0"/>
              <w:rPr>
                <w:sz w:val="11"/>
                <w:szCs w:val="11"/>
                <w:color w:val="auto"/>
              </w:rPr>
            </w:pPr>
          </w:p>
        </w:tc>
        <w:tc>
          <w:tcPr>
            <w:tcW w:w="4960" w:type="dxa"/>
            <w:vAlign w:val="bottom"/>
            <w:tcBorders>
              <w:top w:val="single" w:sz="8" w:color="313131"/>
              <w:bottom w:val="single" w:sz="8" w:color="313131"/>
            </w:tcBorders>
            <w:gridSpan w:val="34"/>
            <w:shd w:val="clear" w:color="auto" w:fill="E9E9E9"/>
          </w:tcPr>
          <w:p>
            <w:pPr>
              <w:spacing w:after="0" w:line="137" w:lineRule="exact"/>
              <w:rPr>
                <w:sz w:val="20"/>
                <w:szCs w:val="20"/>
                <w:color w:val="auto"/>
              </w:rPr>
            </w:pPr>
            <w:r>
              <w:rPr>
                <w:rFonts w:ascii="Times New Roman" w:cs="Times New Roman" w:eastAsia="Times New Roman" w:hAnsi="Times New Roman"/>
                <w:sz w:val="15"/>
                <w:szCs w:val="15"/>
                <w:color w:val="313131"/>
              </w:rPr>
              <w:t>N.A., as administrative agent and collateral agent, each of the lenders from time</w:t>
            </w:r>
          </w:p>
        </w:tc>
        <w:tc>
          <w:tcPr>
            <w:tcW w:w="40" w:type="dxa"/>
            <w:vAlign w:val="bottom"/>
            <w:tcBorders>
              <w:top w:val="single" w:sz="8" w:color="E9E9E9"/>
              <w:bottom w:val="single" w:sz="8" w:color="313131"/>
            </w:tcBorders>
            <w:gridSpan w:val="2"/>
            <w:shd w:val="clear" w:color="auto" w:fill="E9E9E9"/>
          </w:tcPr>
          <w:p>
            <w:pPr>
              <w:spacing w:after="0"/>
              <w:rPr>
                <w:sz w:val="11"/>
                <w:szCs w:val="11"/>
                <w:color w:val="auto"/>
              </w:rPr>
            </w:pPr>
          </w:p>
        </w:tc>
        <w:tc>
          <w:tcPr>
            <w:tcW w:w="20" w:type="dxa"/>
            <w:vAlign w:val="bottom"/>
            <w:tcBorders>
              <w:top w:val="single" w:sz="8" w:color="E9E9E9"/>
              <w:bottom w:val="single" w:sz="8" w:color="313131"/>
            </w:tcBorders>
            <w:shd w:val="clear" w:color="auto" w:fill="E9E9E9"/>
          </w:tcPr>
          <w:p>
            <w:pPr>
              <w:spacing w:after="0"/>
              <w:rPr>
                <w:sz w:val="11"/>
                <w:szCs w:val="11"/>
                <w:color w:val="auto"/>
              </w:rPr>
            </w:pPr>
          </w:p>
        </w:tc>
        <w:tc>
          <w:tcPr>
            <w:tcW w:w="20" w:type="dxa"/>
            <w:vAlign w:val="bottom"/>
            <w:tcBorders>
              <w:top w:val="single" w:sz="8" w:color="E9E9E9"/>
              <w:bottom w:val="single" w:sz="8" w:color="313131"/>
            </w:tcBorders>
            <w:shd w:val="clear" w:color="auto" w:fill="E9E9E9"/>
          </w:tcPr>
          <w:p>
            <w:pPr>
              <w:spacing w:after="0"/>
              <w:rPr>
                <w:sz w:val="11"/>
                <w:szCs w:val="11"/>
                <w:color w:val="auto"/>
              </w:rPr>
            </w:pPr>
          </w:p>
        </w:tc>
        <w:tc>
          <w:tcPr>
            <w:tcW w:w="20" w:type="dxa"/>
            <w:vAlign w:val="bottom"/>
            <w:tcBorders>
              <w:top w:val="single" w:sz="8" w:color="E9E9E9"/>
              <w:bottom w:val="single" w:sz="8" w:color="313131"/>
            </w:tcBorders>
            <w:shd w:val="clear" w:color="auto" w:fill="E9E9E9"/>
          </w:tcPr>
          <w:p>
            <w:pPr>
              <w:spacing w:after="0"/>
              <w:rPr>
                <w:sz w:val="11"/>
                <w:szCs w:val="11"/>
                <w:color w:val="auto"/>
              </w:rPr>
            </w:pPr>
          </w:p>
        </w:tc>
        <w:tc>
          <w:tcPr>
            <w:tcW w:w="20" w:type="dxa"/>
            <w:vAlign w:val="bottom"/>
            <w:tcBorders>
              <w:top w:val="single" w:sz="8" w:color="E9E9E9"/>
              <w:bottom w:val="single" w:sz="8" w:color="E9E9E9"/>
            </w:tcBorders>
            <w:shd w:val="clear" w:color="auto" w:fill="E9E9E9"/>
          </w:tcPr>
          <w:p>
            <w:pPr>
              <w:spacing w:after="0"/>
              <w:rPr>
                <w:sz w:val="11"/>
                <w:szCs w:val="11"/>
                <w:color w:val="auto"/>
              </w:rPr>
            </w:pPr>
          </w:p>
        </w:tc>
        <w:tc>
          <w:tcPr>
            <w:tcW w:w="40" w:type="dxa"/>
            <w:vAlign w:val="bottom"/>
            <w:tcBorders>
              <w:top w:val="single" w:sz="8" w:color="E9E9E9"/>
              <w:bottom w:val="single" w:sz="8" w:color="E9E9E9"/>
            </w:tcBorders>
            <w:gridSpan w:val="2"/>
            <w:shd w:val="clear" w:color="auto" w:fill="E9E9E9"/>
          </w:tcPr>
          <w:p>
            <w:pPr>
              <w:spacing w:after="0"/>
              <w:rPr>
                <w:sz w:val="11"/>
                <w:szCs w:val="11"/>
                <w:color w:val="auto"/>
              </w:rPr>
            </w:pPr>
          </w:p>
        </w:tc>
        <w:tc>
          <w:tcPr>
            <w:tcW w:w="0" w:type="dxa"/>
            <w:vAlign w:val="bottom"/>
            <w:tcBorders>
              <w:top w:val="single" w:sz="8" w:color="E9E9E9"/>
              <w:bottom w:val="single" w:sz="8" w:color="E9E9E9"/>
            </w:tcBorders>
            <w:shd w:val="clear" w:color="auto" w:fill="E9E9E9"/>
          </w:tcPr>
          <w:p>
            <w:pPr>
              <w:spacing w:after="0"/>
              <w:rPr>
                <w:sz w:val="11"/>
                <w:szCs w:val="11"/>
                <w:color w:val="auto"/>
              </w:rPr>
            </w:pPr>
          </w:p>
        </w:tc>
        <w:tc>
          <w:tcPr>
            <w:tcW w:w="20" w:type="dxa"/>
            <w:vAlign w:val="bottom"/>
            <w:tcBorders>
              <w:top w:val="single" w:sz="8" w:color="E9E9E9"/>
              <w:bottom w:val="single" w:sz="8" w:color="E9E9E9"/>
            </w:tcBorders>
            <w:shd w:val="clear" w:color="auto" w:fill="E9E9E9"/>
          </w:tcPr>
          <w:p>
            <w:pPr>
              <w:spacing w:after="0"/>
              <w:rPr>
                <w:sz w:val="11"/>
                <w:szCs w:val="11"/>
                <w:color w:val="auto"/>
              </w:rPr>
            </w:pPr>
          </w:p>
        </w:tc>
        <w:tc>
          <w:tcPr>
            <w:tcW w:w="40" w:type="dxa"/>
            <w:vAlign w:val="bottom"/>
            <w:tcBorders>
              <w:top w:val="single" w:sz="8" w:color="E9E9E9"/>
              <w:bottom w:val="single" w:sz="8" w:color="E9E9E9"/>
            </w:tcBorders>
            <w:shd w:val="clear" w:color="auto" w:fill="E9E9E9"/>
          </w:tcPr>
          <w:p>
            <w:pPr>
              <w:spacing w:after="0"/>
              <w:rPr>
                <w:sz w:val="11"/>
                <w:szCs w:val="11"/>
                <w:color w:val="auto"/>
              </w:rPr>
            </w:pPr>
          </w:p>
        </w:tc>
        <w:tc>
          <w:tcPr>
            <w:tcW w:w="80" w:type="dxa"/>
            <w:vAlign w:val="bottom"/>
            <w:tcBorders>
              <w:top w:val="single" w:sz="8" w:color="E9E9E9"/>
              <w:bottom w:val="single" w:sz="8" w:color="E9E9E9"/>
            </w:tcBorders>
            <w:shd w:val="clear" w:color="auto" w:fill="E9E9E9"/>
          </w:tcPr>
          <w:p>
            <w:pPr>
              <w:spacing w:after="0"/>
              <w:rPr>
                <w:sz w:val="11"/>
                <w:szCs w:val="11"/>
                <w:color w:val="auto"/>
              </w:rPr>
            </w:pPr>
          </w:p>
        </w:tc>
        <w:tc>
          <w:tcPr>
            <w:tcW w:w="720" w:type="dxa"/>
            <w:vAlign w:val="bottom"/>
            <w:tcBorders>
              <w:top w:val="single" w:sz="8" w:color="E9E9E9"/>
              <w:bottom w:val="single" w:sz="8" w:color="E9E9E9"/>
            </w:tcBorders>
            <w:shd w:val="clear" w:color="auto" w:fill="E9E9E9"/>
          </w:tcPr>
          <w:p>
            <w:pPr>
              <w:spacing w:after="0"/>
              <w:rPr>
                <w:sz w:val="11"/>
                <w:szCs w:val="11"/>
                <w:color w:val="auto"/>
              </w:rPr>
            </w:pPr>
          </w:p>
        </w:tc>
        <w:tc>
          <w:tcPr>
            <w:tcW w:w="80" w:type="dxa"/>
            <w:vAlign w:val="bottom"/>
            <w:tcBorders>
              <w:top w:val="single" w:sz="8" w:color="E9E9E9"/>
              <w:bottom w:val="single" w:sz="8" w:color="E9E9E9"/>
            </w:tcBorders>
            <w:shd w:val="clear" w:color="auto" w:fill="E9E9E9"/>
          </w:tcPr>
          <w:p>
            <w:pPr>
              <w:spacing w:after="0"/>
              <w:rPr>
                <w:sz w:val="11"/>
                <w:szCs w:val="11"/>
                <w:color w:val="auto"/>
              </w:rPr>
            </w:pPr>
          </w:p>
        </w:tc>
        <w:tc>
          <w:tcPr>
            <w:tcW w:w="980" w:type="dxa"/>
            <w:vAlign w:val="bottom"/>
            <w:tcBorders>
              <w:top w:val="single" w:sz="8" w:color="E9E9E9"/>
              <w:bottom w:val="single" w:sz="8" w:color="E9E9E9"/>
            </w:tcBorders>
            <w:shd w:val="clear" w:color="auto" w:fill="E9E9E9"/>
          </w:tcPr>
          <w:p>
            <w:pPr>
              <w:spacing w:after="0"/>
              <w:rPr>
                <w:sz w:val="11"/>
                <w:szCs w:val="11"/>
                <w:color w:val="auto"/>
              </w:rPr>
            </w:pPr>
          </w:p>
        </w:tc>
        <w:tc>
          <w:tcPr>
            <w:tcW w:w="60" w:type="dxa"/>
            <w:vAlign w:val="bottom"/>
            <w:tcBorders>
              <w:top w:val="single" w:sz="8" w:color="E9E9E9"/>
              <w:bottom w:val="single" w:sz="8" w:color="E9E9E9"/>
            </w:tcBorders>
            <w:shd w:val="clear" w:color="auto" w:fill="E9E9E9"/>
          </w:tcPr>
          <w:p>
            <w:pPr>
              <w:spacing w:after="0"/>
              <w:rPr>
                <w:sz w:val="11"/>
                <w:szCs w:val="11"/>
                <w:color w:val="auto"/>
              </w:rPr>
            </w:pPr>
          </w:p>
        </w:tc>
        <w:tc>
          <w:tcPr>
            <w:tcW w:w="880" w:type="dxa"/>
            <w:vAlign w:val="bottom"/>
            <w:tcBorders>
              <w:top w:val="single" w:sz="8" w:color="E9E9E9"/>
              <w:bottom w:val="single" w:sz="8" w:color="E9E9E9"/>
            </w:tcBorders>
            <w:shd w:val="clear" w:color="auto" w:fill="E9E9E9"/>
          </w:tcPr>
          <w:p>
            <w:pPr>
              <w:spacing w:after="0"/>
              <w:rPr>
                <w:sz w:val="11"/>
                <w:szCs w:val="11"/>
                <w:color w:val="auto"/>
              </w:rPr>
            </w:pPr>
          </w:p>
        </w:tc>
        <w:tc>
          <w:tcPr>
            <w:tcW w:w="80" w:type="dxa"/>
            <w:vAlign w:val="bottom"/>
            <w:tcBorders>
              <w:top w:val="single" w:sz="8" w:color="E9E9E9"/>
              <w:bottom w:val="single" w:sz="8" w:color="E9E9E9"/>
            </w:tcBorders>
            <w:shd w:val="clear" w:color="auto" w:fill="E9E9E9"/>
          </w:tcPr>
          <w:p>
            <w:pPr>
              <w:spacing w:after="0"/>
              <w:rPr>
                <w:sz w:val="11"/>
                <w:szCs w:val="11"/>
                <w:color w:val="auto"/>
              </w:rPr>
            </w:pPr>
          </w:p>
        </w:tc>
        <w:tc>
          <w:tcPr>
            <w:tcW w:w="1500" w:type="dxa"/>
            <w:vAlign w:val="bottom"/>
            <w:tcBorders>
              <w:top w:val="single" w:sz="8" w:color="E9E9E9"/>
              <w:bottom w:val="single" w:sz="8" w:color="E9E9E9"/>
            </w:tcBorders>
            <w:shd w:val="clear" w:color="auto" w:fill="E9E9E9"/>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80" w:type="dxa"/>
            <w:vAlign w:val="bottom"/>
            <w:tcBorders>
              <w:bottom w:val="single" w:sz="8" w:color="E9E9E9"/>
            </w:tcBorders>
            <w:shd w:val="clear" w:color="auto" w:fill="E9E9E9"/>
          </w:tcPr>
          <w:p>
            <w:pPr>
              <w:spacing w:after="0"/>
              <w:rPr>
                <w:sz w:val="11"/>
                <w:szCs w:val="11"/>
                <w:color w:val="auto"/>
              </w:rPr>
            </w:pPr>
          </w:p>
        </w:tc>
        <w:tc>
          <w:tcPr>
            <w:tcW w:w="80" w:type="dxa"/>
            <w:vAlign w:val="bottom"/>
            <w:tcBorders>
              <w:bottom w:val="single" w:sz="8" w:color="E9E9E9"/>
            </w:tcBorders>
            <w:shd w:val="clear" w:color="auto" w:fill="E9E9E9"/>
          </w:tcPr>
          <w:p>
            <w:pPr>
              <w:spacing w:after="0"/>
              <w:rPr>
                <w:sz w:val="11"/>
                <w:szCs w:val="11"/>
                <w:color w:val="auto"/>
              </w:rPr>
            </w:pPr>
          </w:p>
        </w:tc>
        <w:tc>
          <w:tcPr>
            <w:tcW w:w="40" w:type="dxa"/>
            <w:vAlign w:val="bottom"/>
            <w:tcBorders>
              <w:bottom w:val="single" w:sz="8" w:color="E9E9E9"/>
            </w:tcBorders>
            <w:shd w:val="clear" w:color="auto" w:fill="E9E9E9"/>
          </w:tcPr>
          <w:p>
            <w:pPr>
              <w:spacing w:after="0"/>
              <w:rPr>
                <w:sz w:val="11"/>
                <w:szCs w:val="11"/>
                <w:color w:val="auto"/>
              </w:rPr>
            </w:pPr>
          </w:p>
        </w:tc>
        <w:tc>
          <w:tcPr>
            <w:tcW w:w="5060" w:type="dxa"/>
            <w:vAlign w:val="bottom"/>
            <w:tcBorders>
              <w:bottom w:val="single" w:sz="8" w:color="313131"/>
            </w:tcBorders>
            <w:gridSpan w:val="39"/>
            <w:shd w:val="clear" w:color="auto" w:fill="E9E9E9"/>
          </w:tcPr>
          <w:p>
            <w:pPr>
              <w:spacing w:after="0" w:line="137" w:lineRule="exact"/>
              <w:rPr>
                <w:sz w:val="20"/>
                <w:szCs w:val="20"/>
                <w:color w:val="auto"/>
              </w:rPr>
            </w:pPr>
            <w:r>
              <w:rPr>
                <w:rFonts w:ascii="Times New Roman" w:cs="Times New Roman" w:eastAsia="Times New Roman" w:hAnsi="Times New Roman"/>
                <w:sz w:val="15"/>
                <w:szCs w:val="15"/>
                <w:color w:val="313131"/>
              </w:rPr>
              <w:t>to time party thereto, Lantheus Medical Imaging, Inc., as borrower, and Lantheus</w:t>
            </w:r>
          </w:p>
        </w:tc>
        <w:tc>
          <w:tcPr>
            <w:tcW w:w="20" w:type="dxa"/>
            <w:vAlign w:val="bottom"/>
            <w:tcBorders>
              <w:bottom w:val="single" w:sz="8" w:color="313131"/>
            </w:tcBorders>
            <w:shd w:val="clear" w:color="auto" w:fill="E9E9E9"/>
          </w:tcPr>
          <w:p>
            <w:pPr>
              <w:spacing w:after="0"/>
              <w:rPr>
                <w:sz w:val="11"/>
                <w:szCs w:val="11"/>
                <w:color w:val="auto"/>
              </w:rPr>
            </w:pPr>
          </w:p>
        </w:tc>
        <w:tc>
          <w:tcPr>
            <w:tcW w:w="40" w:type="dxa"/>
            <w:vAlign w:val="bottom"/>
            <w:tcBorders>
              <w:bottom w:val="single" w:sz="8" w:color="313131"/>
            </w:tcBorders>
            <w:gridSpan w:val="2"/>
            <w:shd w:val="clear" w:color="auto" w:fill="E9E9E9"/>
          </w:tcPr>
          <w:p>
            <w:pPr>
              <w:spacing w:after="0"/>
              <w:rPr>
                <w:sz w:val="11"/>
                <w:szCs w:val="11"/>
                <w:color w:val="auto"/>
              </w:rPr>
            </w:pPr>
          </w:p>
        </w:tc>
        <w:tc>
          <w:tcPr>
            <w:tcW w:w="0" w:type="dxa"/>
            <w:vAlign w:val="bottom"/>
            <w:tcBorders>
              <w:bottom w:val="single" w:sz="8" w:color="313131"/>
            </w:tcBorders>
            <w:shd w:val="clear" w:color="auto" w:fill="E9E9E9"/>
          </w:tcPr>
          <w:p>
            <w:pPr>
              <w:spacing w:after="0"/>
              <w:rPr>
                <w:sz w:val="11"/>
                <w:szCs w:val="11"/>
                <w:color w:val="auto"/>
              </w:rPr>
            </w:pPr>
          </w:p>
        </w:tc>
        <w:tc>
          <w:tcPr>
            <w:tcW w:w="20" w:type="dxa"/>
            <w:vAlign w:val="bottom"/>
            <w:tcBorders>
              <w:bottom w:val="single" w:sz="8" w:color="313131"/>
            </w:tcBorders>
            <w:shd w:val="clear" w:color="auto" w:fill="E9E9E9"/>
          </w:tcPr>
          <w:p>
            <w:pPr>
              <w:spacing w:after="0"/>
              <w:rPr>
                <w:sz w:val="11"/>
                <w:szCs w:val="11"/>
                <w:color w:val="auto"/>
              </w:rPr>
            </w:pPr>
          </w:p>
        </w:tc>
        <w:tc>
          <w:tcPr>
            <w:tcW w:w="40" w:type="dxa"/>
            <w:vAlign w:val="bottom"/>
            <w:tcBorders>
              <w:bottom w:val="single" w:sz="8" w:color="E9E9E9"/>
            </w:tcBorders>
            <w:shd w:val="clear" w:color="auto" w:fill="E9E9E9"/>
          </w:tcPr>
          <w:p>
            <w:pPr>
              <w:spacing w:after="0"/>
              <w:rPr>
                <w:sz w:val="11"/>
                <w:szCs w:val="11"/>
                <w:color w:val="auto"/>
              </w:rPr>
            </w:pPr>
          </w:p>
        </w:tc>
        <w:tc>
          <w:tcPr>
            <w:tcW w:w="80" w:type="dxa"/>
            <w:vAlign w:val="bottom"/>
            <w:tcBorders>
              <w:bottom w:val="single" w:sz="8" w:color="E9E9E9"/>
            </w:tcBorders>
            <w:shd w:val="clear" w:color="auto" w:fill="E9E9E9"/>
          </w:tcPr>
          <w:p>
            <w:pPr>
              <w:spacing w:after="0"/>
              <w:rPr>
                <w:sz w:val="11"/>
                <w:szCs w:val="11"/>
                <w:color w:val="auto"/>
              </w:rPr>
            </w:pPr>
          </w:p>
        </w:tc>
        <w:tc>
          <w:tcPr>
            <w:tcW w:w="720" w:type="dxa"/>
            <w:vAlign w:val="bottom"/>
            <w:tcBorders>
              <w:bottom w:val="single" w:sz="8" w:color="E9E9E9"/>
            </w:tcBorders>
            <w:shd w:val="clear" w:color="auto" w:fill="E9E9E9"/>
          </w:tcPr>
          <w:p>
            <w:pPr>
              <w:spacing w:after="0"/>
              <w:rPr>
                <w:sz w:val="11"/>
                <w:szCs w:val="11"/>
                <w:color w:val="auto"/>
              </w:rPr>
            </w:pPr>
          </w:p>
        </w:tc>
        <w:tc>
          <w:tcPr>
            <w:tcW w:w="80" w:type="dxa"/>
            <w:vAlign w:val="bottom"/>
            <w:tcBorders>
              <w:bottom w:val="single" w:sz="8" w:color="E9E9E9"/>
            </w:tcBorders>
            <w:shd w:val="clear" w:color="auto" w:fill="E9E9E9"/>
          </w:tcPr>
          <w:p>
            <w:pPr>
              <w:spacing w:after="0"/>
              <w:rPr>
                <w:sz w:val="11"/>
                <w:szCs w:val="11"/>
                <w:color w:val="auto"/>
              </w:rPr>
            </w:pPr>
          </w:p>
        </w:tc>
        <w:tc>
          <w:tcPr>
            <w:tcW w:w="980" w:type="dxa"/>
            <w:vAlign w:val="bottom"/>
            <w:tcBorders>
              <w:bottom w:val="single" w:sz="8" w:color="E9E9E9"/>
            </w:tcBorders>
            <w:shd w:val="clear" w:color="auto" w:fill="E9E9E9"/>
          </w:tcPr>
          <w:p>
            <w:pPr>
              <w:spacing w:after="0"/>
              <w:rPr>
                <w:sz w:val="11"/>
                <w:szCs w:val="11"/>
                <w:color w:val="auto"/>
              </w:rPr>
            </w:pPr>
          </w:p>
        </w:tc>
        <w:tc>
          <w:tcPr>
            <w:tcW w:w="60" w:type="dxa"/>
            <w:vAlign w:val="bottom"/>
            <w:tcBorders>
              <w:bottom w:val="single" w:sz="8" w:color="E9E9E9"/>
            </w:tcBorders>
            <w:shd w:val="clear" w:color="auto" w:fill="E9E9E9"/>
          </w:tcPr>
          <w:p>
            <w:pPr>
              <w:spacing w:after="0"/>
              <w:rPr>
                <w:sz w:val="11"/>
                <w:szCs w:val="11"/>
                <w:color w:val="auto"/>
              </w:rPr>
            </w:pPr>
          </w:p>
        </w:tc>
        <w:tc>
          <w:tcPr>
            <w:tcW w:w="880" w:type="dxa"/>
            <w:vAlign w:val="bottom"/>
            <w:tcBorders>
              <w:bottom w:val="single" w:sz="8" w:color="E9E9E9"/>
            </w:tcBorders>
            <w:shd w:val="clear" w:color="auto" w:fill="E9E9E9"/>
          </w:tcPr>
          <w:p>
            <w:pPr>
              <w:spacing w:after="0"/>
              <w:rPr>
                <w:sz w:val="11"/>
                <w:szCs w:val="11"/>
                <w:color w:val="auto"/>
              </w:rPr>
            </w:pPr>
          </w:p>
        </w:tc>
        <w:tc>
          <w:tcPr>
            <w:tcW w:w="80" w:type="dxa"/>
            <w:vAlign w:val="bottom"/>
            <w:tcBorders>
              <w:bottom w:val="single" w:sz="8" w:color="E9E9E9"/>
            </w:tcBorders>
            <w:shd w:val="clear" w:color="auto" w:fill="E9E9E9"/>
          </w:tcPr>
          <w:p>
            <w:pPr>
              <w:spacing w:after="0"/>
              <w:rPr>
                <w:sz w:val="11"/>
                <w:szCs w:val="11"/>
                <w:color w:val="auto"/>
              </w:rPr>
            </w:pPr>
          </w:p>
        </w:tc>
        <w:tc>
          <w:tcPr>
            <w:tcW w:w="1500" w:type="dxa"/>
            <w:vAlign w:val="bottom"/>
            <w:tcBorders>
              <w:bottom w:val="single" w:sz="8" w:color="E9E9E9"/>
            </w:tcBorders>
            <w:shd w:val="clear" w:color="auto" w:fill="E9E9E9"/>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80" w:type="dxa"/>
            <w:vAlign w:val="bottom"/>
            <w:shd w:val="clear" w:color="auto" w:fill="E9E9E9"/>
          </w:tcPr>
          <w:p>
            <w:pPr>
              <w:spacing w:after="0"/>
              <w:rPr>
                <w:sz w:val="11"/>
                <w:szCs w:val="11"/>
                <w:color w:val="auto"/>
              </w:rPr>
            </w:pPr>
          </w:p>
        </w:tc>
        <w:tc>
          <w:tcPr>
            <w:tcW w:w="80" w:type="dxa"/>
            <w:vAlign w:val="bottom"/>
            <w:shd w:val="clear" w:color="auto" w:fill="E9E9E9"/>
          </w:tcPr>
          <w:p>
            <w:pPr>
              <w:spacing w:after="0"/>
              <w:rPr>
                <w:sz w:val="11"/>
                <w:szCs w:val="11"/>
                <w:color w:val="auto"/>
              </w:rPr>
            </w:pPr>
          </w:p>
        </w:tc>
        <w:tc>
          <w:tcPr>
            <w:tcW w:w="40" w:type="dxa"/>
            <w:vAlign w:val="bottom"/>
            <w:shd w:val="clear" w:color="auto" w:fill="E9E9E9"/>
          </w:tcPr>
          <w:p>
            <w:pPr>
              <w:spacing w:after="0"/>
              <w:rPr>
                <w:sz w:val="11"/>
                <w:szCs w:val="11"/>
                <w:color w:val="auto"/>
              </w:rPr>
            </w:pPr>
          </w:p>
        </w:tc>
        <w:tc>
          <w:tcPr>
            <w:tcW w:w="5120" w:type="dxa"/>
            <w:vAlign w:val="bottom"/>
            <w:gridSpan w:val="43"/>
            <w:shd w:val="clear" w:color="auto" w:fill="E9E9E9"/>
          </w:tcPr>
          <w:p>
            <w:pPr>
              <w:spacing w:after="0" w:line="137" w:lineRule="exact"/>
              <w:rPr>
                <w:sz w:val="20"/>
                <w:szCs w:val="20"/>
                <w:color w:val="auto"/>
              </w:rPr>
            </w:pPr>
            <w:r>
              <w:rPr>
                <w:rFonts w:ascii="Times New Roman" w:cs="Times New Roman" w:eastAsia="Times New Roman" w:hAnsi="Times New Roman"/>
                <w:sz w:val="15"/>
                <w:szCs w:val="15"/>
                <w:color w:val="313131"/>
              </w:rPr>
              <w:t>Holdings, Inc.</w:t>
            </w:r>
          </w:p>
        </w:tc>
        <w:tc>
          <w:tcPr>
            <w:tcW w:w="20" w:type="dxa"/>
            <w:vAlign w:val="bottom"/>
            <w:shd w:val="clear" w:color="auto" w:fill="E9E9E9"/>
          </w:tcPr>
          <w:p>
            <w:pPr>
              <w:spacing w:after="0"/>
              <w:rPr>
                <w:sz w:val="11"/>
                <w:szCs w:val="11"/>
                <w:color w:val="auto"/>
              </w:rPr>
            </w:pPr>
          </w:p>
        </w:tc>
        <w:tc>
          <w:tcPr>
            <w:tcW w:w="40" w:type="dxa"/>
            <w:vAlign w:val="bottom"/>
            <w:shd w:val="clear" w:color="auto" w:fill="E9E9E9"/>
          </w:tcPr>
          <w:p>
            <w:pPr>
              <w:spacing w:after="0"/>
              <w:rPr>
                <w:sz w:val="11"/>
                <w:szCs w:val="11"/>
                <w:color w:val="auto"/>
              </w:rPr>
            </w:pPr>
          </w:p>
        </w:tc>
        <w:tc>
          <w:tcPr>
            <w:tcW w:w="80" w:type="dxa"/>
            <w:vAlign w:val="bottom"/>
            <w:shd w:val="clear" w:color="auto" w:fill="E9E9E9"/>
          </w:tcPr>
          <w:p>
            <w:pPr>
              <w:spacing w:after="0"/>
              <w:rPr>
                <w:sz w:val="11"/>
                <w:szCs w:val="11"/>
                <w:color w:val="auto"/>
              </w:rPr>
            </w:pPr>
          </w:p>
        </w:tc>
        <w:tc>
          <w:tcPr>
            <w:tcW w:w="720" w:type="dxa"/>
            <w:vAlign w:val="bottom"/>
            <w:shd w:val="clear" w:color="auto" w:fill="E9E9E9"/>
          </w:tcPr>
          <w:p>
            <w:pPr>
              <w:spacing w:after="0"/>
              <w:rPr>
                <w:sz w:val="11"/>
                <w:szCs w:val="11"/>
                <w:color w:val="auto"/>
              </w:rPr>
            </w:pPr>
          </w:p>
        </w:tc>
        <w:tc>
          <w:tcPr>
            <w:tcW w:w="80" w:type="dxa"/>
            <w:vAlign w:val="bottom"/>
            <w:shd w:val="clear" w:color="auto" w:fill="E9E9E9"/>
          </w:tcPr>
          <w:p>
            <w:pPr>
              <w:spacing w:after="0"/>
              <w:rPr>
                <w:sz w:val="11"/>
                <w:szCs w:val="11"/>
                <w:color w:val="auto"/>
              </w:rPr>
            </w:pPr>
          </w:p>
        </w:tc>
        <w:tc>
          <w:tcPr>
            <w:tcW w:w="980" w:type="dxa"/>
            <w:vAlign w:val="bottom"/>
            <w:shd w:val="clear" w:color="auto" w:fill="E9E9E9"/>
          </w:tcPr>
          <w:p>
            <w:pPr>
              <w:spacing w:after="0"/>
              <w:rPr>
                <w:sz w:val="11"/>
                <w:szCs w:val="11"/>
                <w:color w:val="auto"/>
              </w:rPr>
            </w:pPr>
          </w:p>
        </w:tc>
        <w:tc>
          <w:tcPr>
            <w:tcW w:w="60" w:type="dxa"/>
            <w:vAlign w:val="bottom"/>
            <w:shd w:val="clear" w:color="auto" w:fill="E9E9E9"/>
          </w:tcPr>
          <w:p>
            <w:pPr>
              <w:spacing w:after="0"/>
              <w:rPr>
                <w:sz w:val="11"/>
                <w:szCs w:val="11"/>
                <w:color w:val="auto"/>
              </w:rPr>
            </w:pPr>
          </w:p>
        </w:tc>
        <w:tc>
          <w:tcPr>
            <w:tcW w:w="880" w:type="dxa"/>
            <w:vAlign w:val="bottom"/>
            <w:shd w:val="clear" w:color="auto" w:fill="E9E9E9"/>
          </w:tcPr>
          <w:p>
            <w:pPr>
              <w:spacing w:after="0"/>
              <w:rPr>
                <w:sz w:val="11"/>
                <w:szCs w:val="11"/>
                <w:color w:val="auto"/>
              </w:rPr>
            </w:pPr>
          </w:p>
        </w:tc>
        <w:tc>
          <w:tcPr>
            <w:tcW w:w="80" w:type="dxa"/>
            <w:vAlign w:val="bottom"/>
            <w:shd w:val="clear" w:color="auto" w:fill="E9E9E9"/>
          </w:tcPr>
          <w:p>
            <w:pPr>
              <w:spacing w:after="0"/>
              <w:rPr>
                <w:sz w:val="11"/>
                <w:szCs w:val="11"/>
                <w:color w:val="auto"/>
              </w:rPr>
            </w:pPr>
          </w:p>
        </w:tc>
        <w:tc>
          <w:tcPr>
            <w:tcW w:w="1500" w:type="dxa"/>
            <w:vAlign w:val="bottom"/>
            <w:shd w:val="clear" w:color="auto" w:fill="E9E9E9"/>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1000" w:type="dxa"/>
            <w:vAlign w:val="bottom"/>
            <w:tcBorders>
              <w:top w:val="single" w:sz="8" w:color="E9E9E9"/>
            </w:tcBorders>
            <w:gridSpan w:val="3"/>
            <w:shd w:val="clear" w:color="auto" w:fill="E9E9E9"/>
          </w:tcPr>
          <w:p>
            <w:pPr>
              <w:spacing w:after="0"/>
              <w:rPr>
                <w:sz w:val="5"/>
                <w:szCs w:val="5"/>
                <w:color w:val="auto"/>
              </w:rPr>
            </w:pPr>
          </w:p>
        </w:tc>
        <w:tc>
          <w:tcPr>
            <w:tcW w:w="900" w:type="dxa"/>
            <w:vAlign w:val="bottom"/>
            <w:tcBorders>
              <w:top w:val="single" w:sz="8" w:color="313131"/>
            </w:tcBorders>
            <w:gridSpan w:val="4"/>
            <w:shd w:val="clear" w:color="auto" w:fill="E9E9E9"/>
          </w:tcPr>
          <w:p>
            <w:pPr>
              <w:spacing w:after="0"/>
              <w:rPr>
                <w:sz w:val="5"/>
                <w:szCs w:val="5"/>
                <w:color w:val="auto"/>
              </w:rPr>
            </w:pPr>
          </w:p>
        </w:tc>
        <w:tc>
          <w:tcPr>
            <w:tcW w:w="8660" w:type="dxa"/>
            <w:vAlign w:val="bottom"/>
            <w:tcBorders>
              <w:top w:val="single" w:sz="8" w:color="E9E9E9"/>
            </w:tcBorders>
            <w:gridSpan w:val="49"/>
            <w:shd w:val="clear" w:color="auto" w:fill="E9E9E9"/>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10.26+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120" w:type="dxa"/>
            <w:vAlign w:val="bottom"/>
            <w:gridSpan w:val="43"/>
          </w:tcPr>
          <w:p>
            <w:pPr>
              <w:spacing w:after="0"/>
              <w:rPr>
                <w:sz w:val="20"/>
                <w:szCs w:val="20"/>
                <w:color w:val="auto"/>
              </w:rPr>
            </w:pPr>
            <w:r>
              <w:rPr>
                <w:rFonts w:ascii="Times New Roman" w:cs="Times New Roman" w:eastAsia="Times New Roman" w:hAnsi="Times New Roman"/>
                <w:sz w:val="16"/>
                <w:szCs w:val="16"/>
                <w:color w:val="313131"/>
              </w:rPr>
              <w:t>Lantheus Holdings, Inc. 2023 Employee Stock Purchase Plan</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001-36569</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May 1, 2023</w:t>
            </w:r>
          </w:p>
        </w:tc>
        <w:tc>
          <w:tcPr>
            <w:tcW w:w="0" w:type="dxa"/>
            <w:vAlign w:val="bottom"/>
          </w:tcPr>
          <w:p>
            <w:pPr>
              <w:spacing w:after="0"/>
              <w:rPr>
                <w:sz w:val="1"/>
                <w:szCs w:val="1"/>
                <w:color w:val="auto"/>
              </w:rPr>
            </w:pPr>
          </w:p>
        </w:tc>
      </w:tr>
      <w:tr>
        <w:trPr>
          <w:trHeight w:val="35"/>
        </w:trPr>
        <w:tc>
          <w:tcPr>
            <w:tcW w:w="1000" w:type="dxa"/>
            <w:vAlign w:val="bottom"/>
            <w:gridSpan w:val="3"/>
          </w:tcPr>
          <w:p>
            <w:pPr>
              <w:spacing w:after="0"/>
              <w:rPr>
                <w:sz w:val="3"/>
                <w:szCs w:val="3"/>
                <w:color w:val="auto"/>
              </w:rPr>
            </w:pPr>
          </w:p>
        </w:tc>
        <w:tc>
          <w:tcPr>
            <w:tcW w:w="3860" w:type="dxa"/>
            <w:vAlign w:val="bottom"/>
            <w:tcBorders>
              <w:top w:val="single" w:sz="8" w:color="313131"/>
            </w:tcBorders>
            <w:gridSpan w:val="16"/>
          </w:tcPr>
          <w:p>
            <w:pPr>
              <w:spacing w:after="0"/>
              <w:rPr>
                <w:sz w:val="3"/>
                <w:szCs w:val="3"/>
                <w:color w:val="auto"/>
              </w:rPr>
            </w:pPr>
          </w:p>
        </w:tc>
        <w:tc>
          <w:tcPr>
            <w:tcW w:w="5700" w:type="dxa"/>
            <w:vAlign w:val="bottom"/>
            <w:gridSpan w:val="37"/>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9"/>
              </w:rPr>
              <w:t>10.27††</w:t>
            </w:r>
          </w:p>
        </w:tc>
        <w:tc>
          <w:tcPr>
            <w:tcW w:w="80" w:type="dxa"/>
            <w:vAlign w:val="bottom"/>
            <w:shd w:val="clear" w:color="auto" w:fill="E9E9E9"/>
          </w:tcPr>
          <w:p>
            <w:pPr>
              <w:spacing w:after="0"/>
              <w:rPr>
                <w:sz w:val="16"/>
                <w:szCs w:val="16"/>
                <w:color w:val="auto"/>
              </w:rPr>
            </w:pPr>
          </w:p>
        </w:tc>
        <w:tc>
          <w:tcPr>
            <w:tcW w:w="40" w:type="dxa"/>
            <w:vAlign w:val="bottom"/>
            <w:shd w:val="clear" w:color="auto" w:fill="E9E9E9"/>
          </w:tcPr>
          <w:p>
            <w:pPr>
              <w:spacing w:after="0"/>
              <w:rPr>
                <w:sz w:val="16"/>
                <w:szCs w:val="16"/>
                <w:color w:val="auto"/>
              </w:rPr>
            </w:pPr>
          </w:p>
        </w:tc>
        <w:tc>
          <w:tcPr>
            <w:tcW w:w="5120" w:type="dxa"/>
            <w:vAlign w:val="bottom"/>
            <w:gridSpan w:val="43"/>
            <w:shd w:val="clear" w:color="auto" w:fill="E9E9E9"/>
          </w:tcPr>
          <w:p>
            <w:pPr>
              <w:spacing w:after="0"/>
              <w:rPr>
                <w:sz w:val="20"/>
                <w:szCs w:val="20"/>
                <w:color w:val="auto"/>
              </w:rPr>
            </w:pPr>
            <w:r>
              <w:rPr>
                <w:rFonts w:ascii="Times New Roman" w:cs="Times New Roman" w:eastAsia="Times New Roman" w:hAnsi="Times New Roman"/>
                <w:sz w:val="16"/>
                <w:szCs w:val="16"/>
                <w:color w:val="313131"/>
                <w:w w:val="99"/>
              </w:rPr>
              <w:t>Office Lease by and between LMI and 201 Burlington Road Owner, LLC dated</w:t>
            </w:r>
          </w:p>
        </w:tc>
        <w:tc>
          <w:tcPr>
            <w:tcW w:w="20" w:type="dxa"/>
            <w:vAlign w:val="bottom"/>
            <w:shd w:val="clear" w:color="auto" w:fill="E9E9E9"/>
          </w:tcPr>
          <w:p>
            <w:pPr>
              <w:spacing w:after="0"/>
              <w:rPr>
                <w:sz w:val="16"/>
                <w:szCs w:val="16"/>
                <w:color w:val="auto"/>
              </w:rPr>
            </w:pPr>
          </w:p>
        </w:tc>
        <w:tc>
          <w:tcPr>
            <w:tcW w:w="40" w:type="dxa"/>
            <w:vAlign w:val="bottom"/>
            <w:shd w:val="clear" w:color="auto" w:fill="E9E9E9"/>
          </w:tcPr>
          <w:p>
            <w:pPr>
              <w:spacing w:after="0"/>
              <w:rPr>
                <w:sz w:val="16"/>
                <w:szCs w:val="16"/>
                <w:color w:val="auto"/>
              </w:rPr>
            </w:pPr>
          </w:p>
        </w:tc>
        <w:tc>
          <w:tcPr>
            <w:tcW w:w="80" w:type="dxa"/>
            <w:vAlign w:val="bottom"/>
            <w:shd w:val="clear" w:color="auto" w:fill="E9E9E9"/>
          </w:tcPr>
          <w:p>
            <w:pPr>
              <w:spacing w:after="0"/>
              <w:rPr>
                <w:sz w:val="16"/>
                <w:szCs w:val="16"/>
                <w:color w:val="auto"/>
              </w:rPr>
            </w:pPr>
          </w:p>
        </w:tc>
        <w:tc>
          <w:tcPr>
            <w:tcW w:w="72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1060" w:type="dxa"/>
            <w:vAlign w:val="bottom"/>
            <w:gridSpan w:val="2"/>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8"/>
              </w:rPr>
              <w:t>001-36569</w:t>
            </w:r>
          </w:p>
        </w:tc>
        <w:tc>
          <w:tcPr>
            <w:tcW w:w="940" w:type="dxa"/>
            <w:vAlign w:val="bottom"/>
            <w:gridSpan w:val="2"/>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80" w:type="dxa"/>
            <w:vAlign w:val="bottom"/>
            <w:shd w:val="clear" w:color="auto" w:fill="E9E9E9"/>
          </w:tcPr>
          <w:p>
            <w:pPr>
              <w:spacing w:after="0"/>
              <w:rPr>
                <w:sz w:val="16"/>
                <w:szCs w:val="16"/>
                <w:color w:val="auto"/>
              </w:rPr>
            </w:pPr>
          </w:p>
        </w:tc>
        <w:tc>
          <w:tcPr>
            <w:tcW w:w="150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7"/>
              </w:rPr>
              <w:t>August 3, 2023</w:t>
            </w:r>
          </w:p>
        </w:tc>
        <w:tc>
          <w:tcPr>
            <w:tcW w:w="0" w:type="dxa"/>
            <w:vAlign w:val="bottom"/>
          </w:tcPr>
          <w:p>
            <w:pPr>
              <w:spacing w:after="0"/>
              <w:rPr>
                <w:sz w:val="1"/>
                <w:szCs w:val="1"/>
                <w:color w:val="auto"/>
              </w:rPr>
            </w:pPr>
          </w:p>
        </w:tc>
      </w:tr>
      <w:tr>
        <w:trPr>
          <w:trHeight w:val="137"/>
        </w:trPr>
        <w:tc>
          <w:tcPr>
            <w:tcW w:w="880" w:type="dxa"/>
            <w:vAlign w:val="bottom"/>
            <w:tcBorders>
              <w:top w:val="single" w:sz="8" w:color="E9E9E9"/>
              <w:bottom w:val="single" w:sz="8" w:color="E9E9E9"/>
            </w:tcBorders>
            <w:shd w:val="clear" w:color="auto" w:fill="E9E9E9"/>
          </w:tcPr>
          <w:p>
            <w:pPr>
              <w:spacing w:after="0"/>
              <w:rPr>
                <w:sz w:val="11"/>
                <w:szCs w:val="11"/>
                <w:color w:val="auto"/>
              </w:rPr>
            </w:pPr>
          </w:p>
        </w:tc>
        <w:tc>
          <w:tcPr>
            <w:tcW w:w="80" w:type="dxa"/>
            <w:vAlign w:val="bottom"/>
            <w:tcBorders>
              <w:top w:val="single" w:sz="8" w:color="E9E9E9"/>
              <w:bottom w:val="single" w:sz="8" w:color="E9E9E9"/>
            </w:tcBorders>
            <w:shd w:val="clear" w:color="auto" w:fill="E9E9E9"/>
          </w:tcPr>
          <w:p>
            <w:pPr>
              <w:spacing w:after="0"/>
              <w:rPr>
                <w:sz w:val="11"/>
                <w:szCs w:val="11"/>
                <w:color w:val="auto"/>
              </w:rPr>
            </w:pPr>
          </w:p>
        </w:tc>
        <w:tc>
          <w:tcPr>
            <w:tcW w:w="40" w:type="dxa"/>
            <w:vAlign w:val="bottom"/>
            <w:tcBorders>
              <w:top w:val="single" w:sz="8" w:color="E9E9E9"/>
              <w:bottom w:val="single" w:sz="8" w:color="E9E9E9"/>
            </w:tcBorders>
            <w:shd w:val="clear" w:color="auto" w:fill="E9E9E9"/>
          </w:tcPr>
          <w:p>
            <w:pPr>
              <w:spacing w:after="0"/>
              <w:rPr>
                <w:sz w:val="11"/>
                <w:szCs w:val="11"/>
                <w:color w:val="auto"/>
              </w:rPr>
            </w:pPr>
          </w:p>
        </w:tc>
        <w:tc>
          <w:tcPr>
            <w:tcW w:w="5040" w:type="dxa"/>
            <w:vAlign w:val="bottom"/>
            <w:tcBorders>
              <w:top w:val="single" w:sz="8" w:color="313131"/>
              <w:bottom w:val="single" w:sz="8" w:color="313131"/>
            </w:tcBorders>
            <w:gridSpan w:val="38"/>
            <w:shd w:val="clear" w:color="auto" w:fill="E9E9E9"/>
          </w:tcPr>
          <w:p>
            <w:pPr>
              <w:spacing w:after="0" w:line="137" w:lineRule="exact"/>
              <w:rPr>
                <w:sz w:val="20"/>
                <w:szCs w:val="20"/>
                <w:color w:val="auto"/>
              </w:rPr>
            </w:pPr>
            <w:r>
              <w:rPr>
                <w:rFonts w:ascii="Times New Roman" w:cs="Times New Roman" w:eastAsia="Times New Roman" w:hAnsi="Times New Roman"/>
                <w:sz w:val="15"/>
                <w:szCs w:val="15"/>
                <w:color w:val="313131"/>
              </w:rPr>
              <w:t>February 14, 2022 (the “Lease”); as amended by the First Amendment To Lease</w:t>
            </w:r>
          </w:p>
        </w:tc>
        <w:tc>
          <w:tcPr>
            <w:tcW w:w="40" w:type="dxa"/>
            <w:vAlign w:val="bottom"/>
            <w:tcBorders>
              <w:top w:val="single" w:sz="8" w:color="E9E9E9"/>
              <w:bottom w:val="single" w:sz="8" w:color="313131"/>
            </w:tcBorders>
            <w:gridSpan w:val="2"/>
            <w:shd w:val="clear" w:color="auto" w:fill="E9E9E9"/>
          </w:tcPr>
          <w:p>
            <w:pPr>
              <w:spacing w:after="0"/>
              <w:rPr>
                <w:sz w:val="11"/>
                <w:szCs w:val="11"/>
                <w:color w:val="auto"/>
              </w:rPr>
            </w:pPr>
          </w:p>
        </w:tc>
        <w:tc>
          <w:tcPr>
            <w:tcW w:w="40" w:type="dxa"/>
            <w:vAlign w:val="bottom"/>
            <w:tcBorders>
              <w:top w:val="single" w:sz="8" w:color="E9E9E9"/>
              <w:bottom w:val="single" w:sz="8" w:color="313131"/>
            </w:tcBorders>
            <w:gridSpan w:val="2"/>
            <w:shd w:val="clear" w:color="auto" w:fill="E9E9E9"/>
          </w:tcPr>
          <w:p>
            <w:pPr>
              <w:spacing w:after="0"/>
              <w:rPr>
                <w:sz w:val="11"/>
                <w:szCs w:val="11"/>
                <w:color w:val="auto"/>
              </w:rPr>
            </w:pPr>
          </w:p>
        </w:tc>
        <w:tc>
          <w:tcPr>
            <w:tcW w:w="0" w:type="dxa"/>
            <w:vAlign w:val="bottom"/>
            <w:tcBorders>
              <w:top w:val="single" w:sz="8" w:color="E9E9E9"/>
              <w:bottom w:val="single" w:sz="8" w:color="E9E9E9"/>
            </w:tcBorders>
            <w:shd w:val="clear" w:color="auto" w:fill="E9E9E9"/>
          </w:tcPr>
          <w:p>
            <w:pPr>
              <w:spacing w:after="0"/>
              <w:rPr>
                <w:sz w:val="11"/>
                <w:szCs w:val="11"/>
                <w:color w:val="auto"/>
              </w:rPr>
            </w:pPr>
          </w:p>
        </w:tc>
        <w:tc>
          <w:tcPr>
            <w:tcW w:w="20" w:type="dxa"/>
            <w:vAlign w:val="bottom"/>
            <w:tcBorders>
              <w:top w:val="single" w:sz="8" w:color="E9E9E9"/>
              <w:bottom w:val="single" w:sz="8" w:color="E9E9E9"/>
            </w:tcBorders>
            <w:shd w:val="clear" w:color="auto" w:fill="E9E9E9"/>
          </w:tcPr>
          <w:p>
            <w:pPr>
              <w:spacing w:after="0"/>
              <w:rPr>
                <w:sz w:val="11"/>
                <w:szCs w:val="11"/>
                <w:color w:val="auto"/>
              </w:rPr>
            </w:pPr>
          </w:p>
        </w:tc>
        <w:tc>
          <w:tcPr>
            <w:tcW w:w="40" w:type="dxa"/>
            <w:vAlign w:val="bottom"/>
            <w:tcBorders>
              <w:top w:val="single" w:sz="8" w:color="E9E9E9"/>
              <w:bottom w:val="single" w:sz="8" w:color="E9E9E9"/>
            </w:tcBorders>
            <w:shd w:val="clear" w:color="auto" w:fill="E9E9E9"/>
          </w:tcPr>
          <w:p>
            <w:pPr>
              <w:spacing w:after="0"/>
              <w:rPr>
                <w:sz w:val="11"/>
                <w:szCs w:val="11"/>
                <w:color w:val="auto"/>
              </w:rPr>
            </w:pPr>
          </w:p>
        </w:tc>
        <w:tc>
          <w:tcPr>
            <w:tcW w:w="80" w:type="dxa"/>
            <w:vAlign w:val="bottom"/>
            <w:tcBorders>
              <w:top w:val="single" w:sz="8" w:color="E9E9E9"/>
              <w:bottom w:val="single" w:sz="8" w:color="E9E9E9"/>
            </w:tcBorders>
            <w:shd w:val="clear" w:color="auto" w:fill="E9E9E9"/>
          </w:tcPr>
          <w:p>
            <w:pPr>
              <w:spacing w:after="0"/>
              <w:rPr>
                <w:sz w:val="11"/>
                <w:szCs w:val="11"/>
                <w:color w:val="auto"/>
              </w:rPr>
            </w:pPr>
          </w:p>
        </w:tc>
        <w:tc>
          <w:tcPr>
            <w:tcW w:w="720" w:type="dxa"/>
            <w:vAlign w:val="bottom"/>
            <w:tcBorders>
              <w:top w:val="single" w:sz="8" w:color="E9E9E9"/>
              <w:bottom w:val="single" w:sz="8" w:color="E9E9E9"/>
            </w:tcBorders>
            <w:shd w:val="clear" w:color="auto" w:fill="E9E9E9"/>
          </w:tcPr>
          <w:p>
            <w:pPr>
              <w:spacing w:after="0"/>
              <w:rPr>
                <w:sz w:val="11"/>
                <w:szCs w:val="11"/>
                <w:color w:val="auto"/>
              </w:rPr>
            </w:pPr>
          </w:p>
        </w:tc>
        <w:tc>
          <w:tcPr>
            <w:tcW w:w="80" w:type="dxa"/>
            <w:vAlign w:val="bottom"/>
            <w:tcBorders>
              <w:top w:val="single" w:sz="8" w:color="E9E9E9"/>
              <w:bottom w:val="single" w:sz="8" w:color="E9E9E9"/>
            </w:tcBorders>
            <w:shd w:val="clear" w:color="auto" w:fill="E9E9E9"/>
          </w:tcPr>
          <w:p>
            <w:pPr>
              <w:spacing w:after="0"/>
              <w:rPr>
                <w:sz w:val="11"/>
                <w:szCs w:val="11"/>
                <w:color w:val="auto"/>
              </w:rPr>
            </w:pPr>
          </w:p>
        </w:tc>
        <w:tc>
          <w:tcPr>
            <w:tcW w:w="980" w:type="dxa"/>
            <w:vAlign w:val="bottom"/>
            <w:tcBorders>
              <w:top w:val="single" w:sz="8" w:color="E9E9E9"/>
              <w:bottom w:val="single" w:sz="8" w:color="E9E9E9"/>
            </w:tcBorders>
            <w:shd w:val="clear" w:color="auto" w:fill="E9E9E9"/>
          </w:tcPr>
          <w:p>
            <w:pPr>
              <w:spacing w:after="0"/>
              <w:rPr>
                <w:sz w:val="11"/>
                <w:szCs w:val="11"/>
                <w:color w:val="auto"/>
              </w:rPr>
            </w:pPr>
          </w:p>
        </w:tc>
        <w:tc>
          <w:tcPr>
            <w:tcW w:w="60" w:type="dxa"/>
            <w:vAlign w:val="bottom"/>
            <w:tcBorders>
              <w:top w:val="single" w:sz="8" w:color="E9E9E9"/>
              <w:bottom w:val="single" w:sz="8" w:color="E9E9E9"/>
            </w:tcBorders>
            <w:shd w:val="clear" w:color="auto" w:fill="E9E9E9"/>
          </w:tcPr>
          <w:p>
            <w:pPr>
              <w:spacing w:after="0"/>
              <w:rPr>
                <w:sz w:val="11"/>
                <w:szCs w:val="11"/>
                <w:color w:val="auto"/>
              </w:rPr>
            </w:pPr>
          </w:p>
        </w:tc>
        <w:tc>
          <w:tcPr>
            <w:tcW w:w="880" w:type="dxa"/>
            <w:vAlign w:val="bottom"/>
            <w:tcBorders>
              <w:top w:val="single" w:sz="8" w:color="E9E9E9"/>
              <w:bottom w:val="single" w:sz="8" w:color="E9E9E9"/>
            </w:tcBorders>
            <w:shd w:val="clear" w:color="auto" w:fill="E9E9E9"/>
          </w:tcPr>
          <w:p>
            <w:pPr>
              <w:spacing w:after="0"/>
              <w:rPr>
                <w:sz w:val="11"/>
                <w:szCs w:val="11"/>
                <w:color w:val="auto"/>
              </w:rPr>
            </w:pPr>
          </w:p>
        </w:tc>
        <w:tc>
          <w:tcPr>
            <w:tcW w:w="80" w:type="dxa"/>
            <w:vAlign w:val="bottom"/>
            <w:tcBorders>
              <w:top w:val="single" w:sz="8" w:color="E9E9E9"/>
              <w:bottom w:val="single" w:sz="8" w:color="E9E9E9"/>
            </w:tcBorders>
            <w:shd w:val="clear" w:color="auto" w:fill="E9E9E9"/>
          </w:tcPr>
          <w:p>
            <w:pPr>
              <w:spacing w:after="0"/>
              <w:rPr>
                <w:sz w:val="11"/>
                <w:szCs w:val="11"/>
                <w:color w:val="auto"/>
              </w:rPr>
            </w:pPr>
          </w:p>
        </w:tc>
        <w:tc>
          <w:tcPr>
            <w:tcW w:w="1500" w:type="dxa"/>
            <w:vAlign w:val="bottom"/>
            <w:tcBorders>
              <w:top w:val="single" w:sz="8" w:color="E9E9E9"/>
              <w:bottom w:val="single" w:sz="8" w:color="E9E9E9"/>
            </w:tcBorders>
            <w:shd w:val="clear" w:color="auto" w:fill="E9E9E9"/>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880" w:type="dxa"/>
            <w:vAlign w:val="bottom"/>
            <w:tcBorders>
              <w:bottom w:val="single" w:sz="8" w:color="E9E9E9"/>
            </w:tcBorders>
            <w:shd w:val="clear" w:color="auto" w:fill="E9E9E9"/>
          </w:tcPr>
          <w:p>
            <w:pPr>
              <w:spacing w:after="0"/>
              <w:rPr>
                <w:sz w:val="15"/>
                <w:szCs w:val="15"/>
                <w:color w:val="auto"/>
              </w:rPr>
            </w:pPr>
          </w:p>
        </w:tc>
        <w:tc>
          <w:tcPr>
            <w:tcW w:w="80" w:type="dxa"/>
            <w:vAlign w:val="bottom"/>
            <w:tcBorders>
              <w:bottom w:val="single" w:sz="8" w:color="E9E9E9"/>
            </w:tcBorders>
            <w:shd w:val="clear" w:color="auto" w:fill="E9E9E9"/>
          </w:tcPr>
          <w:p>
            <w:pPr>
              <w:spacing w:after="0"/>
              <w:rPr>
                <w:sz w:val="15"/>
                <w:szCs w:val="15"/>
                <w:color w:val="auto"/>
              </w:rPr>
            </w:pPr>
          </w:p>
        </w:tc>
        <w:tc>
          <w:tcPr>
            <w:tcW w:w="40" w:type="dxa"/>
            <w:vAlign w:val="bottom"/>
            <w:tcBorders>
              <w:bottom w:val="single" w:sz="8" w:color="E9E9E9"/>
            </w:tcBorders>
            <w:shd w:val="clear" w:color="auto" w:fill="E9E9E9"/>
          </w:tcPr>
          <w:p>
            <w:pPr>
              <w:spacing w:after="0"/>
              <w:rPr>
                <w:sz w:val="15"/>
                <w:szCs w:val="15"/>
                <w:color w:val="auto"/>
              </w:rPr>
            </w:pPr>
          </w:p>
        </w:tc>
        <w:tc>
          <w:tcPr>
            <w:tcW w:w="1180" w:type="dxa"/>
            <w:vAlign w:val="bottom"/>
            <w:tcBorders>
              <w:bottom w:val="single" w:sz="8" w:color="313131"/>
            </w:tcBorders>
            <w:gridSpan w:val="5"/>
            <w:shd w:val="clear" w:color="auto" w:fill="E9E9E9"/>
          </w:tcPr>
          <w:p>
            <w:pPr>
              <w:spacing w:after="0" w:line="137" w:lineRule="exact"/>
              <w:rPr>
                <w:sz w:val="20"/>
                <w:szCs w:val="20"/>
                <w:color w:val="auto"/>
              </w:rPr>
            </w:pPr>
            <w:r>
              <w:rPr>
                <w:rFonts w:ascii="Times New Roman" w:cs="Times New Roman" w:eastAsia="Times New Roman" w:hAnsi="Times New Roman"/>
                <w:sz w:val="15"/>
                <w:szCs w:val="15"/>
                <w:color w:val="313131"/>
              </w:rPr>
              <w:t>dated May 4, 2023</w:t>
            </w:r>
          </w:p>
        </w:tc>
        <w:tc>
          <w:tcPr>
            <w:tcW w:w="3940" w:type="dxa"/>
            <w:vAlign w:val="bottom"/>
            <w:tcBorders>
              <w:bottom w:val="single" w:sz="8" w:color="E9E9E9"/>
            </w:tcBorders>
            <w:gridSpan w:val="37"/>
            <w:shd w:val="clear" w:color="auto" w:fill="E9E9E9"/>
          </w:tcPr>
          <w:p>
            <w:pPr>
              <w:spacing w:after="0"/>
              <w:rPr>
                <w:sz w:val="15"/>
                <w:szCs w:val="15"/>
                <w:color w:val="auto"/>
              </w:rPr>
            </w:pPr>
          </w:p>
        </w:tc>
        <w:tc>
          <w:tcPr>
            <w:tcW w:w="0" w:type="dxa"/>
            <w:vAlign w:val="bottom"/>
            <w:tcBorders>
              <w:bottom w:val="single" w:sz="8" w:color="E9E9E9"/>
            </w:tcBorders>
            <w:shd w:val="clear" w:color="auto" w:fill="E9E9E9"/>
          </w:tcPr>
          <w:p>
            <w:pPr>
              <w:spacing w:after="0"/>
              <w:rPr>
                <w:sz w:val="15"/>
                <w:szCs w:val="15"/>
                <w:color w:val="auto"/>
              </w:rPr>
            </w:pPr>
          </w:p>
        </w:tc>
        <w:tc>
          <w:tcPr>
            <w:tcW w:w="20" w:type="dxa"/>
            <w:vAlign w:val="bottom"/>
            <w:tcBorders>
              <w:bottom w:val="single" w:sz="8" w:color="E9E9E9"/>
            </w:tcBorders>
            <w:shd w:val="clear" w:color="auto" w:fill="E9E9E9"/>
          </w:tcPr>
          <w:p>
            <w:pPr>
              <w:spacing w:after="0"/>
              <w:rPr>
                <w:sz w:val="15"/>
                <w:szCs w:val="15"/>
                <w:color w:val="auto"/>
              </w:rPr>
            </w:pPr>
          </w:p>
        </w:tc>
        <w:tc>
          <w:tcPr>
            <w:tcW w:w="40" w:type="dxa"/>
            <w:vAlign w:val="bottom"/>
            <w:tcBorders>
              <w:bottom w:val="single" w:sz="8" w:color="E9E9E9"/>
            </w:tcBorders>
            <w:shd w:val="clear" w:color="auto" w:fill="E9E9E9"/>
          </w:tcPr>
          <w:p>
            <w:pPr>
              <w:spacing w:after="0"/>
              <w:rPr>
                <w:sz w:val="15"/>
                <w:szCs w:val="15"/>
                <w:color w:val="auto"/>
              </w:rPr>
            </w:pPr>
          </w:p>
        </w:tc>
        <w:tc>
          <w:tcPr>
            <w:tcW w:w="80" w:type="dxa"/>
            <w:vAlign w:val="bottom"/>
            <w:tcBorders>
              <w:bottom w:val="single" w:sz="8" w:color="E9E9E9"/>
            </w:tcBorders>
            <w:shd w:val="clear" w:color="auto" w:fill="E9E9E9"/>
          </w:tcPr>
          <w:p>
            <w:pPr>
              <w:spacing w:after="0"/>
              <w:rPr>
                <w:sz w:val="15"/>
                <w:szCs w:val="15"/>
                <w:color w:val="auto"/>
              </w:rPr>
            </w:pPr>
          </w:p>
        </w:tc>
        <w:tc>
          <w:tcPr>
            <w:tcW w:w="720" w:type="dxa"/>
            <w:vAlign w:val="bottom"/>
            <w:tcBorders>
              <w:bottom w:val="single" w:sz="8" w:color="E9E9E9"/>
            </w:tcBorders>
            <w:shd w:val="clear" w:color="auto" w:fill="E9E9E9"/>
          </w:tcPr>
          <w:p>
            <w:pPr>
              <w:spacing w:after="0"/>
              <w:rPr>
                <w:sz w:val="15"/>
                <w:szCs w:val="15"/>
                <w:color w:val="auto"/>
              </w:rPr>
            </w:pPr>
          </w:p>
        </w:tc>
        <w:tc>
          <w:tcPr>
            <w:tcW w:w="80" w:type="dxa"/>
            <w:vAlign w:val="bottom"/>
            <w:tcBorders>
              <w:bottom w:val="single" w:sz="8" w:color="E9E9E9"/>
            </w:tcBorders>
            <w:shd w:val="clear" w:color="auto" w:fill="E9E9E9"/>
          </w:tcPr>
          <w:p>
            <w:pPr>
              <w:spacing w:after="0"/>
              <w:rPr>
                <w:sz w:val="15"/>
                <w:szCs w:val="15"/>
                <w:color w:val="auto"/>
              </w:rPr>
            </w:pPr>
          </w:p>
        </w:tc>
        <w:tc>
          <w:tcPr>
            <w:tcW w:w="980" w:type="dxa"/>
            <w:vAlign w:val="bottom"/>
            <w:tcBorders>
              <w:bottom w:val="single" w:sz="8" w:color="E9E9E9"/>
            </w:tcBorders>
            <w:shd w:val="clear" w:color="auto" w:fill="E9E9E9"/>
          </w:tcPr>
          <w:p>
            <w:pPr>
              <w:spacing w:after="0"/>
              <w:rPr>
                <w:sz w:val="15"/>
                <w:szCs w:val="15"/>
                <w:color w:val="auto"/>
              </w:rPr>
            </w:pPr>
          </w:p>
        </w:tc>
        <w:tc>
          <w:tcPr>
            <w:tcW w:w="60" w:type="dxa"/>
            <w:vAlign w:val="bottom"/>
            <w:tcBorders>
              <w:bottom w:val="single" w:sz="8" w:color="E9E9E9"/>
            </w:tcBorders>
            <w:shd w:val="clear" w:color="auto" w:fill="E9E9E9"/>
          </w:tcPr>
          <w:p>
            <w:pPr>
              <w:spacing w:after="0"/>
              <w:rPr>
                <w:sz w:val="15"/>
                <w:szCs w:val="15"/>
                <w:color w:val="auto"/>
              </w:rPr>
            </w:pPr>
          </w:p>
        </w:tc>
        <w:tc>
          <w:tcPr>
            <w:tcW w:w="880" w:type="dxa"/>
            <w:vAlign w:val="bottom"/>
            <w:tcBorders>
              <w:bottom w:val="single" w:sz="8" w:color="E9E9E9"/>
            </w:tcBorders>
            <w:shd w:val="clear" w:color="auto" w:fill="E9E9E9"/>
          </w:tcPr>
          <w:p>
            <w:pPr>
              <w:spacing w:after="0"/>
              <w:rPr>
                <w:sz w:val="15"/>
                <w:szCs w:val="15"/>
                <w:color w:val="auto"/>
              </w:rPr>
            </w:pPr>
          </w:p>
        </w:tc>
        <w:tc>
          <w:tcPr>
            <w:tcW w:w="80" w:type="dxa"/>
            <w:vAlign w:val="bottom"/>
            <w:tcBorders>
              <w:bottom w:val="single" w:sz="8" w:color="E9E9E9"/>
            </w:tcBorders>
            <w:shd w:val="clear" w:color="auto" w:fill="E9E9E9"/>
          </w:tcPr>
          <w:p>
            <w:pPr>
              <w:spacing w:after="0"/>
              <w:rPr>
                <w:sz w:val="15"/>
                <w:szCs w:val="15"/>
                <w:color w:val="auto"/>
              </w:rPr>
            </w:pPr>
          </w:p>
        </w:tc>
        <w:tc>
          <w:tcPr>
            <w:tcW w:w="1500" w:type="dxa"/>
            <w:vAlign w:val="bottom"/>
            <w:tcBorders>
              <w:bottom w:val="single" w:sz="8" w:color="E9E9E9"/>
            </w:tcBorders>
            <w:shd w:val="clear" w:color="auto" w:fill="E9E9E9"/>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10.28</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120" w:type="dxa"/>
            <w:vAlign w:val="bottom"/>
            <w:tcBorders>
              <w:bottom w:val="single" w:sz="8" w:color="313131"/>
            </w:tcBorders>
            <w:gridSpan w:val="43"/>
          </w:tcPr>
          <w:p>
            <w:pPr>
              <w:spacing w:after="0"/>
              <w:rPr>
                <w:sz w:val="20"/>
                <w:szCs w:val="20"/>
                <w:color w:val="auto"/>
              </w:rPr>
            </w:pPr>
            <w:r>
              <w:rPr>
                <w:rFonts w:ascii="Times New Roman" w:cs="Times New Roman" w:eastAsia="Times New Roman" w:hAnsi="Times New Roman"/>
                <w:sz w:val="16"/>
                <w:szCs w:val="16"/>
                <w:color w:val="313131"/>
                <w:w w:val="98"/>
              </w:rPr>
              <w:t>First Amendment to License and Collaboration Agreement (PNT-2002), dated as</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001-36569</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May 2, 2024</w:t>
            </w:r>
          </w:p>
        </w:tc>
        <w:tc>
          <w:tcPr>
            <w:tcW w:w="0" w:type="dxa"/>
            <w:vAlign w:val="bottom"/>
          </w:tcPr>
          <w:p>
            <w:pPr>
              <w:spacing w:after="0"/>
              <w:rPr>
                <w:sz w:val="1"/>
                <w:szCs w:val="1"/>
                <w:color w:val="auto"/>
              </w:rPr>
            </w:pPr>
          </w:p>
        </w:tc>
      </w:tr>
      <w:tr>
        <w:trPr>
          <w:trHeight w:val="137"/>
        </w:trPr>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120" w:type="dxa"/>
            <w:vAlign w:val="bottom"/>
            <w:tcBorders>
              <w:bottom w:val="single" w:sz="8" w:color="313131"/>
            </w:tcBorders>
            <w:gridSpan w:val="43"/>
          </w:tcPr>
          <w:p>
            <w:pPr>
              <w:spacing w:after="0" w:line="137" w:lineRule="exact"/>
              <w:rPr>
                <w:sz w:val="20"/>
                <w:szCs w:val="20"/>
                <w:color w:val="auto"/>
              </w:rPr>
            </w:pPr>
            <w:r>
              <w:rPr>
                <w:rFonts w:ascii="Times New Roman" w:cs="Times New Roman" w:eastAsia="Times New Roman" w:hAnsi="Times New Roman"/>
                <w:sz w:val="15"/>
                <w:szCs w:val="15"/>
                <w:color w:val="313131"/>
              </w:rPr>
              <w:t>of January 31, 2024, by and between POINT Biopharma, Inc. and Lantheus Two,</w:t>
            </w:r>
          </w:p>
        </w:tc>
        <w:tc>
          <w:tcPr>
            <w:tcW w:w="20" w:type="dxa"/>
            <w:vAlign w:val="bottom"/>
            <w:tcBorders>
              <w:bottom w:val="single" w:sz="8" w:color="313131"/>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120" w:type="dxa"/>
            <w:vAlign w:val="bottom"/>
            <w:gridSpan w:val="43"/>
          </w:tcPr>
          <w:p>
            <w:pPr>
              <w:spacing w:after="0" w:line="137" w:lineRule="exact"/>
              <w:rPr>
                <w:sz w:val="20"/>
                <w:szCs w:val="20"/>
                <w:color w:val="auto"/>
              </w:rPr>
            </w:pPr>
            <w:r>
              <w:rPr>
                <w:rFonts w:ascii="Times New Roman" w:cs="Times New Roman" w:eastAsia="Times New Roman" w:hAnsi="Times New Roman"/>
                <w:sz w:val="15"/>
                <w:szCs w:val="15"/>
                <w:color w:val="313131"/>
              </w:rPr>
              <w:t>LLC and Lantheus Medical Imaging, Inc.</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1000" w:type="dxa"/>
            <w:vAlign w:val="bottom"/>
            <w:gridSpan w:val="3"/>
          </w:tcPr>
          <w:p>
            <w:pPr>
              <w:spacing w:after="0"/>
              <w:rPr>
                <w:sz w:val="3"/>
                <w:szCs w:val="3"/>
                <w:color w:val="auto"/>
              </w:rPr>
            </w:pPr>
          </w:p>
        </w:tc>
        <w:tc>
          <w:tcPr>
            <w:tcW w:w="2600" w:type="dxa"/>
            <w:vAlign w:val="bottom"/>
            <w:tcBorders>
              <w:top w:val="single" w:sz="8" w:color="313131"/>
            </w:tcBorders>
            <w:gridSpan w:val="9"/>
          </w:tcPr>
          <w:p>
            <w:pPr>
              <w:spacing w:after="0"/>
              <w:rPr>
                <w:sz w:val="3"/>
                <w:szCs w:val="3"/>
                <w:color w:val="auto"/>
              </w:rPr>
            </w:pPr>
          </w:p>
        </w:tc>
        <w:tc>
          <w:tcPr>
            <w:tcW w:w="6960" w:type="dxa"/>
            <w:vAlign w:val="bottom"/>
            <w:gridSpan w:val="44"/>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88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9"/>
              </w:rPr>
              <w:t>10.29</w:t>
            </w:r>
          </w:p>
        </w:tc>
        <w:tc>
          <w:tcPr>
            <w:tcW w:w="80" w:type="dxa"/>
            <w:vAlign w:val="bottom"/>
            <w:shd w:val="clear" w:color="auto" w:fill="E9E9E9"/>
          </w:tcPr>
          <w:p>
            <w:pPr>
              <w:spacing w:after="0"/>
              <w:rPr>
                <w:sz w:val="16"/>
                <w:szCs w:val="16"/>
                <w:color w:val="auto"/>
              </w:rPr>
            </w:pPr>
          </w:p>
        </w:tc>
        <w:tc>
          <w:tcPr>
            <w:tcW w:w="40" w:type="dxa"/>
            <w:vAlign w:val="bottom"/>
            <w:shd w:val="clear" w:color="auto" w:fill="E9E9E9"/>
          </w:tcPr>
          <w:p>
            <w:pPr>
              <w:spacing w:after="0"/>
              <w:rPr>
                <w:sz w:val="16"/>
                <w:szCs w:val="16"/>
                <w:color w:val="auto"/>
              </w:rPr>
            </w:pPr>
          </w:p>
        </w:tc>
        <w:tc>
          <w:tcPr>
            <w:tcW w:w="5120" w:type="dxa"/>
            <w:vAlign w:val="bottom"/>
            <w:gridSpan w:val="43"/>
            <w:shd w:val="clear" w:color="auto" w:fill="E9E9E9"/>
          </w:tcPr>
          <w:p>
            <w:pPr>
              <w:spacing w:after="0"/>
              <w:rPr>
                <w:sz w:val="20"/>
                <w:szCs w:val="20"/>
                <w:color w:val="auto"/>
              </w:rPr>
            </w:pPr>
            <w:r>
              <w:rPr>
                <w:rFonts w:ascii="Times New Roman" w:cs="Times New Roman" w:eastAsia="Times New Roman" w:hAnsi="Times New Roman"/>
                <w:sz w:val="16"/>
                <w:szCs w:val="16"/>
                <w:color w:val="313131"/>
              </w:rPr>
              <w:t>Seventh Amendment to Lantheus Holdings, Inc. 2015 Equity Incentive Plan</w:t>
            </w:r>
          </w:p>
        </w:tc>
        <w:tc>
          <w:tcPr>
            <w:tcW w:w="20" w:type="dxa"/>
            <w:vAlign w:val="bottom"/>
            <w:shd w:val="clear" w:color="auto" w:fill="E9E9E9"/>
          </w:tcPr>
          <w:p>
            <w:pPr>
              <w:spacing w:after="0"/>
              <w:rPr>
                <w:sz w:val="16"/>
                <w:szCs w:val="16"/>
                <w:color w:val="auto"/>
              </w:rPr>
            </w:pPr>
          </w:p>
        </w:tc>
        <w:tc>
          <w:tcPr>
            <w:tcW w:w="40" w:type="dxa"/>
            <w:vAlign w:val="bottom"/>
            <w:shd w:val="clear" w:color="auto" w:fill="E9E9E9"/>
          </w:tcPr>
          <w:p>
            <w:pPr>
              <w:spacing w:after="0"/>
              <w:rPr>
                <w:sz w:val="16"/>
                <w:szCs w:val="16"/>
                <w:color w:val="auto"/>
              </w:rPr>
            </w:pPr>
          </w:p>
        </w:tc>
        <w:tc>
          <w:tcPr>
            <w:tcW w:w="80" w:type="dxa"/>
            <w:vAlign w:val="bottom"/>
            <w:shd w:val="clear" w:color="auto" w:fill="E9E9E9"/>
          </w:tcPr>
          <w:p>
            <w:pPr>
              <w:spacing w:after="0"/>
              <w:rPr>
                <w:sz w:val="16"/>
                <w:szCs w:val="16"/>
                <w:color w:val="auto"/>
              </w:rPr>
            </w:pPr>
          </w:p>
        </w:tc>
        <w:tc>
          <w:tcPr>
            <w:tcW w:w="72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060" w:type="dxa"/>
            <w:vAlign w:val="bottom"/>
            <w:gridSpan w:val="2"/>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8"/>
              </w:rPr>
              <w:t>001-36569</w:t>
            </w:r>
          </w:p>
        </w:tc>
        <w:tc>
          <w:tcPr>
            <w:tcW w:w="940" w:type="dxa"/>
            <w:vAlign w:val="bottom"/>
            <w:gridSpan w:val="2"/>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80" w:type="dxa"/>
            <w:vAlign w:val="bottom"/>
            <w:shd w:val="clear" w:color="auto" w:fill="E9E9E9"/>
          </w:tcPr>
          <w:p>
            <w:pPr>
              <w:spacing w:after="0"/>
              <w:rPr>
                <w:sz w:val="16"/>
                <w:szCs w:val="16"/>
                <w:color w:val="auto"/>
              </w:rPr>
            </w:pPr>
          </w:p>
        </w:tc>
        <w:tc>
          <w:tcPr>
            <w:tcW w:w="150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8"/>
              </w:rPr>
              <w:t>April 29, 2024</w:t>
            </w:r>
          </w:p>
        </w:tc>
        <w:tc>
          <w:tcPr>
            <w:tcW w:w="0" w:type="dxa"/>
            <w:vAlign w:val="bottom"/>
          </w:tcPr>
          <w:p>
            <w:pPr>
              <w:spacing w:after="0"/>
              <w:rPr>
                <w:sz w:val="1"/>
                <w:szCs w:val="1"/>
                <w:color w:val="auto"/>
              </w:rPr>
            </w:pPr>
          </w:p>
        </w:tc>
      </w:tr>
      <w:tr>
        <w:trPr>
          <w:trHeight w:val="79"/>
        </w:trPr>
        <w:tc>
          <w:tcPr>
            <w:tcW w:w="1000" w:type="dxa"/>
            <w:vAlign w:val="bottom"/>
            <w:tcBorders>
              <w:top w:val="single" w:sz="8" w:color="E9E9E9"/>
            </w:tcBorders>
            <w:gridSpan w:val="3"/>
            <w:shd w:val="clear" w:color="auto" w:fill="E9E9E9"/>
          </w:tcPr>
          <w:p>
            <w:pPr>
              <w:spacing w:after="0"/>
              <w:rPr>
                <w:sz w:val="6"/>
                <w:szCs w:val="6"/>
                <w:color w:val="auto"/>
              </w:rPr>
            </w:pPr>
          </w:p>
        </w:tc>
        <w:tc>
          <w:tcPr>
            <w:tcW w:w="4780" w:type="dxa"/>
            <w:vAlign w:val="bottom"/>
            <w:tcBorders>
              <w:top w:val="single" w:sz="8" w:color="313131"/>
            </w:tcBorders>
            <w:gridSpan w:val="30"/>
            <w:shd w:val="clear" w:color="auto" w:fill="E9E9E9"/>
          </w:tcPr>
          <w:p>
            <w:pPr>
              <w:spacing w:after="0"/>
              <w:rPr>
                <w:sz w:val="6"/>
                <w:szCs w:val="6"/>
                <w:color w:val="auto"/>
              </w:rPr>
            </w:pPr>
          </w:p>
        </w:tc>
        <w:tc>
          <w:tcPr>
            <w:tcW w:w="4780" w:type="dxa"/>
            <w:vAlign w:val="bottom"/>
            <w:tcBorders>
              <w:top w:val="single" w:sz="8" w:color="E9E9E9"/>
            </w:tcBorders>
            <w:gridSpan w:val="23"/>
            <w:shd w:val="clear" w:color="auto" w:fill="E9E9E9"/>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10.30+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120" w:type="dxa"/>
            <w:vAlign w:val="bottom"/>
            <w:gridSpan w:val="43"/>
          </w:tcPr>
          <w:p>
            <w:pPr>
              <w:spacing w:after="0"/>
              <w:rPr>
                <w:sz w:val="20"/>
                <w:szCs w:val="20"/>
                <w:color w:val="auto"/>
              </w:rPr>
            </w:pPr>
            <w:r>
              <w:rPr>
                <w:rFonts w:ascii="Times New Roman" w:cs="Times New Roman" w:eastAsia="Times New Roman" w:hAnsi="Times New Roman"/>
                <w:sz w:val="16"/>
                <w:szCs w:val="16"/>
                <w:color w:val="313131"/>
              </w:rPr>
              <w:t>Employment Agreement, effective January 23, 2024, by and between Lantheus</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001-36569</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January 23, 2024</w:t>
            </w:r>
          </w:p>
        </w:tc>
        <w:tc>
          <w:tcPr>
            <w:tcW w:w="0" w:type="dxa"/>
            <w:vAlign w:val="bottom"/>
          </w:tcPr>
          <w:p>
            <w:pPr>
              <w:spacing w:after="0"/>
              <w:rPr>
                <w:sz w:val="1"/>
                <w:szCs w:val="1"/>
                <w:color w:val="auto"/>
              </w:rPr>
            </w:pPr>
          </w:p>
        </w:tc>
      </w:tr>
      <w:tr>
        <w:trPr>
          <w:trHeight w:val="137"/>
        </w:trPr>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20" w:type="dxa"/>
            <w:vAlign w:val="bottom"/>
            <w:tcBorders>
              <w:top w:val="single" w:sz="8" w:color="313131"/>
            </w:tcBorders>
            <w:gridSpan w:val="37"/>
          </w:tcPr>
          <w:p>
            <w:pPr>
              <w:spacing w:after="0" w:line="137" w:lineRule="exact"/>
              <w:rPr>
                <w:sz w:val="20"/>
                <w:szCs w:val="20"/>
                <w:color w:val="auto"/>
              </w:rPr>
            </w:pPr>
            <w:r>
              <w:rPr>
                <w:rFonts w:ascii="Times New Roman" w:cs="Times New Roman" w:eastAsia="Times New Roman" w:hAnsi="Times New Roman"/>
                <w:sz w:val="15"/>
                <w:szCs w:val="15"/>
                <w:color w:val="313131"/>
              </w:rPr>
              <w:t>Medical Imaging, Inc. and Brian Markison</w:t>
            </w:r>
          </w:p>
        </w:tc>
        <w:tc>
          <w:tcPr>
            <w:tcW w:w="60" w:type="dxa"/>
            <w:vAlign w:val="bottom"/>
            <w:gridSpan w:val="3"/>
          </w:tcPr>
          <w:p>
            <w:pPr>
              <w:spacing w:after="0"/>
              <w:rPr>
                <w:sz w:val="11"/>
                <w:szCs w:val="11"/>
                <w:color w:val="auto"/>
              </w:rPr>
            </w:pPr>
          </w:p>
        </w:tc>
        <w:tc>
          <w:tcPr>
            <w:tcW w:w="4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000" w:type="dxa"/>
            <w:vAlign w:val="bottom"/>
            <w:gridSpan w:val="3"/>
          </w:tcPr>
          <w:p>
            <w:pPr>
              <w:spacing w:after="0"/>
              <w:rPr>
                <w:sz w:val="8"/>
                <w:szCs w:val="8"/>
                <w:color w:val="auto"/>
              </w:rPr>
            </w:pPr>
          </w:p>
        </w:tc>
        <w:tc>
          <w:tcPr>
            <w:tcW w:w="2680" w:type="dxa"/>
            <w:vAlign w:val="bottom"/>
            <w:tcBorders>
              <w:top w:val="single" w:sz="8" w:color="313131"/>
            </w:tcBorders>
            <w:gridSpan w:val="10"/>
          </w:tcPr>
          <w:p>
            <w:pPr>
              <w:spacing w:after="0"/>
              <w:rPr>
                <w:sz w:val="8"/>
                <w:szCs w:val="8"/>
                <w:color w:val="auto"/>
              </w:rPr>
            </w:pPr>
          </w:p>
        </w:tc>
        <w:tc>
          <w:tcPr>
            <w:tcW w:w="6880" w:type="dxa"/>
            <w:vAlign w:val="bottom"/>
            <w:gridSpan w:val="43"/>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88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8"/>
              </w:rPr>
              <w:t>10.31+††</w:t>
            </w:r>
          </w:p>
        </w:tc>
        <w:tc>
          <w:tcPr>
            <w:tcW w:w="80" w:type="dxa"/>
            <w:vAlign w:val="bottom"/>
            <w:shd w:val="clear" w:color="auto" w:fill="E9E9E9"/>
          </w:tcPr>
          <w:p>
            <w:pPr>
              <w:spacing w:after="0"/>
              <w:rPr>
                <w:sz w:val="16"/>
                <w:szCs w:val="16"/>
                <w:color w:val="auto"/>
              </w:rPr>
            </w:pPr>
          </w:p>
        </w:tc>
        <w:tc>
          <w:tcPr>
            <w:tcW w:w="40" w:type="dxa"/>
            <w:vAlign w:val="bottom"/>
            <w:shd w:val="clear" w:color="auto" w:fill="E9E9E9"/>
          </w:tcPr>
          <w:p>
            <w:pPr>
              <w:spacing w:after="0"/>
              <w:rPr>
                <w:sz w:val="16"/>
                <w:szCs w:val="16"/>
                <w:color w:val="auto"/>
              </w:rPr>
            </w:pPr>
          </w:p>
        </w:tc>
        <w:tc>
          <w:tcPr>
            <w:tcW w:w="5120" w:type="dxa"/>
            <w:vAlign w:val="bottom"/>
            <w:gridSpan w:val="43"/>
            <w:shd w:val="clear" w:color="auto" w:fill="E9E9E9"/>
          </w:tcPr>
          <w:p>
            <w:pPr>
              <w:spacing w:after="0"/>
              <w:rPr>
                <w:sz w:val="20"/>
                <w:szCs w:val="20"/>
                <w:color w:val="auto"/>
              </w:rPr>
            </w:pPr>
            <w:r>
              <w:rPr>
                <w:rFonts w:ascii="Times New Roman" w:cs="Times New Roman" w:eastAsia="Times New Roman" w:hAnsi="Times New Roman"/>
                <w:sz w:val="16"/>
                <w:szCs w:val="16"/>
                <w:color w:val="313131"/>
              </w:rPr>
              <w:t>Consulting Agreement by and between Lantheus Medical Imaging, Inc. and</w:t>
            </w:r>
          </w:p>
        </w:tc>
        <w:tc>
          <w:tcPr>
            <w:tcW w:w="20" w:type="dxa"/>
            <w:vAlign w:val="bottom"/>
            <w:shd w:val="clear" w:color="auto" w:fill="E9E9E9"/>
          </w:tcPr>
          <w:p>
            <w:pPr>
              <w:spacing w:after="0"/>
              <w:rPr>
                <w:sz w:val="16"/>
                <w:szCs w:val="16"/>
                <w:color w:val="auto"/>
              </w:rPr>
            </w:pPr>
          </w:p>
        </w:tc>
        <w:tc>
          <w:tcPr>
            <w:tcW w:w="40" w:type="dxa"/>
            <w:vAlign w:val="bottom"/>
            <w:shd w:val="clear" w:color="auto" w:fill="E9E9E9"/>
          </w:tcPr>
          <w:p>
            <w:pPr>
              <w:spacing w:after="0"/>
              <w:rPr>
                <w:sz w:val="16"/>
                <w:szCs w:val="16"/>
                <w:color w:val="auto"/>
              </w:rPr>
            </w:pPr>
          </w:p>
        </w:tc>
        <w:tc>
          <w:tcPr>
            <w:tcW w:w="80" w:type="dxa"/>
            <w:vAlign w:val="bottom"/>
            <w:shd w:val="clear" w:color="auto" w:fill="E9E9E9"/>
          </w:tcPr>
          <w:p>
            <w:pPr>
              <w:spacing w:after="0"/>
              <w:rPr>
                <w:sz w:val="16"/>
                <w:szCs w:val="16"/>
                <w:color w:val="auto"/>
              </w:rPr>
            </w:pPr>
          </w:p>
        </w:tc>
        <w:tc>
          <w:tcPr>
            <w:tcW w:w="72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1060" w:type="dxa"/>
            <w:vAlign w:val="bottom"/>
            <w:gridSpan w:val="2"/>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8"/>
              </w:rPr>
              <w:t>001-36569</w:t>
            </w:r>
          </w:p>
        </w:tc>
        <w:tc>
          <w:tcPr>
            <w:tcW w:w="940" w:type="dxa"/>
            <w:vAlign w:val="bottom"/>
            <w:gridSpan w:val="2"/>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80" w:type="dxa"/>
            <w:vAlign w:val="bottom"/>
            <w:shd w:val="clear" w:color="auto" w:fill="E9E9E9"/>
          </w:tcPr>
          <w:p>
            <w:pPr>
              <w:spacing w:after="0"/>
              <w:rPr>
                <w:sz w:val="16"/>
                <w:szCs w:val="16"/>
                <w:color w:val="auto"/>
              </w:rPr>
            </w:pPr>
          </w:p>
        </w:tc>
        <w:tc>
          <w:tcPr>
            <w:tcW w:w="150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9"/>
              </w:rPr>
              <w:t>July 31, 2024</w:t>
            </w:r>
          </w:p>
        </w:tc>
        <w:tc>
          <w:tcPr>
            <w:tcW w:w="0" w:type="dxa"/>
            <w:vAlign w:val="bottom"/>
          </w:tcPr>
          <w:p>
            <w:pPr>
              <w:spacing w:after="0"/>
              <w:rPr>
                <w:sz w:val="1"/>
                <w:szCs w:val="1"/>
                <w:color w:val="auto"/>
              </w:rPr>
            </w:pPr>
          </w:p>
        </w:tc>
      </w:tr>
      <w:tr>
        <w:trPr>
          <w:trHeight w:val="137"/>
        </w:trPr>
        <w:tc>
          <w:tcPr>
            <w:tcW w:w="880" w:type="dxa"/>
            <w:vAlign w:val="bottom"/>
            <w:tcBorders>
              <w:top w:val="single" w:sz="8" w:color="E9E9E9"/>
            </w:tcBorders>
            <w:shd w:val="clear" w:color="auto" w:fill="E9E9E9"/>
          </w:tcPr>
          <w:p>
            <w:pPr>
              <w:spacing w:after="0"/>
              <w:rPr>
                <w:sz w:val="11"/>
                <w:szCs w:val="11"/>
                <w:color w:val="auto"/>
              </w:rPr>
            </w:pPr>
          </w:p>
        </w:tc>
        <w:tc>
          <w:tcPr>
            <w:tcW w:w="80" w:type="dxa"/>
            <w:vAlign w:val="bottom"/>
            <w:tcBorders>
              <w:top w:val="single" w:sz="8" w:color="E9E9E9"/>
            </w:tcBorders>
            <w:shd w:val="clear" w:color="auto" w:fill="E9E9E9"/>
          </w:tcPr>
          <w:p>
            <w:pPr>
              <w:spacing w:after="0"/>
              <w:rPr>
                <w:sz w:val="11"/>
                <w:szCs w:val="11"/>
                <w:color w:val="auto"/>
              </w:rPr>
            </w:pPr>
          </w:p>
        </w:tc>
        <w:tc>
          <w:tcPr>
            <w:tcW w:w="40" w:type="dxa"/>
            <w:vAlign w:val="bottom"/>
            <w:tcBorders>
              <w:top w:val="single" w:sz="8" w:color="E9E9E9"/>
            </w:tcBorders>
            <w:shd w:val="clear" w:color="auto" w:fill="E9E9E9"/>
          </w:tcPr>
          <w:p>
            <w:pPr>
              <w:spacing w:after="0"/>
              <w:rPr>
                <w:sz w:val="11"/>
                <w:szCs w:val="11"/>
                <w:color w:val="auto"/>
              </w:rPr>
            </w:pPr>
          </w:p>
        </w:tc>
        <w:tc>
          <w:tcPr>
            <w:tcW w:w="4800" w:type="dxa"/>
            <w:vAlign w:val="bottom"/>
            <w:tcBorders>
              <w:top w:val="single" w:sz="8" w:color="313131"/>
            </w:tcBorders>
            <w:gridSpan w:val="31"/>
            <w:shd w:val="clear" w:color="auto" w:fill="E9E9E9"/>
          </w:tcPr>
          <w:p>
            <w:pPr>
              <w:spacing w:after="0" w:line="137" w:lineRule="exact"/>
              <w:rPr>
                <w:sz w:val="20"/>
                <w:szCs w:val="20"/>
                <w:color w:val="auto"/>
              </w:rPr>
            </w:pPr>
            <w:r>
              <w:rPr>
                <w:rFonts w:ascii="Times New Roman" w:cs="Times New Roman" w:eastAsia="Times New Roman" w:hAnsi="Times New Roman"/>
                <w:sz w:val="15"/>
                <w:szCs w:val="15"/>
                <w:color w:val="313131"/>
              </w:rPr>
              <w:t>Etienne Montagut, effective as of June 7, 2024</w:t>
            </w:r>
          </w:p>
        </w:tc>
        <w:tc>
          <w:tcPr>
            <w:tcW w:w="60" w:type="dxa"/>
            <w:vAlign w:val="bottom"/>
            <w:tcBorders>
              <w:top w:val="single" w:sz="8" w:color="E9E9E9"/>
            </w:tcBorders>
            <w:shd w:val="clear" w:color="auto" w:fill="E9E9E9"/>
          </w:tcPr>
          <w:p>
            <w:pPr>
              <w:spacing w:after="0"/>
              <w:rPr>
                <w:sz w:val="11"/>
                <w:szCs w:val="11"/>
                <w:color w:val="auto"/>
              </w:rPr>
            </w:pPr>
          </w:p>
        </w:tc>
        <w:tc>
          <w:tcPr>
            <w:tcW w:w="140" w:type="dxa"/>
            <w:vAlign w:val="bottom"/>
            <w:tcBorders>
              <w:top w:val="single" w:sz="8" w:color="E9E9E9"/>
            </w:tcBorders>
            <w:gridSpan w:val="4"/>
            <w:shd w:val="clear" w:color="auto" w:fill="E9E9E9"/>
          </w:tcPr>
          <w:p>
            <w:pPr>
              <w:spacing w:after="0"/>
              <w:rPr>
                <w:sz w:val="11"/>
                <w:szCs w:val="11"/>
                <w:color w:val="auto"/>
              </w:rPr>
            </w:pPr>
          </w:p>
        </w:tc>
        <w:tc>
          <w:tcPr>
            <w:tcW w:w="80" w:type="dxa"/>
            <w:vAlign w:val="bottom"/>
            <w:tcBorders>
              <w:top w:val="single" w:sz="8" w:color="E9E9E9"/>
            </w:tcBorders>
            <w:gridSpan w:val="4"/>
            <w:shd w:val="clear" w:color="auto" w:fill="E9E9E9"/>
          </w:tcPr>
          <w:p>
            <w:pPr>
              <w:spacing w:after="0"/>
              <w:rPr>
                <w:sz w:val="11"/>
                <w:szCs w:val="11"/>
                <w:color w:val="auto"/>
              </w:rPr>
            </w:pPr>
          </w:p>
        </w:tc>
        <w:tc>
          <w:tcPr>
            <w:tcW w:w="40" w:type="dxa"/>
            <w:vAlign w:val="bottom"/>
            <w:tcBorders>
              <w:top w:val="single" w:sz="8" w:color="E9E9E9"/>
            </w:tcBorders>
            <w:gridSpan w:val="3"/>
            <w:shd w:val="clear" w:color="auto" w:fill="E9E9E9"/>
          </w:tcPr>
          <w:p>
            <w:pPr>
              <w:spacing w:after="0"/>
              <w:rPr>
                <w:sz w:val="11"/>
                <w:szCs w:val="11"/>
                <w:color w:val="auto"/>
              </w:rPr>
            </w:pPr>
          </w:p>
        </w:tc>
        <w:tc>
          <w:tcPr>
            <w:tcW w:w="20" w:type="dxa"/>
            <w:vAlign w:val="bottom"/>
            <w:tcBorders>
              <w:top w:val="single" w:sz="8" w:color="E9E9E9"/>
            </w:tcBorders>
            <w:shd w:val="clear" w:color="auto" w:fill="E9E9E9"/>
          </w:tcPr>
          <w:p>
            <w:pPr>
              <w:spacing w:after="0"/>
              <w:rPr>
                <w:sz w:val="11"/>
                <w:szCs w:val="11"/>
                <w:color w:val="auto"/>
              </w:rPr>
            </w:pPr>
          </w:p>
        </w:tc>
        <w:tc>
          <w:tcPr>
            <w:tcW w:w="40" w:type="dxa"/>
            <w:vAlign w:val="bottom"/>
            <w:tcBorders>
              <w:top w:val="single" w:sz="8" w:color="E9E9E9"/>
            </w:tcBorders>
            <w:shd w:val="clear" w:color="auto" w:fill="E9E9E9"/>
          </w:tcPr>
          <w:p>
            <w:pPr>
              <w:spacing w:after="0"/>
              <w:rPr>
                <w:sz w:val="11"/>
                <w:szCs w:val="11"/>
                <w:color w:val="auto"/>
              </w:rPr>
            </w:pPr>
          </w:p>
        </w:tc>
        <w:tc>
          <w:tcPr>
            <w:tcW w:w="80" w:type="dxa"/>
            <w:vAlign w:val="bottom"/>
            <w:tcBorders>
              <w:top w:val="single" w:sz="8" w:color="E9E9E9"/>
            </w:tcBorders>
            <w:shd w:val="clear" w:color="auto" w:fill="E9E9E9"/>
          </w:tcPr>
          <w:p>
            <w:pPr>
              <w:spacing w:after="0"/>
              <w:rPr>
                <w:sz w:val="11"/>
                <w:szCs w:val="11"/>
                <w:color w:val="auto"/>
              </w:rPr>
            </w:pPr>
          </w:p>
        </w:tc>
        <w:tc>
          <w:tcPr>
            <w:tcW w:w="720" w:type="dxa"/>
            <w:vAlign w:val="bottom"/>
            <w:tcBorders>
              <w:top w:val="single" w:sz="8" w:color="E9E9E9"/>
            </w:tcBorders>
            <w:shd w:val="clear" w:color="auto" w:fill="E9E9E9"/>
          </w:tcPr>
          <w:p>
            <w:pPr>
              <w:spacing w:after="0"/>
              <w:rPr>
                <w:sz w:val="11"/>
                <w:szCs w:val="11"/>
                <w:color w:val="auto"/>
              </w:rPr>
            </w:pPr>
          </w:p>
        </w:tc>
        <w:tc>
          <w:tcPr>
            <w:tcW w:w="80" w:type="dxa"/>
            <w:vAlign w:val="bottom"/>
            <w:tcBorders>
              <w:top w:val="single" w:sz="8" w:color="E9E9E9"/>
            </w:tcBorders>
            <w:shd w:val="clear" w:color="auto" w:fill="E9E9E9"/>
          </w:tcPr>
          <w:p>
            <w:pPr>
              <w:spacing w:after="0"/>
              <w:rPr>
                <w:sz w:val="11"/>
                <w:szCs w:val="11"/>
                <w:color w:val="auto"/>
              </w:rPr>
            </w:pPr>
          </w:p>
        </w:tc>
        <w:tc>
          <w:tcPr>
            <w:tcW w:w="980" w:type="dxa"/>
            <w:vAlign w:val="bottom"/>
            <w:tcBorders>
              <w:top w:val="single" w:sz="8" w:color="E9E9E9"/>
            </w:tcBorders>
            <w:shd w:val="clear" w:color="auto" w:fill="E9E9E9"/>
          </w:tcPr>
          <w:p>
            <w:pPr>
              <w:spacing w:after="0"/>
              <w:rPr>
                <w:sz w:val="11"/>
                <w:szCs w:val="11"/>
                <w:color w:val="auto"/>
              </w:rPr>
            </w:pPr>
          </w:p>
        </w:tc>
        <w:tc>
          <w:tcPr>
            <w:tcW w:w="60" w:type="dxa"/>
            <w:vAlign w:val="bottom"/>
            <w:tcBorders>
              <w:top w:val="single" w:sz="8" w:color="E9E9E9"/>
            </w:tcBorders>
            <w:shd w:val="clear" w:color="auto" w:fill="E9E9E9"/>
          </w:tcPr>
          <w:p>
            <w:pPr>
              <w:spacing w:after="0"/>
              <w:rPr>
                <w:sz w:val="11"/>
                <w:szCs w:val="11"/>
                <w:color w:val="auto"/>
              </w:rPr>
            </w:pPr>
          </w:p>
        </w:tc>
        <w:tc>
          <w:tcPr>
            <w:tcW w:w="880" w:type="dxa"/>
            <w:vAlign w:val="bottom"/>
            <w:tcBorders>
              <w:top w:val="single" w:sz="8" w:color="E9E9E9"/>
            </w:tcBorders>
            <w:shd w:val="clear" w:color="auto" w:fill="E9E9E9"/>
          </w:tcPr>
          <w:p>
            <w:pPr>
              <w:spacing w:after="0"/>
              <w:rPr>
                <w:sz w:val="11"/>
                <w:szCs w:val="11"/>
                <w:color w:val="auto"/>
              </w:rPr>
            </w:pPr>
          </w:p>
        </w:tc>
        <w:tc>
          <w:tcPr>
            <w:tcW w:w="80" w:type="dxa"/>
            <w:vAlign w:val="bottom"/>
            <w:tcBorders>
              <w:top w:val="single" w:sz="8" w:color="E9E9E9"/>
            </w:tcBorders>
            <w:shd w:val="clear" w:color="auto" w:fill="E9E9E9"/>
          </w:tcPr>
          <w:p>
            <w:pPr>
              <w:spacing w:after="0"/>
              <w:rPr>
                <w:sz w:val="11"/>
                <w:szCs w:val="11"/>
                <w:color w:val="auto"/>
              </w:rPr>
            </w:pPr>
          </w:p>
        </w:tc>
        <w:tc>
          <w:tcPr>
            <w:tcW w:w="1500" w:type="dxa"/>
            <w:vAlign w:val="bottom"/>
            <w:tcBorders>
              <w:top w:val="single" w:sz="8" w:color="E9E9E9"/>
            </w:tcBorders>
            <w:shd w:val="clear" w:color="auto" w:fill="E9E9E9"/>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000" w:type="dxa"/>
            <w:vAlign w:val="bottom"/>
            <w:tcBorders>
              <w:top w:val="single" w:sz="8" w:color="E9E9E9"/>
            </w:tcBorders>
            <w:gridSpan w:val="3"/>
            <w:shd w:val="clear" w:color="auto" w:fill="E9E9E9"/>
          </w:tcPr>
          <w:p>
            <w:pPr>
              <w:spacing w:after="0"/>
              <w:rPr>
                <w:sz w:val="8"/>
                <w:szCs w:val="8"/>
                <w:color w:val="auto"/>
              </w:rPr>
            </w:pPr>
          </w:p>
        </w:tc>
        <w:tc>
          <w:tcPr>
            <w:tcW w:w="2940" w:type="dxa"/>
            <w:vAlign w:val="bottom"/>
            <w:tcBorders>
              <w:top w:val="single" w:sz="8" w:color="313131"/>
            </w:tcBorders>
            <w:gridSpan w:val="11"/>
            <w:shd w:val="clear" w:color="auto" w:fill="E9E9E9"/>
          </w:tcPr>
          <w:p>
            <w:pPr>
              <w:spacing w:after="0"/>
              <w:rPr>
                <w:sz w:val="8"/>
                <w:szCs w:val="8"/>
                <w:color w:val="auto"/>
              </w:rPr>
            </w:pPr>
          </w:p>
        </w:tc>
        <w:tc>
          <w:tcPr>
            <w:tcW w:w="6620" w:type="dxa"/>
            <w:vAlign w:val="bottom"/>
            <w:tcBorders>
              <w:top w:val="single" w:sz="8" w:color="E9E9E9"/>
            </w:tcBorders>
            <w:gridSpan w:val="42"/>
            <w:shd w:val="clear" w:color="auto" w:fill="E9E9E9"/>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120" w:type="dxa"/>
            <w:vAlign w:val="bottom"/>
            <w:gridSpan w:val="43"/>
          </w:tcPr>
          <w:p>
            <w:pPr>
              <w:spacing w:after="0"/>
              <w:rPr>
                <w:sz w:val="20"/>
                <w:szCs w:val="20"/>
                <w:color w:val="auto"/>
              </w:rPr>
            </w:pPr>
            <w:r>
              <w:rPr>
                <w:rFonts w:ascii="Times New Roman" w:cs="Times New Roman" w:eastAsia="Times New Roman" w:hAnsi="Times New Roman"/>
                <w:sz w:val="16"/>
                <w:szCs w:val="16"/>
                <w:color w:val="313131"/>
              </w:rPr>
              <w:t>Second Amendment to Lease dated as of October 3, 2024</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1000" w:type="dxa"/>
            <w:vAlign w:val="bottom"/>
            <w:gridSpan w:val="3"/>
          </w:tcPr>
          <w:p>
            <w:pPr>
              <w:spacing w:after="0"/>
              <w:rPr>
                <w:sz w:val="5"/>
                <w:szCs w:val="5"/>
                <w:color w:val="auto"/>
              </w:rPr>
            </w:pPr>
          </w:p>
        </w:tc>
        <w:tc>
          <w:tcPr>
            <w:tcW w:w="3620" w:type="dxa"/>
            <w:vAlign w:val="bottom"/>
            <w:tcBorders>
              <w:top w:val="single" w:sz="8" w:color="313131"/>
            </w:tcBorders>
            <w:gridSpan w:val="14"/>
          </w:tcPr>
          <w:p>
            <w:pPr>
              <w:spacing w:after="0"/>
              <w:rPr>
                <w:sz w:val="5"/>
                <w:szCs w:val="5"/>
                <w:color w:val="auto"/>
              </w:rPr>
            </w:pPr>
          </w:p>
        </w:tc>
        <w:tc>
          <w:tcPr>
            <w:tcW w:w="5940" w:type="dxa"/>
            <w:vAlign w:val="bottom"/>
            <w:gridSpan w:val="39"/>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88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9"/>
              </w:rPr>
              <w:t>10.33</w:t>
            </w:r>
          </w:p>
        </w:tc>
        <w:tc>
          <w:tcPr>
            <w:tcW w:w="80" w:type="dxa"/>
            <w:vAlign w:val="bottom"/>
            <w:shd w:val="clear" w:color="auto" w:fill="E9E9E9"/>
          </w:tcPr>
          <w:p>
            <w:pPr>
              <w:spacing w:after="0"/>
              <w:rPr>
                <w:sz w:val="16"/>
                <w:szCs w:val="16"/>
                <w:color w:val="auto"/>
              </w:rPr>
            </w:pPr>
          </w:p>
        </w:tc>
        <w:tc>
          <w:tcPr>
            <w:tcW w:w="40" w:type="dxa"/>
            <w:vAlign w:val="bottom"/>
            <w:shd w:val="clear" w:color="auto" w:fill="E9E9E9"/>
          </w:tcPr>
          <w:p>
            <w:pPr>
              <w:spacing w:after="0"/>
              <w:rPr>
                <w:sz w:val="16"/>
                <w:szCs w:val="16"/>
                <w:color w:val="auto"/>
              </w:rPr>
            </w:pPr>
          </w:p>
        </w:tc>
        <w:tc>
          <w:tcPr>
            <w:tcW w:w="5120" w:type="dxa"/>
            <w:vAlign w:val="bottom"/>
            <w:gridSpan w:val="43"/>
            <w:shd w:val="clear" w:color="auto" w:fill="E9E9E9"/>
          </w:tcPr>
          <w:p>
            <w:pPr>
              <w:spacing w:after="0"/>
              <w:rPr>
                <w:sz w:val="20"/>
                <w:szCs w:val="20"/>
                <w:color w:val="auto"/>
              </w:rPr>
            </w:pPr>
            <w:r>
              <w:rPr>
                <w:rFonts w:ascii="Times New Roman" w:cs="Times New Roman" w:eastAsia="Times New Roman" w:hAnsi="Times New Roman"/>
                <w:sz w:val="16"/>
                <w:szCs w:val="16"/>
                <w:color w:val="313131"/>
              </w:rPr>
              <w:t>Eighth Amendment to Lantheus Holdings, Inc. 2015 Equity Incentive Plan</w:t>
            </w:r>
          </w:p>
        </w:tc>
        <w:tc>
          <w:tcPr>
            <w:tcW w:w="20" w:type="dxa"/>
            <w:vAlign w:val="bottom"/>
            <w:shd w:val="clear" w:color="auto" w:fill="E9E9E9"/>
          </w:tcPr>
          <w:p>
            <w:pPr>
              <w:spacing w:after="0"/>
              <w:rPr>
                <w:sz w:val="16"/>
                <w:szCs w:val="16"/>
                <w:color w:val="auto"/>
              </w:rPr>
            </w:pPr>
          </w:p>
        </w:tc>
        <w:tc>
          <w:tcPr>
            <w:tcW w:w="40" w:type="dxa"/>
            <w:vAlign w:val="bottom"/>
            <w:shd w:val="clear" w:color="auto" w:fill="E9E9E9"/>
          </w:tcPr>
          <w:p>
            <w:pPr>
              <w:spacing w:after="0"/>
              <w:rPr>
                <w:sz w:val="16"/>
                <w:szCs w:val="16"/>
                <w:color w:val="auto"/>
              </w:rPr>
            </w:pPr>
          </w:p>
        </w:tc>
        <w:tc>
          <w:tcPr>
            <w:tcW w:w="80" w:type="dxa"/>
            <w:vAlign w:val="bottom"/>
            <w:shd w:val="clear" w:color="auto" w:fill="E9E9E9"/>
          </w:tcPr>
          <w:p>
            <w:pPr>
              <w:spacing w:after="0"/>
              <w:rPr>
                <w:sz w:val="16"/>
                <w:szCs w:val="16"/>
                <w:color w:val="auto"/>
              </w:rPr>
            </w:pPr>
          </w:p>
        </w:tc>
        <w:tc>
          <w:tcPr>
            <w:tcW w:w="72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1060" w:type="dxa"/>
            <w:vAlign w:val="bottom"/>
            <w:gridSpan w:val="2"/>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8"/>
              </w:rPr>
              <w:t>001-36569</w:t>
            </w:r>
          </w:p>
        </w:tc>
        <w:tc>
          <w:tcPr>
            <w:tcW w:w="940" w:type="dxa"/>
            <w:vAlign w:val="bottom"/>
            <w:gridSpan w:val="2"/>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80" w:type="dxa"/>
            <w:vAlign w:val="bottom"/>
            <w:shd w:val="clear" w:color="auto" w:fill="E9E9E9"/>
          </w:tcPr>
          <w:p>
            <w:pPr>
              <w:spacing w:after="0"/>
              <w:rPr>
                <w:sz w:val="16"/>
                <w:szCs w:val="16"/>
                <w:color w:val="auto"/>
              </w:rPr>
            </w:pPr>
          </w:p>
        </w:tc>
        <w:tc>
          <w:tcPr>
            <w:tcW w:w="150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8"/>
              </w:rPr>
              <w:t>November 6, 2024</w:t>
            </w:r>
          </w:p>
        </w:tc>
        <w:tc>
          <w:tcPr>
            <w:tcW w:w="0" w:type="dxa"/>
            <w:vAlign w:val="bottom"/>
          </w:tcPr>
          <w:p>
            <w:pPr>
              <w:spacing w:after="0"/>
              <w:rPr>
                <w:sz w:val="1"/>
                <w:szCs w:val="1"/>
                <w:color w:val="auto"/>
              </w:rPr>
            </w:pPr>
          </w:p>
        </w:tc>
      </w:tr>
      <w:tr>
        <w:trPr>
          <w:trHeight w:val="94"/>
        </w:trPr>
        <w:tc>
          <w:tcPr>
            <w:tcW w:w="1000" w:type="dxa"/>
            <w:vAlign w:val="bottom"/>
            <w:tcBorders>
              <w:top w:val="single" w:sz="8" w:color="E9E9E9"/>
            </w:tcBorders>
            <w:gridSpan w:val="3"/>
            <w:shd w:val="clear" w:color="auto" w:fill="E9E9E9"/>
          </w:tcPr>
          <w:p>
            <w:pPr>
              <w:spacing w:after="0"/>
              <w:rPr>
                <w:sz w:val="8"/>
                <w:szCs w:val="8"/>
                <w:color w:val="auto"/>
              </w:rPr>
            </w:pPr>
          </w:p>
        </w:tc>
        <w:tc>
          <w:tcPr>
            <w:tcW w:w="4720" w:type="dxa"/>
            <w:vAlign w:val="bottom"/>
            <w:tcBorders>
              <w:top w:val="single" w:sz="8" w:color="313131"/>
            </w:tcBorders>
            <w:gridSpan w:val="29"/>
            <w:shd w:val="clear" w:color="auto" w:fill="E9E9E9"/>
          </w:tcPr>
          <w:p>
            <w:pPr>
              <w:spacing w:after="0"/>
              <w:rPr>
                <w:sz w:val="8"/>
                <w:szCs w:val="8"/>
                <w:color w:val="auto"/>
              </w:rPr>
            </w:pPr>
          </w:p>
        </w:tc>
        <w:tc>
          <w:tcPr>
            <w:tcW w:w="4840" w:type="dxa"/>
            <w:vAlign w:val="bottom"/>
            <w:tcBorders>
              <w:top w:val="single" w:sz="8" w:color="E9E9E9"/>
            </w:tcBorders>
            <w:gridSpan w:val="24"/>
            <w:shd w:val="clear" w:color="auto" w:fill="E9E9E9"/>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88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w w:val="99"/>
              </w:rPr>
              <w:t>10.34</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120" w:type="dxa"/>
            <w:vAlign w:val="bottom"/>
            <w:gridSpan w:val="43"/>
          </w:tcPr>
          <w:p>
            <w:pPr>
              <w:spacing w:after="0" w:line="182" w:lineRule="exact"/>
              <w:rPr>
                <w:sz w:val="20"/>
                <w:szCs w:val="20"/>
                <w:color w:val="auto"/>
              </w:rPr>
            </w:pPr>
            <w:r>
              <w:rPr>
                <w:rFonts w:ascii="Times New Roman" w:cs="Times New Roman" w:eastAsia="Times New Roman" w:hAnsi="Times New Roman"/>
                <w:sz w:val="16"/>
                <w:szCs w:val="16"/>
                <w:color w:val="313131"/>
              </w:rPr>
              <w:t>First Amendment to Credit Agreement, dated December 19, 2024, among</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w w:val="96"/>
              </w:rPr>
              <w:t>8-K</w:t>
            </w:r>
          </w:p>
        </w:tc>
        <w:tc>
          <w:tcPr>
            <w:tcW w:w="106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6"/>
                <w:szCs w:val="16"/>
                <w:color w:val="auto"/>
                <w:w w:val="98"/>
              </w:rPr>
              <w:t>001-36569</w:t>
            </w:r>
          </w:p>
        </w:tc>
        <w:tc>
          <w:tcPr>
            <w:tcW w:w="94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6"/>
                <w:szCs w:val="16"/>
                <w:color w:val="auto"/>
                <w:w w:val="99"/>
              </w:rPr>
              <w:t>10.1</w:t>
            </w:r>
          </w:p>
        </w:tc>
        <w:tc>
          <w:tcPr>
            <w:tcW w:w="80" w:type="dxa"/>
            <w:vAlign w:val="bottom"/>
          </w:tcPr>
          <w:p>
            <w:pPr>
              <w:spacing w:after="0"/>
              <w:rPr>
                <w:sz w:val="15"/>
                <w:szCs w:val="15"/>
                <w:color w:val="auto"/>
              </w:rPr>
            </w:pPr>
          </w:p>
        </w:tc>
        <w:tc>
          <w:tcPr>
            <w:tcW w:w="150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w w:val="96"/>
              </w:rPr>
              <w:t>December 23, 2024</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60" w:type="dxa"/>
            <w:vAlign w:val="bottom"/>
            <w:tcBorders>
              <w:top w:val="single" w:sz="8" w:color="313131"/>
            </w:tcBorders>
            <w:gridSpan w:val="26"/>
          </w:tcPr>
          <w:p>
            <w:pPr>
              <w:spacing w:after="0" w:line="149" w:lineRule="exact"/>
              <w:rPr>
                <w:sz w:val="20"/>
                <w:szCs w:val="20"/>
                <w:color w:val="auto"/>
              </w:rPr>
            </w:pPr>
            <w:r>
              <w:rPr>
                <w:rFonts w:ascii="Times New Roman" w:cs="Times New Roman" w:eastAsia="Times New Roman" w:hAnsi="Times New Roman"/>
                <w:sz w:val="16"/>
                <w:szCs w:val="16"/>
                <w:color w:val="313131"/>
                <w:w w:val="99"/>
              </w:rPr>
              <w:t>Lantheus Medical Imaging Inc., Lantheus Holdings, Inc., the lenders and</w:t>
            </w:r>
          </w:p>
        </w:tc>
        <w:tc>
          <w:tcPr>
            <w:tcW w:w="460" w:type="dxa"/>
            <w:vAlign w:val="bottom"/>
            <w:gridSpan w:val="17"/>
          </w:tcPr>
          <w:p>
            <w:pPr>
              <w:spacing w:after="0" w:line="149" w:lineRule="exact"/>
              <w:rPr>
                <w:sz w:val="20"/>
                <w:szCs w:val="20"/>
                <w:color w:val="auto"/>
              </w:rPr>
            </w:pPr>
            <w:r>
              <w:rPr>
                <w:rFonts w:ascii="Times New Roman" w:cs="Times New Roman" w:eastAsia="Times New Roman" w:hAnsi="Times New Roman"/>
                <w:sz w:val="16"/>
                <w:szCs w:val="16"/>
                <w:color w:val="313131"/>
              </w:rPr>
              <w:t>other</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0" w:type="dxa"/>
            <w:vAlign w:val="bottom"/>
            <w:tcBorders>
              <w:top w:val="single" w:sz="8" w:color="313131"/>
            </w:tcBorders>
            <w:gridSpan w:val="36"/>
          </w:tcPr>
          <w:p>
            <w:pPr>
              <w:spacing w:after="0" w:line="137" w:lineRule="exact"/>
              <w:rPr>
                <w:sz w:val="20"/>
                <w:szCs w:val="20"/>
                <w:color w:val="auto"/>
              </w:rPr>
            </w:pPr>
            <w:r>
              <w:rPr>
                <w:rFonts w:ascii="Times New Roman" w:cs="Times New Roman" w:eastAsia="Times New Roman" w:hAnsi="Times New Roman"/>
                <w:sz w:val="15"/>
                <w:szCs w:val="15"/>
                <w:color w:val="313131"/>
              </w:rPr>
              <w:t>parties party thereto and Citizens Bank N.A., as administrative and collateral</w:t>
            </w:r>
          </w:p>
        </w:tc>
        <w:tc>
          <w:tcPr>
            <w:tcW w:w="80" w:type="dxa"/>
            <w:vAlign w:val="bottom"/>
            <w:gridSpan w:val="4"/>
          </w:tcPr>
          <w:p>
            <w:pPr>
              <w:spacing w:after="0"/>
              <w:rPr>
                <w:sz w:val="11"/>
                <w:szCs w:val="11"/>
                <w:color w:val="auto"/>
              </w:rPr>
            </w:pPr>
          </w:p>
        </w:tc>
        <w:tc>
          <w:tcPr>
            <w:tcW w:w="4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60" w:type="dxa"/>
            <w:vAlign w:val="bottom"/>
            <w:tcBorders>
              <w:top w:val="single" w:sz="8" w:color="313131"/>
            </w:tcBorders>
            <w:gridSpan w:val="32"/>
          </w:tcPr>
          <w:p>
            <w:pPr>
              <w:spacing w:after="0" w:line="137" w:lineRule="exact"/>
              <w:rPr>
                <w:sz w:val="20"/>
                <w:szCs w:val="20"/>
                <w:color w:val="auto"/>
              </w:rPr>
            </w:pPr>
            <w:r>
              <w:rPr>
                <w:rFonts w:ascii="Times New Roman" w:cs="Times New Roman" w:eastAsia="Times New Roman" w:hAnsi="Times New Roman"/>
                <w:sz w:val="15"/>
                <w:szCs w:val="15"/>
                <w:color w:val="313131"/>
              </w:rPr>
              <w:t>agent</w:t>
            </w:r>
          </w:p>
        </w:tc>
        <w:tc>
          <w:tcPr>
            <w:tcW w:w="220" w:type="dxa"/>
            <w:vAlign w:val="bottom"/>
            <w:gridSpan w:val="8"/>
          </w:tcPr>
          <w:p>
            <w:pPr>
              <w:spacing w:after="0"/>
              <w:rPr>
                <w:sz w:val="11"/>
                <w:szCs w:val="11"/>
                <w:color w:val="auto"/>
              </w:rPr>
            </w:pPr>
          </w:p>
        </w:tc>
        <w:tc>
          <w:tcPr>
            <w:tcW w:w="4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10560" w:type="dxa"/>
            <w:vAlign w:val="bottom"/>
            <w:gridSpan w:val="5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7"/>
              </w:rPr>
              <w:t>10.35*+</w:t>
            </w:r>
          </w:p>
        </w:tc>
        <w:tc>
          <w:tcPr>
            <w:tcW w:w="80" w:type="dxa"/>
            <w:vAlign w:val="bottom"/>
            <w:shd w:val="clear" w:color="auto" w:fill="E9E9E9"/>
          </w:tcPr>
          <w:p>
            <w:pPr>
              <w:spacing w:after="0"/>
              <w:rPr>
                <w:sz w:val="16"/>
                <w:szCs w:val="16"/>
                <w:color w:val="auto"/>
              </w:rPr>
            </w:pPr>
          </w:p>
        </w:tc>
        <w:tc>
          <w:tcPr>
            <w:tcW w:w="40" w:type="dxa"/>
            <w:vAlign w:val="bottom"/>
            <w:shd w:val="clear" w:color="auto" w:fill="E9E9E9"/>
          </w:tcPr>
          <w:p>
            <w:pPr>
              <w:spacing w:after="0"/>
              <w:rPr>
                <w:sz w:val="16"/>
                <w:szCs w:val="16"/>
                <w:color w:val="auto"/>
              </w:rPr>
            </w:pPr>
          </w:p>
        </w:tc>
        <w:tc>
          <w:tcPr>
            <w:tcW w:w="5120" w:type="dxa"/>
            <w:vAlign w:val="bottom"/>
            <w:gridSpan w:val="43"/>
            <w:shd w:val="clear" w:color="auto" w:fill="E9E9E9"/>
          </w:tcPr>
          <w:p>
            <w:pPr>
              <w:spacing w:after="0"/>
              <w:rPr>
                <w:sz w:val="20"/>
                <w:szCs w:val="20"/>
                <w:color w:val="auto"/>
              </w:rPr>
            </w:pPr>
            <w:r>
              <w:rPr>
                <w:rFonts w:ascii="Times New Roman" w:cs="Times New Roman" w:eastAsia="Times New Roman" w:hAnsi="Times New Roman"/>
                <w:sz w:val="16"/>
                <w:szCs w:val="16"/>
                <w:color w:val="313131"/>
              </w:rPr>
              <w:t>Form of Indemnification Agreement</w:t>
            </w:r>
          </w:p>
        </w:tc>
        <w:tc>
          <w:tcPr>
            <w:tcW w:w="20" w:type="dxa"/>
            <w:vAlign w:val="bottom"/>
            <w:shd w:val="clear" w:color="auto" w:fill="E9E9E9"/>
          </w:tcPr>
          <w:p>
            <w:pPr>
              <w:spacing w:after="0"/>
              <w:rPr>
                <w:sz w:val="16"/>
                <w:szCs w:val="16"/>
                <w:color w:val="auto"/>
              </w:rPr>
            </w:pPr>
          </w:p>
        </w:tc>
        <w:tc>
          <w:tcPr>
            <w:tcW w:w="40" w:type="dxa"/>
            <w:vAlign w:val="bottom"/>
            <w:shd w:val="clear" w:color="auto" w:fill="E9E9E9"/>
          </w:tcPr>
          <w:p>
            <w:pPr>
              <w:spacing w:after="0"/>
              <w:rPr>
                <w:sz w:val="16"/>
                <w:szCs w:val="16"/>
                <w:color w:val="auto"/>
              </w:rPr>
            </w:pPr>
          </w:p>
        </w:tc>
        <w:tc>
          <w:tcPr>
            <w:tcW w:w="80" w:type="dxa"/>
            <w:vAlign w:val="bottom"/>
            <w:shd w:val="clear" w:color="auto" w:fill="E9E9E9"/>
          </w:tcPr>
          <w:p>
            <w:pPr>
              <w:spacing w:after="0"/>
              <w:rPr>
                <w:sz w:val="16"/>
                <w:szCs w:val="16"/>
                <w:color w:val="auto"/>
              </w:rPr>
            </w:pPr>
          </w:p>
        </w:tc>
        <w:tc>
          <w:tcPr>
            <w:tcW w:w="720" w:type="dxa"/>
            <w:vAlign w:val="bottom"/>
            <w:shd w:val="clear" w:color="auto" w:fill="E9E9E9"/>
          </w:tcPr>
          <w:p>
            <w:pPr>
              <w:spacing w:after="0"/>
              <w:rPr>
                <w:sz w:val="16"/>
                <w:szCs w:val="16"/>
                <w:color w:val="auto"/>
              </w:rPr>
            </w:pPr>
          </w:p>
        </w:tc>
        <w:tc>
          <w:tcPr>
            <w:tcW w:w="80" w:type="dxa"/>
            <w:vAlign w:val="bottom"/>
            <w:shd w:val="clear" w:color="auto" w:fill="E9E9E9"/>
          </w:tcPr>
          <w:p>
            <w:pPr>
              <w:spacing w:after="0"/>
              <w:rPr>
                <w:sz w:val="16"/>
                <w:szCs w:val="16"/>
                <w:color w:val="auto"/>
              </w:rPr>
            </w:pPr>
          </w:p>
        </w:tc>
        <w:tc>
          <w:tcPr>
            <w:tcW w:w="980" w:type="dxa"/>
            <w:vAlign w:val="bottom"/>
            <w:shd w:val="clear" w:color="auto" w:fill="E9E9E9"/>
          </w:tcPr>
          <w:p>
            <w:pPr>
              <w:spacing w:after="0"/>
              <w:rPr>
                <w:sz w:val="16"/>
                <w:szCs w:val="16"/>
                <w:color w:val="auto"/>
              </w:rPr>
            </w:pPr>
          </w:p>
        </w:tc>
        <w:tc>
          <w:tcPr>
            <w:tcW w:w="60" w:type="dxa"/>
            <w:vAlign w:val="bottom"/>
            <w:shd w:val="clear" w:color="auto" w:fill="E9E9E9"/>
          </w:tcPr>
          <w:p>
            <w:pPr>
              <w:spacing w:after="0"/>
              <w:rPr>
                <w:sz w:val="16"/>
                <w:szCs w:val="16"/>
                <w:color w:val="auto"/>
              </w:rPr>
            </w:pPr>
          </w:p>
        </w:tc>
        <w:tc>
          <w:tcPr>
            <w:tcW w:w="880" w:type="dxa"/>
            <w:vAlign w:val="bottom"/>
            <w:shd w:val="clear" w:color="auto" w:fill="E9E9E9"/>
          </w:tcPr>
          <w:p>
            <w:pPr>
              <w:spacing w:after="0"/>
              <w:rPr>
                <w:sz w:val="16"/>
                <w:szCs w:val="16"/>
                <w:color w:val="auto"/>
              </w:rPr>
            </w:pPr>
          </w:p>
        </w:tc>
        <w:tc>
          <w:tcPr>
            <w:tcW w:w="80" w:type="dxa"/>
            <w:vAlign w:val="bottom"/>
            <w:shd w:val="clear" w:color="auto" w:fill="E9E9E9"/>
          </w:tcPr>
          <w:p>
            <w:pPr>
              <w:spacing w:after="0"/>
              <w:rPr>
                <w:sz w:val="16"/>
                <w:szCs w:val="16"/>
                <w:color w:val="auto"/>
              </w:rPr>
            </w:pPr>
          </w:p>
        </w:tc>
        <w:tc>
          <w:tcPr>
            <w:tcW w:w="1500" w:type="dxa"/>
            <w:vAlign w:val="bottom"/>
            <w:shd w:val="clear" w:color="auto" w:fill="E9E9E9"/>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1000" w:type="dxa"/>
            <w:vAlign w:val="bottom"/>
            <w:tcBorders>
              <w:top w:val="single" w:sz="8" w:color="E9E9E9"/>
            </w:tcBorders>
            <w:gridSpan w:val="3"/>
            <w:shd w:val="clear" w:color="auto" w:fill="E9E9E9"/>
          </w:tcPr>
          <w:p>
            <w:pPr>
              <w:spacing w:after="0"/>
              <w:rPr>
                <w:sz w:val="5"/>
                <w:szCs w:val="5"/>
                <w:color w:val="auto"/>
              </w:rPr>
            </w:pPr>
          </w:p>
        </w:tc>
        <w:tc>
          <w:tcPr>
            <w:tcW w:w="2280" w:type="dxa"/>
            <w:vAlign w:val="bottom"/>
            <w:tcBorders>
              <w:top w:val="single" w:sz="8" w:color="313131"/>
            </w:tcBorders>
            <w:gridSpan w:val="7"/>
            <w:shd w:val="clear" w:color="auto" w:fill="E9E9E9"/>
          </w:tcPr>
          <w:p>
            <w:pPr>
              <w:spacing w:after="0"/>
              <w:rPr>
                <w:sz w:val="5"/>
                <w:szCs w:val="5"/>
                <w:color w:val="auto"/>
              </w:rPr>
            </w:pPr>
          </w:p>
        </w:tc>
        <w:tc>
          <w:tcPr>
            <w:tcW w:w="7280" w:type="dxa"/>
            <w:vAlign w:val="bottom"/>
            <w:tcBorders>
              <w:top w:val="single" w:sz="8" w:color="E9E9E9"/>
            </w:tcBorders>
            <w:gridSpan w:val="46"/>
            <w:shd w:val="clear" w:color="auto" w:fill="E9E9E9"/>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10.36*+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120" w:type="dxa"/>
            <w:vAlign w:val="bottom"/>
            <w:gridSpan w:val="43"/>
          </w:tcPr>
          <w:p>
            <w:pPr>
              <w:spacing w:after="0"/>
              <w:rPr>
                <w:sz w:val="20"/>
                <w:szCs w:val="20"/>
                <w:color w:val="auto"/>
              </w:rPr>
            </w:pPr>
            <w:r>
              <w:rPr>
                <w:rFonts w:ascii="Times New Roman" w:cs="Times New Roman" w:eastAsia="Times New Roman" w:hAnsi="Times New Roman"/>
                <w:sz w:val="16"/>
                <w:szCs w:val="16"/>
                <w:color w:val="313131"/>
              </w:rPr>
              <w:t>Nonqualified Deferred Compensation Plan</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000" w:type="dxa"/>
            <w:vAlign w:val="bottom"/>
            <w:gridSpan w:val="3"/>
          </w:tcPr>
          <w:p>
            <w:pPr>
              <w:spacing w:after="0"/>
              <w:rPr>
                <w:sz w:val="3"/>
                <w:szCs w:val="3"/>
                <w:color w:val="auto"/>
              </w:rPr>
            </w:pPr>
          </w:p>
        </w:tc>
        <w:tc>
          <w:tcPr>
            <w:tcW w:w="2680" w:type="dxa"/>
            <w:vAlign w:val="bottom"/>
            <w:tcBorders>
              <w:top w:val="single" w:sz="8" w:color="313131"/>
            </w:tcBorders>
            <w:gridSpan w:val="10"/>
          </w:tcPr>
          <w:p>
            <w:pPr>
              <w:spacing w:after="0"/>
              <w:rPr>
                <w:sz w:val="3"/>
                <w:szCs w:val="3"/>
                <w:color w:val="auto"/>
              </w:rPr>
            </w:pPr>
          </w:p>
        </w:tc>
        <w:tc>
          <w:tcPr>
            <w:tcW w:w="6880" w:type="dxa"/>
            <w:vAlign w:val="bottom"/>
            <w:gridSpan w:val="43"/>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9"/>
              </w:rPr>
              <w:t>10.37*††</w:t>
            </w:r>
          </w:p>
        </w:tc>
        <w:tc>
          <w:tcPr>
            <w:tcW w:w="80" w:type="dxa"/>
            <w:vAlign w:val="bottom"/>
            <w:shd w:val="clear" w:color="auto" w:fill="E9E9E9"/>
          </w:tcPr>
          <w:p>
            <w:pPr>
              <w:spacing w:after="0"/>
              <w:rPr>
                <w:sz w:val="16"/>
                <w:szCs w:val="16"/>
                <w:color w:val="auto"/>
              </w:rPr>
            </w:pPr>
          </w:p>
        </w:tc>
        <w:tc>
          <w:tcPr>
            <w:tcW w:w="40" w:type="dxa"/>
            <w:vAlign w:val="bottom"/>
            <w:shd w:val="clear" w:color="auto" w:fill="E9E9E9"/>
          </w:tcPr>
          <w:p>
            <w:pPr>
              <w:spacing w:after="0"/>
              <w:rPr>
                <w:sz w:val="16"/>
                <w:szCs w:val="16"/>
                <w:color w:val="auto"/>
              </w:rPr>
            </w:pPr>
          </w:p>
        </w:tc>
        <w:tc>
          <w:tcPr>
            <w:tcW w:w="5120" w:type="dxa"/>
            <w:vAlign w:val="bottom"/>
            <w:gridSpan w:val="43"/>
            <w:shd w:val="clear" w:color="auto" w:fill="E9E9E9"/>
          </w:tcPr>
          <w:p>
            <w:pPr>
              <w:spacing w:after="0"/>
              <w:rPr>
                <w:sz w:val="20"/>
                <w:szCs w:val="20"/>
                <w:color w:val="auto"/>
              </w:rPr>
            </w:pPr>
            <w:r>
              <w:rPr>
                <w:rFonts w:ascii="Times New Roman" w:cs="Times New Roman" w:eastAsia="Times New Roman" w:hAnsi="Times New Roman"/>
                <w:sz w:val="16"/>
                <w:szCs w:val="16"/>
                <w:color w:val="313131"/>
                <w:w w:val="99"/>
              </w:rPr>
              <w:t>Sale and Purchase Agreement, dated as of January 12, 2025, by and among Life</w:t>
            </w:r>
          </w:p>
        </w:tc>
        <w:tc>
          <w:tcPr>
            <w:tcW w:w="20" w:type="dxa"/>
            <w:vAlign w:val="bottom"/>
            <w:shd w:val="clear" w:color="auto" w:fill="E9E9E9"/>
          </w:tcPr>
          <w:p>
            <w:pPr>
              <w:spacing w:after="0"/>
              <w:rPr>
                <w:sz w:val="16"/>
                <w:szCs w:val="16"/>
                <w:color w:val="auto"/>
              </w:rPr>
            </w:pPr>
          </w:p>
        </w:tc>
        <w:tc>
          <w:tcPr>
            <w:tcW w:w="40" w:type="dxa"/>
            <w:vAlign w:val="bottom"/>
            <w:shd w:val="clear" w:color="auto" w:fill="E9E9E9"/>
          </w:tcPr>
          <w:p>
            <w:pPr>
              <w:spacing w:after="0"/>
              <w:rPr>
                <w:sz w:val="16"/>
                <w:szCs w:val="16"/>
                <w:color w:val="auto"/>
              </w:rPr>
            </w:pPr>
          </w:p>
        </w:tc>
        <w:tc>
          <w:tcPr>
            <w:tcW w:w="80" w:type="dxa"/>
            <w:vAlign w:val="bottom"/>
            <w:shd w:val="clear" w:color="auto" w:fill="E9E9E9"/>
          </w:tcPr>
          <w:p>
            <w:pPr>
              <w:spacing w:after="0"/>
              <w:rPr>
                <w:sz w:val="16"/>
                <w:szCs w:val="16"/>
                <w:color w:val="auto"/>
              </w:rPr>
            </w:pPr>
          </w:p>
        </w:tc>
        <w:tc>
          <w:tcPr>
            <w:tcW w:w="720" w:type="dxa"/>
            <w:vAlign w:val="bottom"/>
            <w:shd w:val="clear" w:color="auto" w:fill="E9E9E9"/>
          </w:tcPr>
          <w:p>
            <w:pPr>
              <w:spacing w:after="0"/>
              <w:rPr>
                <w:sz w:val="16"/>
                <w:szCs w:val="16"/>
                <w:color w:val="auto"/>
              </w:rPr>
            </w:pPr>
          </w:p>
        </w:tc>
        <w:tc>
          <w:tcPr>
            <w:tcW w:w="80" w:type="dxa"/>
            <w:vAlign w:val="bottom"/>
            <w:shd w:val="clear" w:color="auto" w:fill="E9E9E9"/>
          </w:tcPr>
          <w:p>
            <w:pPr>
              <w:spacing w:after="0"/>
              <w:rPr>
                <w:sz w:val="16"/>
                <w:szCs w:val="16"/>
                <w:color w:val="auto"/>
              </w:rPr>
            </w:pPr>
          </w:p>
        </w:tc>
        <w:tc>
          <w:tcPr>
            <w:tcW w:w="980" w:type="dxa"/>
            <w:vAlign w:val="bottom"/>
            <w:shd w:val="clear" w:color="auto" w:fill="E9E9E9"/>
          </w:tcPr>
          <w:p>
            <w:pPr>
              <w:spacing w:after="0"/>
              <w:rPr>
                <w:sz w:val="16"/>
                <w:szCs w:val="16"/>
                <w:color w:val="auto"/>
              </w:rPr>
            </w:pPr>
          </w:p>
        </w:tc>
        <w:tc>
          <w:tcPr>
            <w:tcW w:w="60" w:type="dxa"/>
            <w:vAlign w:val="bottom"/>
            <w:shd w:val="clear" w:color="auto" w:fill="E9E9E9"/>
          </w:tcPr>
          <w:p>
            <w:pPr>
              <w:spacing w:after="0"/>
              <w:rPr>
                <w:sz w:val="16"/>
                <w:szCs w:val="16"/>
                <w:color w:val="auto"/>
              </w:rPr>
            </w:pPr>
          </w:p>
        </w:tc>
        <w:tc>
          <w:tcPr>
            <w:tcW w:w="880" w:type="dxa"/>
            <w:vAlign w:val="bottom"/>
            <w:shd w:val="clear" w:color="auto" w:fill="E9E9E9"/>
          </w:tcPr>
          <w:p>
            <w:pPr>
              <w:spacing w:after="0"/>
              <w:rPr>
                <w:sz w:val="16"/>
                <w:szCs w:val="16"/>
                <w:color w:val="auto"/>
              </w:rPr>
            </w:pPr>
          </w:p>
        </w:tc>
        <w:tc>
          <w:tcPr>
            <w:tcW w:w="80" w:type="dxa"/>
            <w:vAlign w:val="bottom"/>
            <w:shd w:val="clear" w:color="auto" w:fill="E9E9E9"/>
          </w:tcPr>
          <w:p>
            <w:pPr>
              <w:spacing w:after="0"/>
              <w:rPr>
                <w:sz w:val="16"/>
                <w:szCs w:val="16"/>
                <w:color w:val="auto"/>
              </w:rPr>
            </w:pPr>
          </w:p>
        </w:tc>
        <w:tc>
          <w:tcPr>
            <w:tcW w:w="1500" w:type="dxa"/>
            <w:vAlign w:val="bottom"/>
            <w:shd w:val="clear" w:color="auto" w:fill="E9E9E9"/>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880" w:type="dxa"/>
            <w:vAlign w:val="bottom"/>
            <w:tcBorders>
              <w:top w:val="single" w:sz="8" w:color="E9E9E9"/>
              <w:bottom w:val="single" w:sz="8" w:color="E9E9E9"/>
            </w:tcBorders>
            <w:shd w:val="clear" w:color="auto" w:fill="E9E9E9"/>
          </w:tcPr>
          <w:p>
            <w:pPr>
              <w:spacing w:after="0"/>
              <w:rPr>
                <w:sz w:val="11"/>
                <w:szCs w:val="11"/>
                <w:color w:val="auto"/>
              </w:rPr>
            </w:pPr>
          </w:p>
        </w:tc>
        <w:tc>
          <w:tcPr>
            <w:tcW w:w="80" w:type="dxa"/>
            <w:vAlign w:val="bottom"/>
            <w:tcBorders>
              <w:top w:val="single" w:sz="8" w:color="E9E9E9"/>
              <w:bottom w:val="single" w:sz="8" w:color="E9E9E9"/>
            </w:tcBorders>
            <w:shd w:val="clear" w:color="auto" w:fill="E9E9E9"/>
          </w:tcPr>
          <w:p>
            <w:pPr>
              <w:spacing w:after="0"/>
              <w:rPr>
                <w:sz w:val="11"/>
                <w:szCs w:val="11"/>
                <w:color w:val="auto"/>
              </w:rPr>
            </w:pPr>
          </w:p>
        </w:tc>
        <w:tc>
          <w:tcPr>
            <w:tcW w:w="40" w:type="dxa"/>
            <w:vAlign w:val="bottom"/>
            <w:tcBorders>
              <w:top w:val="single" w:sz="8" w:color="E9E9E9"/>
              <w:bottom w:val="single" w:sz="8" w:color="E9E9E9"/>
            </w:tcBorders>
            <w:shd w:val="clear" w:color="auto" w:fill="E9E9E9"/>
          </w:tcPr>
          <w:p>
            <w:pPr>
              <w:spacing w:after="0"/>
              <w:rPr>
                <w:sz w:val="11"/>
                <w:szCs w:val="11"/>
                <w:color w:val="auto"/>
              </w:rPr>
            </w:pPr>
          </w:p>
        </w:tc>
        <w:tc>
          <w:tcPr>
            <w:tcW w:w="4680" w:type="dxa"/>
            <w:vAlign w:val="bottom"/>
            <w:tcBorders>
              <w:top w:val="single" w:sz="8" w:color="313131"/>
              <w:bottom w:val="single" w:sz="8" w:color="313131"/>
            </w:tcBorders>
            <w:gridSpan w:val="27"/>
            <w:shd w:val="clear" w:color="auto" w:fill="E9E9E9"/>
          </w:tcPr>
          <w:p>
            <w:pPr>
              <w:spacing w:after="0" w:line="137" w:lineRule="exact"/>
              <w:rPr>
                <w:sz w:val="20"/>
                <w:szCs w:val="20"/>
                <w:color w:val="auto"/>
              </w:rPr>
            </w:pPr>
            <w:r>
              <w:rPr>
                <w:rFonts w:ascii="Times New Roman" w:cs="Times New Roman" w:eastAsia="Times New Roman" w:hAnsi="Times New Roman"/>
                <w:sz w:val="15"/>
                <w:szCs w:val="15"/>
                <w:color w:val="313131"/>
              </w:rPr>
              <w:t>Medical Group Limited and Life Healthcare Group Holdings Limited and</w:t>
            </w:r>
          </w:p>
        </w:tc>
        <w:tc>
          <w:tcPr>
            <w:tcW w:w="400" w:type="dxa"/>
            <w:vAlign w:val="bottom"/>
            <w:tcBorders>
              <w:top w:val="single" w:sz="8" w:color="313131"/>
              <w:bottom w:val="single" w:sz="8" w:color="E9E9E9"/>
            </w:tcBorders>
            <w:gridSpan w:val="13"/>
            <w:shd w:val="clear" w:color="auto" w:fill="E9E9E9"/>
          </w:tcPr>
          <w:p>
            <w:pPr>
              <w:spacing w:after="0"/>
              <w:rPr>
                <w:sz w:val="11"/>
                <w:szCs w:val="11"/>
                <w:color w:val="auto"/>
              </w:rPr>
            </w:pPr>
          </w:p>
        </w:tc>
        <w:tc>
          <w:tcPr>
            <w:tcW w:w="40" w:type="dxa"/>
            <w:vAlign w:val="bottom"/>
            <w:tcBorders>
              <w:top w:val="single" w:sz="8" w:color="E9E9E9"/>
              <w:bottom w:val="single" w:sz="8" w:color="E9E9E9"/>
            </w:tcBorders>
            <w:gridSpan w:val="3"/>
            <w:shd w:val="clear" w:color="auto" w:fill="E9E9E9"/>
          </w:tcPr>
          <w:p>
            <w:pPr>
              <w:spacing w:after="0"/>
              <w:rPr>
                <w:sz w:val="11"/>
                <w:szCs w:val="11"/>
                <w:color w:val="auto"/>
              </w:rPr>
            </w:pPr>
          </w:p>
        </w:tc>
        <w:tc>
          <w:tcPr>
            <w:tcW w:w="20" w:type="dxa"/>
            <w:vAlign w:val="bottom"/>
            <w:tcBorders>
              <w:top w:val="single" w:sz="8" w:color="E9E9E9"/>
              <w:bottom w:val="single" w:sz="8" w:color="E9E9E9"/>
            </w:tcBorders>
            <w:shd w:val="clear" w:color="auto" w:fill="E9E9E9"/>
          </w:tcPr>
          <w:p>
            <w:pPr>
              <w:spacing w:after="0"/>
              <w:rPr>
                <w:sz w:val="11"/>
                <w:szCs w:val="11"/>
                <w:color w:val="auto"/>
              </w:rPr>
            </w:pPr>
          </w:p>
        </w:tc>
        <w:tc>
          <w:tcPr>
            <w:tcW w:w="40" w:type="dxa"/>
            <w:vAlign w:val="bottom"/>
            <w:tcBorders>
              <w:top w:val="single" w:sz="8" w:color="E9E9E9"/>
              <w:bottom w:val="single" w:sz="8" w:color="E9E9E9"/>
            </w:tcBorders>
            <w:shd w:val="clear" w:color="auto" w:fill="E9E9E9"/>
          </w:tcPr>
          <w:p>
            <w:pPr>
              <w:spacing w:after="0"/>
              <w:rPr>
                <w:sz w:val="11"/>
                <w:szCs w:val="11"/>
                <w:color w:val="auto"/>
              </w:rPr>
            </w:pPr>
          </w:p>
        </w:tc>
        <w:tc>
          <w:tcPr>
            <w:tcW w:w="80" w:type="dxa"/>
            <w:vAlign w:val="bottom"/>
            <w:tcBorders>
              <w:top w:val="single" w:sz="8" w:color="E9E9E9"/>
              <w:bottom w:val="single" w:sz="8" w:color="E9E9E9"/>
            </w:tcBorders>
            <w:shd w:val="clear" w:color="auto" w:fill="E9E9E9"/>
          </w:tcPr>
          <w:p>
            <w:pPr>
              <w:spacing w:after="0"/>
              <w:rPr>
                <w:sz w:val="11"/>
                <w:szCs w:val="11"/>
                <w:color w:val="auto"/>
              </w:rPr>
            </w:pPr>
          </w:p>
        </w:tc>
        <w:tc>
          <w:tcPr>
            <w:tcW w:w="720" w:type="dxa"/>
            <w:vAlign w:val="bottom"/>
            <w:tcBorders>
              <w:top w:val="single" w:sz="8" w:color="E9E9E9"/>
              <w:bottom w:val="single" w:sz="8" w:color="E9E9E9"/>
            </w:tcBorders>
            <w:shd w:val="clear" w:color="auto" w:fill="E9E9E9"/>
          </w:tcPr>
          <w:p>
            <w:pPr>
              <w:spacing w:after="0"/>
              <w:rPr>
                <w:sz w:val="11"/>
                <w:szCs w:val="11"/>
                <w:color w:val="auto"/>
              </w:rPr>
            </w:pPr>
          </w:p>
        </w:tc>
        <w:tc>
          <w:tcPr>
            <w:tcW w:w="80" w:type="dxa"/>
            <w:vAlign w:val="bottom"/>
            <w:tcBorders>
              <w:top w:val="single" w:sz="8" w:color="E9E9E9"/>
              <w:bottom w:val="single" w:sz="8" w:color="E9E9E9"/>
            </w:tcBorders>
            <w:shd w:val="clear" w:color="auto" w:fill="E9E9E9"/>
          </w:tcPr>
          <w:p>
            <w:pPr>
              <w:spacing w:after="0"/>
              <w:rPr>
                <w:sz w:val="11"/>
                <w:szCs w:val="11"/>
                <w:color w:val="auto"/>
              </w:rPr>
            </w:pPr>
          </w:p>
        </w:tc>
        <w:tc>
          <w:tcPr>
            <w:tcW w:w="980" w:type="dxa"/>
            <w:vAlign w:val="bottom"/>
            <w:tcBorders>
              <w:top w:val="single" w:sz="8" w:color="E9E9E9"/>
              <w:bottom w:val="single" w:sz="8" w:color="E9E9E9"/>
            </w:tcBorders>
            <w:shd w:val="clear" w:color="auto" w:fill="E9E9E9"/>
          </w:tcPr>
          <w:p>
            <w:pPr>
              <w:spacing w:after="0"/>
              <w:rPr>
                <w:sz w:val="11"/>
                <w:szCs w:val="11"/>
                <w:color w:val="auto"/>
              </w:rPr>
            </w:pPr>
          </w:p>
        </w:tc>
        <w:tc>
          <w:tcPr>
            <w:tcW w:w="60" w:type="dxa"/>
            <w:vAlign w:val="bottom"/>
            <w:tcBorders>
              <w:top w:val="single" w:sz="8" w:color="E9E9E9"/>
              <w:bottom w:val="single" w:sz="8" w:color="E9E9E9"/>
            </w:tcBorders>
            <w:shd w:val="clear" w:color="auto" w:fill="E9E9E9"/>
          </w:tcPr>
          <w:p>
            <w:pPr>
              <w:spacing w:after="0"/>
              <w:rPr>
                <w:sz w:val="11"/>
                <w:szCs w:val="11"/>
                <w:color w:val="auto"/>
              </w:rPr>
            </w:pPr>
          </w:p>
        </w:tc>
        <w:tc>
          <w:tcPr>
            <w:tcW w:w="880" w:type="dxa"/>
            <w:vAlign w:val="bottom"/>
            <w:tcBorders>
              <w:top w:val="single" w:sz="8" w:color="E9E9E9"/>
              <w:bottom w:val="single" w:sz="8" w:color="E9E9E9"/>
            </w:tcBorders>
            <w:shd w:val="clear" w:color="auto" w:fill="E9E9E9"/>
          </w:tcPr>
          <w:p>
            <w:pPr>
              <w:spacing w:after="0"/>
              <w:rPr>
                <w:sz w:val="11"/>
                <w:szCs w:val="11"/>
                <w:color w:val="auto"/>
              </w:rPr>
            </w:pPr>
          </w:p>
        </w:tc>
        <w:tc>
          <w:tcPr>
            <w:tcW w:w="80" w:type="dxa"/>
            <w:vAlign w:val="bottom"/>
            <w:tcBorders>
              <w:top w:val="single" w:sz="8" w:color="E9E9E9"/>
              <w:bottom w:val="single" w:sz="8" w:color="E9E9E9"/>
            </w:tcBorders>
            <w:shd w:val="clear" w:color="auto" w:fill="E9E9E9"/>
          </w:tcPr>
          <w:p>
            <w:pPr>
              <w:spacing w:after="0"/>
              <w:rPr>
                <w:sz w:val="11"/>
                <w:szCs w:val="11"/>
                <w:color w:val="auto"/>
              </w:rPr>
            </w:pPr>
          </w:p>
        </w:tc>
        <w:tc>
          <w:tcPr>
            <w:tcW w:w="1500" w:type="dxa"/>
            <w:vAlign w:val="bottom"/>
            <w:tcBorders>
              <w:top w:val="single" w:sz="8" w:color="E9E9E9"/>
              <w:bottom w:val="single" w:sz="8" w:color="E9E9E9"/>
            </w:tcBorders>
            <w:shd w:val="clear" w:color="auto" w:fill="E9E9E9"/>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80" w:type="dxa"/>
            <w:vAlign w:val="bottom"/>
            <w:tcBorders>
              <w:bottom w:val="single" w:sz="8" w:color="E9E9E9"/>
            </w:tcBorders>
            <w:shd w:val="clear" w:color="auto" w:fill="E9E9E9"/>
          </w:tcPr>
          <w:p>
            <w:pPr>
              <w:spacing w:after="0"/>
              <w:rPr>
                <w:sz w:val="11"/>
                <w:szCs w:val="11"/>
                <w:color w:val="auto"/>
              </w:rPr>
            </w:pPr>
          </w:p>
        </w:tc>
        <w:tc>
          <w:tcPr>
            <w:tcW w:w="80" w:type="dxa"/>
            <w:vAlign w:val="bottom"/>
            <w:tcBorders>
              <w:bottom w:val="single" w:sz="8" w:color="E9E9E9"/>
            </w:tcBorders>
            <w:shd w:val="clear" w:color="auto" w:fill="E9E9E9"/>
          </w:tcPr>
          <w:p>
            <w:pPr>
              <w:spacing w:after="0"/>
              <w:rPr>
                <w:sz w:val="11"/>
                <w:szCs w:val="11"/>
                <w:color w:val="auto"/>
              </w:rPr>
            </w:pPr>
          </w:p>
        </w:tc>
        <w:tc>
          <w:tcPr>
            <w:tcW w:w="40" w:type="dxa"/>
            <w:vAlign w:val="bottom"/>
            <w:tcBorders>
              <w:bottom w:val="single" w:sz="8" w:color="E9E9E9"/>
            </w:tcBorders>
            <w:shd w:val="clear" w:color="auto" w:fill="E9E9E9"/>
          </w:tcPr>
          <w:p>
            <w:pPr>
              <w:spacing w:after="0"/>
              <w:rPr>
                <w:sz w:val="11"/>
                <w:szCs w:val="11"/>
                <w:color w:val="auto"/>
              </w:rPr>
            </w:pPr>
          </w:p>
        </w:tc>
        <w:tc>
          <w:tcPr>
            <w:tcW w:w="5120" w:type="dxa"/>
            <w:vAlign w:val="bottom"/>
            <w:tcBorders>
              <w:bottom w:val="single" w:sz="8" w:color="313131"/>
            </w:tcBorders>
            <w:gridSpan w:val="43"/>
            <w:shd w:val="clear" w:color="auto" w:fill="E9E9E9"/>
          </w:tcPr>
          <w:p>
            <w:pPr>
              <w:spacing w:after="0" w:line="137" w:lineRule="exact"/>
              <w:rPr>
                <w:sz w:val="20"/>
                <w:szCs w:val="20"/>
                <w:color w:val="auto"/>
              </w:rPr>
            </w:pPr>
            <w:r>
              <w:rPr>
                <w:rFonts w:ascii="Times New Roman" w:cs="Times New Roman" w:eastAsia="Times New Roman" w:hAnsi="Times New Roman"/>
                <w:sz w:val="15"/>
                <w:szCs w:val="15"/>
                <w:color w:val="313131"/>
              </w:rPr>
              <w:t>Lantheus Radiopharmaceuticals UK Limited and Lantheus Medical Imaging Inc.</w:t>
            </w:r>
          </w:p>
        </w:tc>
        <w:tc>
          <w:tcPr>
            <w:tcW w:w="20" w:type="dxa"/>
            <w:vAlign w:val="bottom"/>
            <w:tcBorders>
              <w:bottom w:val="single" w:sz="8" w:color="E9E9E9"/>
            </w:tcBorders>
            <w:shd w:val="clear" w:color="auto" w:fill="E9E9E9"/>
          </w:tcPr>
          <w:p>
            <w:pPr>
              <w:spacing w:after="0"/>
              <w:rPr>
                <w:sz w:val="11"/>
                <w:szCs w:val="11"/>
                <w:color w:val="auto"/>
              </w:rPr>
            </w:pPr>
          </w:p>
        </w:tc>
        <w:tc>
          <w:tcPr>
            <w:tcW w:w="40" w:type="dxa"/>
            <w:vAlign w:val="bottom"/>
            <w:tcBorders>
              <w:bottom w:val="single" w:sz="8" w:color="E9E9E9"/>
            </w:tcBorders>
            <w:shd w:val="clear" w:color="auto" w:fill="E9E9E9"/>
          </w:tcPr>
          <w:p>
            <w:pPr>
              <w:spacing w:after="0"/>
              <w:rPr>
                <w:sz w:val="11"/>
                <w:szCs w:val="11"/>
                <w:color w:val="auto"/>
              </w:rPr>
            </w:pPr>
          </w:p>
        </w:tc>
        <w:tc>
          <w:tcPr>
            <w:tcW w:w="80" w:type="dxa"/>
            <w:vAlign w:val="bottom"/>
            <w:tcBorders>
              <w:bottom w:val="single" w:sz="8" w:color="E9E9E9"/>
            </w:tcBorders>
            <w:shd w:val="clear" w:color="auto" w:fill="E9E9E9"/>
          </w:tcPr>
          <w:p>
            <w:pPr>
              <w:spacing w:after="0"/>
              <w:rPr>
                <w:sz w:val="11"/>
                <w:szCs w:val="11"/>
                <w:color w:val="auto"/>
              </w:rPr>
            </w:pPr>
          </w:p>
        </w:tc>
        <w:tc>
          <w:tcPr>
            <w:tcW w:w="720" w:type="dxa"/>
            <w:vAlign w:val="bottom"/>
            <w:tcBorders>
              <w:bottom w:val="single" w:sz="8" w:color="E9E9E9"/>
            </w:tcBorders>
            <w:shd w:val="clear" w:color="auto" w:fill="E9E9E9"/>
          </w:tcPr>
          <w:p>
            <w:pPr>
              <w:spacing w:after="0"/>
              <w:rPr>
                <w:sz w:val="11"/>
                <w:szCs w:val="11"/>
                <w:color w:val="auto"/>
              </w:rPr>
            </w:pPr>
          </w:p>
        </w:tc>
        <w:tc>
          <w:tcPr>
            <w:tcW w:w="80" w:type="dxa"/>
            <w:vAlign w:val="bottom"/>
            <w:tcBorders>
              <w:bottom w:val="single" w:sz="8" w:color="E9E9E9"/>
            </w:tcBorders>
            <w:shd w:val="clear" w:color="auto" w:fill="E9E9E9"/>
          </w:tcPr>
          <w:p>
            <w:pPr>
              <w:spacing w:after="0"/>
              <w:rPr>
                <w:sz w:val="11"/>
                <w:szCs w:val="11"/>
                <w:color w:val="auto"/>
              </w:rPr>
            </w:pPr>
          </w:p>
        </w:tc>
        <w:tc>
          <w:tcPr>
            <w:tcW w:w="980" w:type="dxa"/>
            <w:vAlign w:val="bottom"/>
            <w:tcBorders>
              <w:bottom w:val="single" w:sz="8" w:color="E9E9E9"/>
            </w:tcBorders>
            <w:shd w:val="clear" w:color="auto" w:fill="E9E9E9"/>
          </w:tcPr>
          <w:p>
            <w:pPr>
              <w:spacing w:after="0"/>
              <w:rPr>
                <w:sz w:val="11"/>
                <w:szCs w:val="11"/>
                <w:color w:val="auto"/>
              </w:rPr>
            </w:pPr>
          </w:p>
        </w:tc>
        <w:tc>
          <w:tcPr>
            <w:tcW w:w="60" w:type="dxa"/>
            <w:vAlign w:val="bottom"/>
            <w:tcBorders>
              <w:bottom w:val="single" w:sz="8" w:color="E9E9E9"/>
            </w:tcBorders>
            <w:shd w:val="clear" w:color="auto" w:fill="E9E9E9"/>
          </w:tcPr>
          <w:p>
            <w:pPr>
              <w:spacing w:after="0"/>
              <w:rPr>
                <w:sz w:val="11"/>
                <w:szCs w:val="11"/>
                <w:color w:val="auto"/>
              </w:rPr>
            </w:pPr>
          </w:p>
        </w:tc>
        <w:tc>
          <w:tcPr>
            <w:tcW w:w="880" w:type="dxa"/>
            <w:vAlign w:val="bottom"/>
            <w:tcBorders>
              <w:bottom w:val="single" w:sz="8" w:color="E9E9E9"/>
            </w:tcBorders>
            <w:shd w:val="clear" w:color="auto" w:fill="E9E9E9"/>
          </w:tcPr>
          <w:p>
            <w:pPr>
              <w:spacing w:after="0"/>
              <w:rPr>
                <w:sz w:val="11"/>
                <w:szCs w:val="11"/>
                <w:color w:val="auto"/>
              </w:rPr>
            </w:pPr>
          </w:p>
        </w:tc>
        <w:tc>
          <w:tcPr>
            <w:tcW w:w="80" w:type="dxa"/>
            <w:vAlign w:val="bottom"/>
            <w:tcBorders>
              <w:bottom w:val="single" w:sz="8" w:color="E9E9E9"/>
            </w:tcBorders>
            <w:shd w:val="clear" w:color="auto" w:fill="E9E9E9"/>
          </w:tcPr>
          <w:p>
            <w:pPr>
              <w:spacing w:after="0"/>
              <w:rPr>
                <w:sz w:val="11"/>
                <w:szCs w:val="11"/>
                <w:color w:val="auto"/>
              </w:rPr>
            </w:pPr>
          </w:p>
        </w:tc>
        <w:tc>
          <w:tcPr>
            <w:tcW w:w="1500" w:type="dxa"/>
            <w:vAlign w:val="bottom"/>
            <w:tcBorders>
              <w:bottom w:val="single" w:sz="8" w:color="E9E9E9"/>
            </w:tcBorders>
            <w:shd w:val="clear" w:color="auto" w:fill="E9E9E9"/>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0560" w:type="dxa"/>
            <w:vAlign w:val="bottom"/>
            <w:gridSpan w:val="56"/>
            <w:shd w:val="clear" w:color="auto" w:fill="E9E9E9"/>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120" w:type="dxa"/>
            <w:vAlign w:val="bottom"/>
            <w:gridSpan w:val="43"/>
          </w:tcPr>
          <w:p>
            <w:pPr>
              <w:spacing w:after="0"/>
              <w:rPr>
                <w:sz w:val="20"/>
                <w:szCs w:val="20"/>
                <w:color w:val="auto"/>
              </w:rPr>
            </w:pPr>
            <w:r>
              <w:rPr>
                <w:rFonts w:ascii="Times New Roman" w:cs="Times New Roman" w:eastAsia="Times New Roman" w:hAnsi="Times New Roman"/>
                <w:sz w:val="16"/>
                <w:szCs w:val="16"/>
                <w:color w:val="313131"/>
              </w:rPr>
              <w:t>Policy on Insider Trading and Communications with the Public</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000" w:type="dxa"/>
            <w:vAlign w:val="bottom"/>
            <w:gridSpan w:val="3"/>
          </w:tcPr>
          <w:p>
            <w:pPr>
              <w:spacing w:after="0"/>
              <w:rPr>
                <w:sz w:val="3"/>
                <w:szCs w:val="3"/>
                <w:color w:val="auto"/>
              </w:rPr>
            </w:pPr>
          </w:p>
        </w:tc>
        <w:tc>
          <w:tcPr>
            <w:tcW w:w="4020" w:type="dxa"/>
            <w:vAlign w:val="bottom"/>
            <w:tcBorders>
              <w:top w:val="single" w:sz="8" w:color="313131"/>
            </w:tcBorders>
            <w:gridSpan w:val="18"/>
          </w:tcPr>
          <w:p>
            <w:pPr>
              <w:spacing w:after="0"/>
              <w:rPr>
                <w:sz w:val="3"/>
                <w:szCs w:val="3"/>
                <w:color w:val="auto"/>
              </w:rPr>
            </w:pPr>
          </w:p>
        </w:tc>
        <w:tc>
          <w:tcPr>
            <w:tcW w:w="5540" w:type="dxa"/>
            <w:vAlign w:val="bottom"/>
            <w:gridSpan w:val="35"/>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9"/>
              </w:rPr>
              <w:t>21.1*</w:t>
            </w:r>
          </w:p>
        </w:tc>
        <w:tc>
          <w:tcPr>
            <w:tcW w:w="80" w:type="dxa"/>
            <w:vAlign w:val="bottom"/>
            <w:shd w:val="clear" w:color="auto" w:fill="E9E9E9"/>
          </w:tcPr>
          <w:p>
            <w:pPr>
              <w:spacing w:after="0"/>
              <w:rPr>
                <w:sz w:val="16"/>
                <w:szCs w:val="16"/>
                <w:color w:val="auto"/>
              </w:rPr>
            </w:pPr>
          </w:p>
        </w:tc>
        <w:tc>
          <w:tcPr>
            <w:tcW w:w="40" w:type="dxa"/>
            <w:vAlign w:val="bottom"/>
            <w:shd w:val="clear" w:color="auto" w:fill="E9E9E9"/>
          </w:tcPr>
          <w:p>
            <w:pPr>
              <w:spacing w:after="0"/>
              <w:rPr>
                <w:sz w:val="16"/>
                <w:szCs w:val="16"/>
                <w:color w:val="auto"/>
              </w:rPr>
            </w:pPr>
          </w:p>
        </w:tc>
        <w:tc>
          <w:tcPr>
            <w:tcW w:w="5120" w:type="dxa"/>
            <w:vAlign w:val="bottom"/>
            <w:gridSpan w:val="43"/>
            <w:shd w:val="clear" w:color="auto" w:fill="E9E9E9"/>
          </w:tcPr>
          <w:p>
            <w:pPr>
              <w:spacing w:after="0"/>
              <w:rPr>
                <w:sz w:val="20"/>
                <w:szCs w:val="20"/>
                <w:color w:val="auto"/>
              </w:rPr>
            </w:pPr>
            <w:r>
              <w:rPr>
                <w:rFonts w:ascii="Times New Roman" w:cs="Times New Roman" w:eastAsia="Times New Roman" w:hAnsi="Times New Roman"/>
                <w:sz w:val="16"/>
                <w:szCs w:val="16"/>
                <w:color w:val="313131"/>
              </w:rPr>
              <w:t>Subsidiaries of Lantheus Holdings, Inc.</w:t>
            </w:r>
          </w:p>
        </w:tc>
        <w:tc>
          <w:tcPr>
            <w:tcW w:w="20" w:type="dxa"/>
            <w:vAlign w:val="bottom"/>
            <w:shd w:val="clear" w:color="auto" w:fill="E9E9E9"/>
          </w:tcPr>
          <w:p>
            <w:pPr>
              <w:spacing w:after="0"/>
              <w:rPr>
                <w:sz w:val="16"/>
                <w:szCs w:val="16"/>
                <w:color w:val="auto"/>
              </w:rPr>
            </w:pPr>
          </w:p>
        </w:tc>
        <w:tc>
          <w:tcPr>
            <w:tcW w:w="40" w:type="dxa"/>
            <w:vAlign w:val="bottom"/>
            <w:shd w:val="clear" w:color="auto" w:fill="E9E9E9"/>
          </w:tcPr>
          <w:p>
            <w:pPr>
              <w:spacing w:after="0"/>
              <w:rPr>
                <w:sz w:val="16"/>
                <w:szCs w:val="16"/>
                <w:color w:val="auto"/>
              </w:rPr>
            </w:pPr>
          </w:p>
        </w:tc>
        <w:tc>
          <w:tcPr>
            <w:tcW w:w="80" w:type="dxa"/>
            <w:vAlign w:val="bottom"/>
            <w:shd w:val="clear" w:color="auto" w:fill="E9E9E9"/>
          </w:tcPr>
          <w:p>
            <w:pPr>
              <w:spacing w:after="0"/>
              <w:rPr>
                <w:sz w:val="16"/>
                <w:szCs w:val="16"/>
                <w:color w:val="auto"/>
              </w:rPr>
            </w:pPr>
          </w:p>
        </w:tc>
        <w:tc>
          <w:tcPr>
            <w:tcW w:w="720" w:type="dxa"/>
            <w:vAlign w:val="bottom"/>
            <w:shd w:val="clear" w:color="auto" w:fill="E9E9E9"/>
          </w:tcPr>
          <w:p>
            <w:pPr>
              <w:spacing w:after="0"/>
              <w:rPr>
                <w:sz w:val="16"/>
                <w:szCs w:val="16"/>
                <w:color w:val="auto"/>
              </w:rPr>
            </w:pPr>
          </w:p>
        </w:tc>
        <w:tc>
          <w:tcPr>
            <w:tcW w:w="80" w:type="dxa"/>
            <w:vAlign w:val="bottom"/>
            <w:shd w:val="clear" w:color="auto" w:fill="E9E9E9"/>
          </w:tcPr>
          <w:p>
            <w:pPr>
              <w:spacing w:after="0"/>
              <w:rPr>
                <w:sz w:val="16"/>
                <w:szCs w:val="16"/>
                <w:color w:val="auto"/>
              </w:rPr>
            </w:pPr>
          </w:p>
        </w:tc>
        <w:tc>
          <w:tcPr>
            <w:tcW w:w="980" w:type="dxa"/>
            <w:vAlign w:val="bottom"/>
            <w:shd w:val="clear" w:color="auto" w:fill="E9E9E9"/>
          </w:tcPr>
          <w:p>
            <w:pPr>
              <w:spacing w:after="0"/>
              <w:rPr>
                <w:sz w:val="16"/>
                <w:szCs w:val="16"/>
                <w:color w:val="auto"/>
              </w:rPr>
            </w:pPr>
          </w:p>
        </w:tc>
        <w:tc>
          <w:tcPr>
            <w:tcW w:w="60" w:type="dxa"/>
            <w:vAlign w:val="bottom"/>
            <w:shd w:val="clear" w:color="auto" w:fill="E9E9E9"/>
          </w:tcPr>
          <w:p>
            <w:pPr>
              <w:spacing w:after="0"/>
              <w:rPr>
                <w:sz w:val="16"/>
                <w:szCs w:val="16"/>
                <w:color w:val="auto"/>
              </w:rPr>
            </w:pPr>
          </w:p>
        </w:tc>
        <w:tc>
          <w:tcPr>
            <w:tcW w:w="880" w:type="dxa"/>
            <w:vAlign w:val="bottom"/>
            <w:shd w:val="clear" w:color="auto" w:fill="E9E9E9"/>
          </w:tcPr>
          <w:p>
            <w:pPr>
              <w:spacing w:after="0"/>
              <w:rPr>
                <w:sz w:val="16"/>
                <w:szCs w:val="16"/>
                <w:color w:val="auto"/>
              </w:rPr>
            </w:pPr>
          </w:p>
        </w:tc>
        <w:tc>
          <w:tcPr>
            <w:tcW w:w="80" w:type="dxa"/>
            <w:vAlign w:val="bottom"/>
            <w:shd w:val="clear" w:color="auto" w:fill="E9E9E9"/>
          </w:tcPr>
          <w:p>
            <w:pPr>
              <w:spacing w:after="0"/>
              <w:rPr>
                <w:sz w:val="16"/>
                <w:szCs w:val="16"/>
                <w:color w:val="auto"/>
              </w:rPr>
            </w:pPr>
          </w:p>
        </w:tc>
        <w:tc>
          <w:tcPr>
            <w:tcW w:w="1500" w:type="dxa"/>
            <w:vAlign w:val="bottom"/>
            <w:shd w:val="clear" w:color="auto" w:fill="E9E9E9"/>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000" w:type="dxa"/>
            <w:vAlign w:val="bottom"/>
            <w:tcBorders>
              <w:top w:val="single" w:sz="8" w:color="E9E9E9"/>
            </w:tcBorders>
            <w:gridSpan w:val="3"/>
            <w:shd w:val="clear" w:color="auto" w:fill="E9E9E9"/>
          </w:tcPr>
          <w:p>
            <w:pPr>
              <w:spacing w:after="0"/>
              <w:rPr>
                <w:sz w:val="3"/>
                <w:szCs w:val="3"/>
                <w:color w:val="auto"/>
              </w:rPr>
            </w:pPr>
          </w:p>
        </w:tc>
        <w:tc>
          <w:tcPr>
            <w:tcW w:w="2480" w:type="dxa"/>
            <w:vAlign w:val="bottom"/>
            <w:tcBorders>
              <w:top w:val="single" w:sz="8" w:color="313131"/>
            </w:tcBorders>
            <w:gridSpan w:val="8"/>
            <w:shd w:val="clear" w:color="auto" w:fill="E9E9E9"/>
          </w:tcPr>
          <w:p>
            <w:pPr>
              <w:spacing w:after="0"/>
              <w:rPr>
                <w:sz w:val="3"/>
                <w:szCs w:val="3"/>
                <w:color w:val="auto"/>
              </w:rPr>
            </w:pPr>
          </w:p>
        </w:tc>
        <w:tc>
          <w:tcPr>
            <w:tcW w:w="7080" w:type="dxa"/>
            <w:vAlign w:val="bottom"/>
            <w:tcBorders>
              <w:top w:val="single" w:sz="8" w:color="E9E9E9"/>
            </w:tcBorders>
            <w:gridSpan w:val="45"/>
            <w:shd w:val="clear" w:color="auto" w:fill="E9E9E9"/>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120" w:type="dxa"/>
            <w:vAlign w:val="bottom"/>
            <w:gridSpan w:val="43"/>
          </w:tcPr>
          <w:p>
            <w:pPr>
              <w:spacing w:after="0"/>
              <w:rPr>
                <w:sz w:val="20"/>
                <w:szCs w:val="20"/>
                <w:color w:val="auto"/>
              </w:rPr>
            </w:pPr>
            <w:r>
              <w:rPr>
                <w:rFonts w:ascii="Times New Roman" w:cs="Times New Roman" w:eastAsia="Times New Roman" w:hAnsi="Times New Roman"/>
                <w:sz w:val="16"/>
                <w:szCs w:val="16"/>
                <w:color w:val="313131"/>
              </w:rPr>
              <w:t>Consent of Independent Registered Public Accounting Firm.</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000" w:type="dxa"/>
            <w:vAlign w:val="bottom"/>
            <w:gridSpan w:val="3"/>
          </w:tcPr>
          <w:p>
            <w:pPr>
              <w:spacing w:after="0"/>
              <w:rPr>
                <w:sz w:val="3"/>
                <w:szCs w:val="3"/>
                <w:color w:val="auto"/>
              </w:rPr>
            </w:pPr>
          </w:p>
        </w:tc>
        <w:tc>
          <w:tcPr>
            <w:tcW w:w="3800" w:type="dxa"/>
            <w:vAlign w:val="bottom"/>
            <w:tcBorders>
              <w:top w:val="single" w:sz="8" w:color="313131"/>
            </w:tcBorders>
            <w:gridSpan w:val="15"/>
          </w:tcPr>
          <w:p>
            <w:pPr>
              <w:spacing w:after="0"/>
              <w:rPr>
                <w:sz w:val="3"/>
                <w:szCs w:val="3"/>
                <w:color w:val="auto"/>
              </w:rPr>
            </w:pPr>
          </w:p>
        </w:tc>
        <w:tc>
          <w:tcPr>
            <w:tcW w:w="5760" w:type="dxa"/>
            <w:vAlign w:val="bottom"/>
            <w:gridSpan w:val="38"/>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9"/>
              </w:rPr>
              <w:t>24.1*</w:t>
            </w:r>
          </w:p>
        </w:tc>
        <w:tc>
          <w:tcPr>
            <w:tcW w:w="80" w:type="dxa"/>
            <w:vAlign w:val="bottom"/>
            <w:shd w:val="clear" w:color="auto" w:fill="E9E9E9"/>
          </w:tcPr>
          <w:p>
            <w:pPr>
              <w:spacing w:after="0"/>
              <w:rPr>
                <w:sz w:val="16"/>
                <w:szCs w:val="16"/>
                <w:color w:val="auto"/>
              </w:rPr>
            </w:pPr>
          </w:p>
        </w:tc>
        <w:tc>
          <w:tcPr>
            <w:tcW w:w="40" w:type="dxa"/>
            <w:vAlign w:val="bottom"/>
            <w:shd w:val="clear" w:color="auto" w:fill="E9E9E9"/>
          </w:tcPr>
          <w:p>
            <w:pPr>
              <w:spacing w:after="0"/>
              <w:rPr>
                <w:sz w:val="16"/>
                <w:szCs w:val="16"/>
                <w:color w:val="auto"/>
              </w:rPr>
            </w:pPr>
          </w:p>
        </w:tc>
        <w:tc>
          <w:tcPr>
            <w:tcW w:w="5120" w:type="dxa"/>
            <w:vAlign w:val="bottom"/>
            <w:gridSpan w:val="43"/>
            <w:shd w:val="clear" w:color="auto" w:fill="E9E9E9"/>
          </w:tcPr>
          <w:p>
            <w:pPr>
              <w:spacing w:after="0"/>
              <w:rPr>
                <w:sz w:val="20"/>
                <w:szCs w:val="20"/>
                <w:color w:val="auto"/>
              </w:rPr>
            </w:pPr>
            <w:r>
              <w:rPr>
                <w:rFonts w:ascii="Times New Roman" w:cs="Times New Roman" w:eastAsia="Times New Roman" w:hAnsi="Times New Roman"/>
                <w:sz w:val="16"/>
                <w:szCs w:val="16"/>
                <w:color w:val="313131"/>
              </w:rPr>
              <w:t>Power of Attorney (included as part of the signature page hereto).</w:t>
            </w:r>
          </w:p>
        </w:tc>
        <w:tc>
          <w:tcPr>
            <w:tcW w:w="20" w:type="dxa"/>
            <w:vAlign w:val="bottom"/>
            <w:shd w:val="clear" w:color="auto" w:fill="E9E9E9"/>
          </w:tcPr>
          <w:p>
            <w:pPr>
              <w:spacing w:after="0"/>
              <w:rPr>
                <w:sz w:val="16"/>
                <w:szCs w:val="16"/>
                <w:color w:val="auto"/>
              </w:rPr>
            </w:pPr>
          </w:p>
        </w:tc>
        <w:tc>
          <w:tcPr>
            <w:tcW w:w="40" w:type="dxa"/>
            <w:vAlign w:val="bottom"/>
            <w:shd w:val="clear" w:color="auto" w:fill="E9E9E9"/>
          </w:tcPr>
          <w:p>
            <w:pPr>
              <w:spacing w:after="0"/>
              <w:rPr>
                <w:sz w:val="16"/>
                <w:szCs w:val="16"/>
                <w:color w:val="auto"/>
              </w:rPr>
            </w:pPr>
          </w:p>
        </w:tc>
        <w:tc>
          <w:tcPr>
            <w:tcW w:w="80" w:type="dxa"/>
            <w:vAlign w:val="bottom"/>
            <w:shd w:val="clear" w:color="auto" w:fill="E9E9E9"/>
          </w:tcPr>
          <w:p>
            <w:pPr>
              <w:spacing w:after="0"/>
              <w:rPr>
                <w:sz w:val="16"/>
                <w:szCs w:val="16"/>
                <w:color w:val="auto"/>
              </w:rPr>
            </w:pPr>
          </w:p>
        </w:tc>
        <w:tc>
          <w:tcPr>
            <w:tcW w:w="720" w:type="dxa"/>
            <w:vAlign w:val="bottom"/>
            <w:shd w:val="clear" w:color="auto" w:fill="E9E9E9"/>
          </w:tcPr>
          <w:p>
            <w:pPr>
              <w:spacing w:after="0"/>
              <w:rPr>
                <w:sz w:val="16"/>
                <w:szCs w:val="16"/>
                <w:color w:val="auto"/>
              </w:rPr>
            </w:pPr>
          </w:p>
        </w:tc>
        <w:tc>
          <w:tcPr>
            <w:tcW w:w="80" w:type="dxa"/>
            <w:vAlign w:val="bottom"/>
            <w:shd w:val="clear" w:color="auto" w:fill="E9E9E9"/>
          </w:tcPr>
          <w:p>
            <w:pPr>
              <w:spacing w:after="0"/>
              <w:rPr>
                <w:sz w:val="16"/>
                <w:szCs w:val="16"/>
                <w:color w:val="auto"/>
              </w:rPr>
            </w:pPr>
          </w:p>
        </w:tc>
        <w:tc>
          <w:tcPr>
            <w:tcW w:w="980" w:type="dxa"/>
            <w:vAlign w:val="bottom"/>
            <w:shd w:val="clear" w:color="auto" w:fill="E9E9E9"/>
          </w:tcPr>
          <w:p>
            <w:pPr>
              <w:spacing w:after="0"/>
              <w:rPr>
                <w:sz w:val="16"/>
                <w:szCs w:val="16"/>
                <w:color w:val="auto"/>
              </w:rPr>
            </w:pPr>
          </w:p>
        </w:tc>
        <w:tc>
          <w:tcPr>
            <w:tcW w:w="60" w:type="dxa"/>
            <w:vAlign w:val="bottom"/>
            <w:shd w:val="clear" w:color="auto" w:fill="E9E9E9"/>
          </w:tcPr>
          <w:p>
            <w:pPr>
              <w:spacing w:after="0"/>
              <w:rPr>
                <w:sz w:val="16"/>
                <w:szCs w:val="16"/>
                <w:color w:val="auto"/>
              </w:rPr>
            </w:pPr>
          </w:p>
        </w:tc>
        <w:tc>
          <w:tcPr>
            <w:tcW w:w="880" w:type="dxa"/>
            <w:vAlign w:val="bottom"/>
            <w:shd w:val="clear" w:color="auto" w:fill="E9E9E9"/>
          </w:tcPr>
          <w:p>
            <w:pPr>
              <w:spacing w:after="0"/>
              <w:rPr>
                <w:sz w:val="16"/>
                <w:szCs w:val="16"/>
                <w:color w:val="auto"/>
              </w:rPr>
            </w:pPr>
          </w:p>
        </w:tc>
        <w:tc>
          <w:tcPr>
            <w:tcW w:w="80" w:type="dxa"/>
            <w:vAlign w:val="bottom"/>
            <w:shd w:val="clear" w:color="auto" w:fill="E9E9E9"/>
          </w:tcPr>
          <w:p>
            <w:pPr>
              <w:spacing w:after="0"/>
              <w:rPr>
                <w:sz w:val="16"/>
                <w:szCs w:val="16"/>
                <w:color w:val="auto"/>
              </w:rPr>
            </w:pPr>
          </w:p>
        </w:tc>
        <w:tc>
          <w:tcPr>
            <w:tcW w:w="1500" w:type="dxa"/>
            <w:vAlign w:val="bottom"/>
            <w:shd w:val="clear" w:color="auto" w:fill="E9E9E9"/>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000" w:type="dxa"/>
            <w:vAlign w:val="bottom"/>
            <w:tcBorders>
              <w:top w:val="single" w:sz="8" w:color="E9E9E9"/>
            </w:tcBorders>
            <w:gridSpan w:val="3"/>
            <w:shd w:val="clear" w:color="auto" w:fill="E9E9E9"/>
          </w:tcPr>
          <w:p>
            <w:pPr>
              <w:spacing w:after="0"/>
              <w:rPr>
                <w:sz w:val="3"/>
                <w:szCs w:val="3"/>
                <w:color w:val="auto"/>
              </w:rPr>
            </w:pPr>
          </w:p>
        </w:tc>
        <w:tc>
          <w:tcPr>
            <w:tcW w:w="4120" w:type="dxa"/>
            <w:vAlign w:val="bottom"/>
            <w:tcBorders>
              <w:top w:val="single" w:sz="8" w:color="313131"/>
            </w:tcBorders>
            <w:gridSpan w:val="19"/>
            <w:shd w:val="clear" w:color="auto" w:fill="E9E9E9"/>
          </w:tcPr>
          <w:p>
            <w:pPr>
              <w:spacing w:after="0"/>
              <w:rPr>
                <w:sz w:val="3"/>
                <w:szCs w:val="3"/>
                <w:color w:val="auto"/>
              </w:rPr>
            </w:pPr>
          </w:p>
        </w:tc>
        <w:tc>
          <w:tcPr>
            <w:tcW w:w="5440" w:type="dxa"/>
            <w:vAlign w:val="bottom"/>
            <w:tcBorders>
              <w:top w:val="single" w:sz="8" w:color="E9E9E9"/>
            </w:tcBorders>
            <w:gridSpan w:val="34"/>
            <w:shd w:val="clear" w:color="auto" w:fill="E9E9E9"/>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120" w:type="dxa"/>
            <w:vAlign w:val="bottom"/>
            <w:gridSpan w:val="43"/>
          </w:tcPr>
          <w:p>
            <w:pPr>
              <w:spacing w:after="0"/>
              <w:rPr>
                <w:sz w:val="20"/>
                <w:szCs w:val="20"/>
                <w:color w:val="auto"/>
              </w:rPr>
            </w:pPr>
            <w:r>
              <w:rPr>
                <w:rFonts w:ascii="Times New Roman" w:cs="Times New Roman" w:eastAsia="Times New Roman" w:hAnsi="Times New Roman"/>
                <w:sz w:val="16"/>
                <w:szCs w:val="16"/>
                <w:color w:val="313131"/>
              </w:rPr>
              <w:t>Certification of Chief Executive Officer pursuant to Exchange Act Rule</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540" w:type="dxa"/>
            <w:vAlign w:val="bottom"/>
            <w:tcBorders>
              <w:top w:val="single" w:sz="8" w:color="313131"/>
            </w:tcBorders>
            <w:gridSpan w:val="22"/>
          </w:tcPr>
          <w:p>
            <w:pPr>
              <w:spacing w:after="0" w:line="137" w:lineRule="exact"/>
              <w:rPr>
                <w:sz w:val="20"/>
                <w:szCs w:val="20"/>
                <w:color w:val="auto"/>
              </w:rPr>
            </w:pPr>
            <w:r>
              <w:rPr>
                <w:rFonts w:ascii="Times New Roman" w:cs="Times New Roman" w:eastAsia="Times New Roman" w:hAnsi="Times New Roman"/>
                <w:sz w:val="15"/>
                <w:szCs w:val="15"/>
                <w:color w:val="313131"/>
              </w:rPr>
              <w:t>13a-14(a).</w:t>
            </w:r>
          </w:p>
        </w:tc>
        <w:tc>
          <w:tcPr>
            <w:tcW w:w="580" w:type="dxa"/>
            <w:vAlign w:val="bottom"/>
            <w:gridSpan w:val="21"/>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1000" w:type="dxa"/>
            <w:vAlign w:val="bottom"/>
            <w:gridSpan w:val="3"/>
          </w:tcPr>
          <w:p>
            <w:pPr>
              <w:spacing w:after="0"/>
              <w:rPr>
                <w:sz w:val="3"/>
                <w:szCs w:val="3"/>
                <w:color w:val="auto"/>
              </w:rPr>
            </w:pPr>
          </w:p>
        </w:tc>
        <w:tc>
          <w:tcPr>
            <w:tcW w:w="660" w:type="dxa"/>
            <w:vAlign w:val="bottom"/>
            <w:tcBorders>
              <w:top w:val="single" w:sz="8" w:color="313131"/>
            </w:tcBorders>
            <w:gridSpan w:val="3"/>
          </w:tcPr>
          <w:p>
            <w:pPr>
              <w:spacing w:after="0"/>
              <w:rPr>
                <w:sz w:val="3"/>
                <w:szCs w:val="3"/>
                <w:color w:val="auto"/>
              </w:rPr>
            </w:pPr>
          </w:p>
        </w:tc>
        <w:tc>
          <w:tcPr>
            <w:tcW w:w="8900" w:type="dxa"/>
            <w:vAlign w:val="bottom"/>
            <w:gridSpan w:val="50"/>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9"/>
              </w:rPr>
              <w:t>31.2*</w:t>
            </w:r>
          </w:p>
        </w:tc>
        <w:tc>
          <w:tcPr>
            <w:tcW w:w="80" w:type="dxa"/>
            <w:vAlign w:val="bottom"/>
            <w:shd w:val="clear" w:color="auto" w:fill="E9E9E9"/>
          </w:tcPr>
          <w:p>
            <w:pPr>
              <w:spacing w:after="0"/>
              <w:rPr>
                <w:sz w:val="16"/>
                <w:szCs w:val="16"/>
                <w:color w:val="auto"/>
              </w:rPr>
            </w:pPr>
          </w:p>
        </w:tc>
        <w:tc>
          <w:tcPr>
            <w:tcW w:w="40" w:type="dxa"/>
            <w:vAlign w:val="bottom"/>
            <w:shd w:val="clear" w:color="auto" w:fill="E9E9E9"/>
          </w:tcPr>
          <w:p>
            <w:pPr>
              <w:spacing w:after="0"/>
              <w:rPr>
                <w:sz w:val="16"/>
                <w:szCs w:val="16"/>
                <w:color w:val="auto"/>
              </w:rPr>
            </w:pPr>
          </w:p>
        </w:tc>
        <w:tc>
          <w:tcPr>
            <w:tcW w:w="5120" w:type="dxa"/>
            <w:vAlign w:val="bottom"/>
            <w:gridSpan w:val="43"/>
            <w:shd w:val="clear" w:color="auto" w:fill="E9E9E9"/>
          </w:tcPr>
          <w:p>
            <w:pPr>
              <w:spacing w:after="0"/>
              <w:rPr>
                <w:sz w:val="20"/>
                <w:szCs w:val="20"/>
                <w:color w:val="auto"/>
              </w:rPr>
            </w:pPr>
            <w:r>
              <w:rPr>
                <w:rFonts w:ascii="Times New Roman" w:cs="Times New Roman" w:eastAsia="Times New Roman" w:hAnsi="Times New Roman"/>
                <w:sz w:val="16"/>
                <w:szCs w:val="16"/>
                <w:color w:val="313131"/>
              </w:rPr>
              <w:t>Certification of Chief Financial Officer pursuant to Exchange Act Rule</w:t>
            </w:r>
          </w:p>
        </w:tc>
        <w:tc>
          <w:tcPr>
            <w:tcW w:w="20" w:type="dxa"/>
            <w:vAlign w:val="bottom"/>
            <w:shd w:val="clear" w:color="auto" w:fill="E9E9E9"/>
          </w:tcPr>
          <w:p>
            <w:pPr>
              <w:spacing w:after="0"/>
              <w:rPr>
                <w:sz w:val="16"/>
                <w:szCs w:val="16"/>
                <w:color w:val="auto"/>
              </w:rPr>
            </w:pPr>
          </w:p>
        </w:tc>
        <w:tc>
          <w:tcPr>
            <w:tcW w:w="40" w:type="dxa"/>
            <w:vAlign w:val="bottom"/>
            <w:shd w:val="clear" w:color="auto" w:fill="E9E9E9"/>
          </w:tcPr>
          <w:p>
            <w:pPr>
              <w:spacing w:after="0"/>
              <w:rPr>
                <w:sz w:val="16"/>
                <w:szCs w:val="16"/>
                <w:color w:val="auto"/>
              </w:rPr>
            </w:pPr>
          </w:p>
        </w:tc>
        <w:tc>
          <w:tcPr>
            <w:tcW w:w="80" w:type="dxa"/>
            <w:vAlign w:val="bottom"/>
            <w:shd w:val="clear" w:color="auto" w:fill="E9E9E9"/>
          </w:tcPr>
          <w:p>
            <w:pPr>
              <w:spacing w:after="0"/>
              <w:rPr>
                <w:sz w:val="16"/>
                <w:szCs w:val="16"/>
                <w:color w:val="auto"/>
              </w:rPr>
            </w:pPr>
          </w:p>
        </w:tc>
        <w:tc>
          <w:tcPr>
            <w:tcW w:w="720" w:type="dxa"/>
            <w:vAlign w:val="bottom"/>
            <w:shd w:val="clear" w:color="auto" w:fill="E9E9E9"/>
          </w:tcPr>
          <w:p>
            <w:pPr>
              <w:spacing w:after="0"/>
              <w:rPr>
                <w:sz w:val="16"/>
                <w:szCs w:val="16"/>
                <w:color w:val="auto"/>
              </w:rPr>
            </w:pPr>
          </w:p>
        </w:tc>
        <w:tc>
          <w:tcPr>
            <w:tcW w:w="80" w:type="dxa"/>
            <w:vAlign w:val="bottom"/>
            <w:shd w:val="clear" w:color="auto" w:fill="E9E9E9"/>
          </w:tcPr>
          <w:p>
            <w:pPr>
              <w:spacing w:after="0"/>
              <w:rPr>
                <w:sz w:val="16"/>
                <w:szCs w:val="16"/>
                <w:color w:val="auto"/>
              </w:rPr>
            </w:pPr>
          </w:p>
        </w:tc>
        <w:tc>
          <w:tcPr>
            <w:tcW w:w="980" w:type="dxa"/>
            <w:vAlign w:val="bottom"/>
            <w:shd w:val="clear" w:color="auto" w:fill="E9E9E9"/>
          </w:tcPr>
          <w:p>
            <w:pPr>
              <w:spacing w:after="0"/>
              <w:rPr>
                <w:sz w:val="16"/>
                <w:szCs w:val="16"/>
                <w:color w:val="auto"/>
              </w:rPr>
            </w:pPr>
          </w:p>
        </w:tc>
        <w:tc>
          <w:tcPr>
            <w:tcW w:w="60" w:type="dxa"/>
            <w:vAlign w:val="bottom"/>
            <w:shd w:val="clear" w:color="auto" w:fill="E9E9E9"/>
          </w:tcPr>
          <w:p>
            <w:pPr>
              <w:spacing w:after="0"/>
              <w:rPr>
                <w:sz w:val="16"/>
                <w:szCs w:val="16"/>
                <w:color w:val="auto"/>
              </w:rPr>
            </w:pPr>
          </w:p>
        </w:tc>
        <w:tc>
          <w:tcPr>
            <w:tcW w:w="880" w:type="dxa"/>
            <w:vAlign w:val="bottom"/>
            <w:shd w:val="clear" w:color="auto" w:fill="E9E9E9"/>
          </w:tcPr>
          <w:p>
            <w:pPr>
              <w:spacing w:after="0"/>
              <w:rPr>
                <w:sz w:val="16"/>
                <w:szCs w:val="16"/>
                <w:color w:val="auto"/>
              </w:rPr>
            </w:pPr>
          </w:p>
        </w:tc>
        <w:tc>
          <w:tcPr>
            <w:tcW w:w="80" w:type="dxa"/>
            <w:vAlign w:val="bottom"/>
            <w:shd w:val="clear" w:color="auto" w:fill="E9E9E9"/>
          </w:tcPr>
          <w:p>
            <w:pPr>
              <w:spacing w:after="0"/>
              <w:rPr>
                <w:sz w:val="16"/>
                <w:szCs w:val="16"/>
                <w:color w:val="auto"/>
              </w:rPr>
            </w:pPr>
          </w:p>
        </w:tc>
        <w:tc>
          <w:tcPr>
            <w:tcW w:w="1500" w:type="dxa"/>
            <w:vAlign w:val="bottom"/>
            <w:shd w:val="clear" w:color="auto" w:fill="E9E9E9"/>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80" w:type="dxa"/>
            <w:vAlign w:val="bottom"/>
            <w:tcBorders>
              <w:top w:val="single" w:sz="8" w:color="E9E9E9"/>
              <w:bottom w:val="single" w:sz="8" w:color="E9E9E9"/>
            </w:tcBorders>
            <w:shd w:val="clear" w:color="auto" w:fill="E9E9E9"/>
          </w:tcPr>
          <w:p>
            <w:pPr>
              <w:spacing w:after="0"/>
              <w:rPr>
                <w:sz w:val="15"/>
                <w:szCs w:val="15"/>
                <w:color w:val="auto"/>
              </w:rPr>
            </w:pPr>
          </w:p>
        </w:tc>
        <w:tc>
          <w:tcPr>
            <w:tcW w:w="80" w:type="dxa"/>
            <w:vAlign w:val="bottom"/>
            <w:tcBorders>
              <w:top w:val="single" w:sz="8" w:color="E9E9E9"/>
              <w:bottom w:val="single" w:sz="8" w:color="E9E9E9"/>
            </w:tcBorders>
            <w:shd w:val="clear" w:color="auto" w:fill="E9E9E9"/>
          </w:tcPr>
          <w:p>
            <w:pPr>
              <w:spacing w:after="0"/>
              <w:rPr>
                <w:sz w:val="15"/>
                <w:szCs w:val="15"/>
                <w:color w:val="auto"/>
              </w:rPr>
            </w:pPr>
          </w:p>
        </w:tc>
        <w:tc>
          <w:tcPr>
            <w:tcW w:w="40" w:type="dxa"/>
            <w:vAlign w:val="bottom"/>
            <w:tcBorders>
              <w:top w:val="single" w:sz="8" w:color="E9E9E9"/>
              <w:bottom w:val="single" w:sz="8" w:color="E9E9E9"/>
            </w:tcBorders>
            <w:shd w:val="clear" w:color="auto" w:fill="E9E9E9"/>
          </w:tcPr>
          <w:p>
            <w:pPr>
              <w:spacing w:after="0"/>
              <w:rPr>
                <w:sz w:val="15"/>
                <w:szCs w:val="15"/>
                <w:color w:val="auto"/>
              </w:rPr>
            </w:pPr>
          </w:p>
        </w:tc>
        <w:tc>
          <w:tcPr>
            <w:tcW w:w="660" w:type="dxa"/>
            <w:vAlign w:val="bottom"/>
            <w:tcBorders>
              <w:top w:val="single" w:sz="8" w:color="313131"/>
              <w:bottom w:val="single" w:sz="8" w:color="313131"/>
            </w:tcBorders>
            <w:gridSpan w:val="3"/>
            <w:shd w:val="clear" w:color="auto" w:fill="E9E9E9"/>
          </w:tcPr>
          <w:p>
            <w:pPr>
              <w:spacing w:after="0" w:line="137" w:lineRule="exact"/>
              <w:rPr>
                <w:sz w:val="20"/>
                <w:szCs w:val="20"/>
                <w:color w:val="auto"/>
              </w:rPr>
            </w:pPr>
            <w:r>
              <w:rPr>
                <w:rFonts w:ascii="Times New Roman" w:cs="Times New Roman" w:eastAsia="Times New Roman" w:hAnsi="Times New Roman"/>
                <w:sz w:val="15"/>
                <w:szCs w:val="15"/>
                <w:color w:val="313131"/>
              </w:rPr>
              <w:t>13a-14(a).</w:t>
            </w:r>
          </w:p>
        </w:tc>
        <w:tc>
          <w:tcPr>
            <w:tcW w:w="3840" w:type="dxa"/>
            <w:vAlign w:val="bottom"/>
            <w:tcBorders>
              <w:top w:val="single" w:sz="8" w:color="313131"/>
              <w:bottom w:val="single" w:sz="8" w:color="E9E9E9"/>
            </w:tcBorders>
            <w:gridSpan w:val="18"/>
            <w:shd w:val="clear" w:color="auto" w:fill="E9E9E9"/>
          </w:tcPr>
          <w:p>
            <w:pPr>
              <w:spacing w:after="0"/>
              <w:rPr>
                <w:sz w:val="15"/>
                <w:szCs w:val="15"/>
                <w:color w:val="auto"/>
              </w:rPr>
            </w:pPr>
          </w:p>
        </w:tc>
        <w:tc>
          <w:tcPr>
            <w:tcW w:w="620" w:type="dxa"/>
            <w:vAlign w:val="bottom"/>
            <w:tcBorders>
              <w:top w:val="single" w:sz="8" w:color="E9E9E9"/>
              <w:bottom w:val="single" w:sz="8" w:color="E9E9E9"/>
            </w:tcBorders>
            <w:gridSpan w:val="22"/>
            <w:shd w:val="clear" w:color="auto" w:fill="E9E9E9"/>
          </w:tcPr>
          <w:p>
            <w:pPr>
              <w:spacing w:after="0"/>
              <w:rPr>
                <w:sz w:val="15"/>
                <w:szCs w:val="15"/>
                <w:color w:val="auto"/>
              </w:rPr>
            </w:pPr>
          </w:p>
        </w:tc>
        <w:tc>
          <w:tcPr>
            <w:tcW w:w="20" w:type="dxa"/>
            <w:vAlign w:val="bottom"/>
            <w:tcBorders>
              <w:top w:val="single" w:sz="8" w:color="E9E9E9"/>
              <w:bottom w:val="single" w:sz="8" w:color="E9E9E9"/>
            </w:tcBorders>
            <w:shd w:val="clear" w:color="auto" w:fill="E9E9E9"/>
          </w:tcPr>
          <w:p>
            <w:pPr>
              <w:spacing w:after="0"/>
              <w:rPr>
                <w:sz w:val="15"/>
                <w:szCs w:val="15"/>
                <w:color w:val="auto"/>
              </w:rPr>
            </w:pPr>
          </w:p>
        </w:tc>
        <w:tc>
          <w:tcPr>
            <w:tcW w:w="40" w:type="dxa"/>
            <w:vAlign w:val="bottom"/>
            <w:tcBorders>
              <w:top w:val="single" w:sz="8" w:color="E9E9E9"/>
              <w:bottom w:val="single" w:sz="8" w:color="E9E9E9"/>
            </w:tcBorders>
            <w:shd w:val="clear" w:color="auto" w:fill="E9E9E9"/>
          </w:tcPr>
          <w:p>
            <w:pPr>
              <w:spacing w:after="0"/>
              <w:rPr>
                <w:sz w:val="15"/>
                <w:szCs w:val="15"/>
                <w:color w:val="auto"/>
              </w:rPr>
            </w:pPr>
          </w:p>
        </w:tc>
        <w:tc>
          <w:tcPr>
            <w:tcW w:w="80" w:type="dxa"/>
            <w:vAlign w:val="bottom"/>
            <w:tcBorders>
              <w:top w:val="single" w:sz="8" w:color="E9E9E9"/>
              <w:bottom w:val="single" w:sz="8" w:color="E9E9E9"/>
            </w:tcBorders>
            <w:shd w:val="clear" w:color="auto" w:fill="E9E9E9"/>
          </w:tcPr>
          <w:p>
            <w:pPr>
              <w:spacing w:after="0"/>
              <w:rPr>
                <w:sz w:val="15"/>
                <w:szCs w:val="15"/>
                <w:color w:val="auto"/>
              </w:rPr>
            </w:pPr>
          </w:p>
        </w:tc>
        <w:tc>
          <w:tcPr>
            <w:tcW w:w="720" w:type="dxa"/>
            <w:vAlign w:val="bottom"/>
            <w:tcBorders>
              <w:top w:val="single" w:sz="8" w:color="E9E9E9"/>
              <w:bottom w:val="single" w:sz="8" w:color="E9E9E9"/>
            </w:tcBorders>
            <w:shd w:val="clear" w:color="auto" w:fill="E9E9E9"/>
          </w:tcPr>
          <w:p>
            <w:pPr>
              <w:spacing w:after="0"/>
              <w:rPr>
                <w:sz w:val="15"/>
                <w:szCs w:val="15"/>
                <w:color w:val="auto"/>
              </w:rPr>
            </w:pPr>
          </w:p>
        </w:tc>
        <w:tc>
          <w:tcPr>
            <w:tcW w:w="80" w:type="dxa"/>
            <w:vAlign w:val="bottom"/>
            <w:tcBorders>
              <w:top w:val="single" w:sz="8" w:color="E9E9E9"/>
              <w:bottom w:val="single" w:sz="8" w:color="E9E9E9"/>
            </w:tcBorders>
            <w:shd w:val="clear" w:color="auto" w:fill="E9E9E9"/>
          </w:tcPr>
          <w:p>
            <w:pPr>
              <w:spacing w:after="0"/>
              <w:rPr>
                <w:sz w:val="15"/>
                <w:szCs w:val="15"/>
                <w:color w:val="auto"/>
              </w:rPr>
            </w:pPr>
          </w:p>
        </w:tc>
        <w:tc>
          <w:tcPr>
            <w:tcW w:w="980" w:type="dxa"/>
            <w:vAlign w:val="bottom"/>
            <w:tcBorders>
              <w:top w:val="single" w:sz="8" w:color="E9E9E9"/>
              <w:bottom w:val="single" w:sz="8" w:color="E9E9E9"/>
            </w:tcBorders>
            <w:shd w:val="clear" w:color="auto" w:fill="E9E9E9"/>
          </w:tcPr>
          <w:p>
            <w:pPr>
              <w:spacing w:after="0"/>
              <w:rPr>
                <w:sz w:val="15"/>
                <w:szCs w:val="15"/>
                <w:color w:val="auto"/>
              </w:rPr>
            </w:pPr>
          </w:p>
        </w:tc>
        <w:tc>
          <w:tcPr>
            <w:tcW w:w="60" w:type="dxa"/>
            <w:vAlign w:val="bottom"/>
            <w:tcBorders>
              <w:top w:val="single" w:sz="8" w:color="E9E9E9"/>
              <w:bottom w:val="single" w:sz="8" w:color="E9E9E9"/>
            </w:tcBorders>
            <w:shd w:val="clear" w:color="auto" w:fill="E9E9E9"/>
          </w:tcPr>
          <w:p>
            <w:pPr>
              <w:spacing w:after="0"/>
              <w:rPr>
                <w:sz w:val="15"/>
                <w:szCs w:val="15"/>
                <w:color w:val="auto"/>
              </w:rPr>
            </w:pPr>
          </w:p>
        </w:tc>
        <w:tc>
          <w:tcPr>
            <w:tcW w:w="880" w:type="dxa"/>
            <w:vAlign w:val="bottom"/>
            <w:tcBorders>
              <w:top w:val="single" w:sz="8" w:color="E9E9E9"/>
              <w:bottom w:val="single" w:sz="8" w:color="E9E9E9"/>
            </w:tcBorders>
            <w:shd w:val="clear" w:color="auto" w:fill="E9E9E9"/>
          </w:tcPr>
          <w:p>
            <w:pPr>
              <w:spacing w:after="0"/>
              <w:rPr>
                <w:sz w:val="15"/>
                <w:szCs w:val="15"/>
                <w:color w:val="auto"/>
              </w:rPr>
            </w:pPr>
          </w:p>
        </w:tc>
        <w:tc>
          <w:tcPr>
            <w:tcW w:w="80" w:type="dxa"/>
            <w:vAlign w:val="bottom"/>
            <w:tcBorders>
              <w:top w:val="single" w:sz="8" w:color="E9E9E9"/>
              <w:bottom w:val="single" w:sz="8" w:color="E9E9E9"/>
            </w:tcBorders>
            <w:shd w:val="clear" w:color="auto" w:fill="E9E9E9"/>
          </w:tcPr>
          <w:p>
            <w:pPr>
              <w:spacing w:after="0"/>
              <w:rPr>
                <w:sz w:val="15"/>
                <w:szCs w:val="15"/>
                <w:color w:val="auto"/>
              </w:rPr>
            </w:pPr>
          </w:p>
        </w:tc>
        <w:tc>
          <w:tcPr>
            <w:tcW w:w="1500" w:type="dxa"/>
            <w:vAlign w:val="bottom"/>
            <w:tcBorders>
              <w:top w:val="single" w:sz="8" w:color="E9E9E9"/>
              <w:bottom w:val="single" w:sz="8" w:color="E9E9E9"/>
            </w:tcBorders>
            <w:shd w:val="clear" w:color="auto" w:fill="E9E9E9"/>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120" w:type="dxa"/>
            <w:vAlign w:val="bottom"/>
            <w:gridSpan w:val="43"/>
          </w:tcPr>
          <w:p>
            <w:pPr>
              <w:spacing w:after="0"/>
              <w:rPr>
                <w:sz w:val="20"/>
                <w:szCs w:val="20"/>
                <w:color w:val="auto"/>
              </w:rPr>
            </w:pPr>
            <w:r>
              <w:rPr>
                <w:rFonts w:ascii="Times New Roman" w:cs="Times New Roman" w:eastAsia="Times New Roman" w:hAnsi="Times New Roman"/>
                <w:sz w:val="16"/>
                <w:szCs w:val="16"/>
                <w:color w:val="313131"/>
              </w:rPr>
              <w:t>Certification pursuant to 18 U.S.C. Section 1350.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000" w:type="dxa"/>
            <w:vAlign w:val="bottom"/>
            <w:gridSpan w:val="3"/>
          </w:tcPr>
          <w:p>
            <w:pPr>
              <w:spacing w:after="0"/>
              <w:rPr>
                <w:sz w:val="3"/>
                <w:szCs w:val="3"/>
                <w:color w:val="auto"/>
              </w:rPr>
            </w:pPr>
          </w:p>
        </w:tc>
        <w:tc>
          <w:tcPr>
            <w:tcW w:w="3100" w:type="dxa"/>
            <w:vAlign w:val="bottom"/>
            <w:tcBorders>
              <w:top w:val="single" w:sz="8" w:color="313131"/>
            </w:tcBorders>
            <w:gridSpan w:val="12"/>
          </w:tcPr>
          <w:p>
            <w:pPr>
              <w:spacing w:after="0"/>
              <w:rPr>
                <w:sz w:val="3"/>
                <w:szCs w:val="3"/>
                <w:color w:val="auto"/>
              </w:rPr>
            </w:pPr>
          </w:p>
        </w:tc>
        <w:tc>
          <w:tcPr>
            <w:tcW w:w="6460" w:type="dxa"/>
            <w:vAlign w:val="bottom"/>
            <w:gridSpan w:val="41"/>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80" w:type="dxa"/>
            <w:vAlign w:val="bottom"/>
            <w:tcBorders>
              <w:bottom w:val="single" w:sz="8" w:color="E9E9E9"/>
            </w:tcBorders>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9"/>
              </w:rPr>
              <w:t>97.1*</w:t>
            </w:r>
          </w:p>
        </w:tc>
        <w:tc>
          <w:tcPr>
            <w:tcW w:w="80" w:type="dxa"/>
            <w:vAlign w:val="bottom"/>
            <w:tcBorders>
              <w:bottom w:val="single" w:sz="8" w:color="E9E9E9"/>
            </w:tcBorders>
            <w:shd w:val="clear" w:color="auto" w:fill="E9E9E9"/>
          </w:tcPr>
          <w:p>
            <w:pPr>
              <w:spacing w:after="0"/>
              <w:rPr>
                <w:sz w:val="19"/>
                <w:szCs w:val="19"/>
                <w:color w:val="auto"/>
              </w:rPr>
            </w:pPr>
          </w:p>
        </w:tc>
        <w:tc>
          <w:tcPr>
            <w:tcW w:w="40" w:type="dxa"/>
            <w:vAlign w:val="bottom"/>
            <w:tcBorders>
              <w:bottom w:val="single" w:sz="8" w:color="E9E9E9"/>
            </w:tcBorders>
            <w:shd w:val="clear" w:color="auto" w:fill="E9E9E9"/>
          </w:tcPr>
          <w:p>
            <w:pPr>
              <w:spacing w:after="0"/>
              <w:rPr>
                <w:sz w:val="19"/>
                <w:szCs w:val="19"/>
                <w:color w:val="auto"/>
              </w:rPr>
            </w:pPr>
          </w:p>
        </w:tc>
        <w:tc>
          <w:tcPr>
            <w:tcW w:w="4180" w:type="dxa"/>
            <w:vAlign w:val="bottom"/>
            <w:tcBorders>
              <w:bottom w:val="single" w:sz="8" w:color="313131"/>
            </w:tcBorders>
            <w:gridSpan w:val="20"/>
            <w:shd w:val="clear" w:color="auto" w:fill="E9E9E9"/>
          </w:tcPr>
          <w:p>
            <w:pPr>
              <w:spacing w:after="0"/>
              <w:rPr>
                <w:sz w:val="20"/>
                <w:szCs w:val="20"/>
                <w:color w:val="auto"/>
              </w:rPr>
            </w:pPr>
            <w:r>
              <w:rPr>
                <w:rFonts w:ascii="Times New Roman" w:cs="Times New Roman" w:eastAsia="Times New Roman" w:hAnsi="Times New Roman"/>
                <w:sz w:val="16"/>
                <w:szCs w:val="16"/>
                <w:color w:val="313131"/>
                <w:w w:val="97"/>
              </w:rPr>
              <w:t>Amended and Restated Executive Compensation Clawback Policy</w:t>
            </w:r>
          </w:p>
        </w:tc>
        <w:tc>
          <w:tcPr>
            <w:tcW w:w="940" w:type="dxa"/>
            <w:vAlign w:val="bottom"/>
            <w:tcBorders>
              <w:bottom w:val="single" w:sz="8" w:color="E9E9E9"/>
            </w:tcBorders>
            <w:gridSpan w:val="23"/>
            <w:shd w:val="clear" w:color="auto" w:fill="E9E9E9"/>
          </w:tcPr>
          <w:p>
            <w:pPr>
              <w:spacing w:after="0"/>
              <w:rPr>
                <w:sz w:val="19"/>
                <w:szCs w:val="19"/>
                <w:color w:val="auto"/>
              </w:rPr>
            </w:pPr>
          </w:p>
        </w:tc>
        <w:tc>
          <w:tcPr>
            <w:tcW w:w="20" w:type="dxa"/>
            <w:vAlign w:val="bottom"/>
            <w:tcBorders>
              <w:bottom w:val="single" w:sz="8" w:color="E9E9E9"/>
            </w:tcBorders>
            <w:shd w:val="clear" w:color="auto" w:fill="E9E9E9"/>
          </w:tcPr>
          <w:p>
            <w:pPr>
              <w:spacing w:after="0"/>
              <w:rPr>
                <w:sz w:val="19"/>
                <w:szCs w:val="19"/>
                <w:color w:val="auto"/>
              </w:rPr>
            </w:pPr>
          </w:p>
        </w:tc>
        <w:tc>
          <w:tcPr>
            <w:tcW w:w="40" w:type="dxa"/>
            <w:vAlign w:val="bottom"/>
            <w:tcBorders>
              <w:bottom w:val="single" w:sz="8" w:color="E9E9E9"/>
            </w:tcBorders>
            <w:shd w:val="clear" w:color="auto" w:fill="E9E9E9"/>
          </w:tcPr>
          <w:p>
            <w:pPr>
              <w:spacing w:after="0"/>
              <w:rPr>
                <w:sz w:val="19"/>
                <w:szCs w:val="19"/>
                <w:color w:val="auto"/>
              </w:rPr>
            </w:pPr>
          </w:p>
        </w:tc>
        <w:tc>
          <w:tcPr>
            <w:tcW w:w="80" w:type="dxa"/>
            <w:vAlign w:val="bottom"/>
            <w:tcBorders>
              <w:bottom w:val="single" w:sz="8" w:color="E9E9E9"/>
            </w:tcBorders>
            <w:shd w:val="clear" w:color="auto" w:fill="E9E9E9"/>
          </w:tcPr>
          <w:p>
            <w:pPr>
              <w:spacing w:after="0"/>
              <w:rPr>
                <w:sz w:val="19"/>
                <w:szCs w:val="19"/>
                <w:color w:val="auto"/>
              </w:rPr>
            </w:pPr>
          </w:p>
        </w:tc>
        <w:tc>
          <w:tcPr>
            <w:tcW w:w="720" w:type="dxa"/>
            <w:vAlign w:val="bottom"/>
            <w:tcBorders>
              <w:bottom w:val="single" w:sz="8" w:color="E9E9E9"/>
            </w:tcBorders>
            <w:shd w:val="clear" w:color="auto" w:fill="E9E9E9"/>
          </w:tcPr>
          <w:p>
            <w:pPr>
              <w:spacing w:after="0"/>
              <w:rPr>
                <w:sz w:val="19"/>
                <w:szCs w:val="19"/>
                <w:color w:val="auto"/>
              </w:rPr>
            </w:pPr>
          </w:p>
        </w:tc>
        <w:tc>
          <w:tcPr>
            <w:tcW w:w="80" w:type="dxa"/>
            <w:vAlign w:val="bottom"/>
            <w:tcBorders>
              <w:bottom w:val="single" w:sz="8" w:color="E9E9E9"/>
            </w:tcBorders>
            <w:shd w:val="clear" w:color="auto" w:fill="E9E9E9"/>
          </w:tcPr>
          <w:p>
            <w:pPr>
              <w:spacing w:after="0"/>
              <w:rPr>
                <w:sz w:val="19"/>
                <w:szCs w:val="19"/>
                <w:color w:val="auto"/>
              </w:rPr>
            </w:pPr>
          </w:p>
        </w:tc>
        <w:tc>
          <w:tcPr>
            <w:tcW w:w="980" w:type="dxa"/>
            <w:vAlign w:val="bottom"/>
            <w:tcBorders>
              <w:bottom w:val="single" w:sz="8" w:color="E9E9E9"/>
            </w:tcBorders>
            <w:shd w:val="clear" w:color="auto" w:fill="E9E9E9"/>
          </w:tcPr>
          <w:p>
            <w:pPr>
              <w:spacing w:after="0"/>
              <w:rPr>
                <w:sz w:val="19"/>
                <w:szCs w:val="19"/>
                <w:color w:val="auto"/>
              </w:rPr>
            </w:pPr>
          </w:p>
        </w:tc>
        <w:tc>
          <w:tcPr>
            <w:tcW w:w="60" w:type="dxa"/>
            <w:vAlign w:val="bottom"/>
            <w:tcBorders>
              <w:bottom w:val="single" w:sz="8" w:color="E9E9E9"/>
            </w:tcBorders>
            <w:shd w:val="clear" w:color="auto" w:fill="E9E9E9"/>
          </w:tcPr>
          <w:p>
            <w:pPr>
              <w:spacing w:after="0"/>
              <w:rPr>
                <w:sz w:val="19"/>
                <w:szCs w:val="19"/>
                <w:color w:val="auto"/>
              </w:rPr>
            </w:pPr>
          </w:p>
        </w:tc>
        <w:tc>
          <w:tcPr>
            <w:tcW w:w="880" w:type="dxa"/>
            <w:vAlign w:val="bottom"/>
            <w:tcBorders>
              <w:bottom w:val="single" w:sz="8" w:color="E9E9E9"/>
            </w:tcBorders>
            <w:shd w:val="clear" w:color="auto" w:fill="E9E9E9"/>
          </w:tcPr>
          <w:p>
            <w:pPr>
              <w:spacing w:after="0"/>
              <w:rPr>
                <w:sz w:val="19"/>
                <w:szCs w:val="19"/>
                <w:color w:val="auto"/>
              </w:rPr>
            </w:pPr>
          </w:p>
        </w:tc>
        <w:tc>
          <w:tcPr>
            <w:tcW w:w="80" w:type="dxa"/>
            <w:vAlign w:val="bottom"/>
            <w:tcBorders>
              <w:bottom w:val="single" w:sz="8" w:color="E9E9E9"/>
            </w:tcBorders>
            <w:shd w:val="clear" w:color="auto" w:fill="E9E9E9"/>
          </w:tcPr>
          <w:p>
            <w:pPr>
              <w:spacing w:after="0"/>
              <w:rPr>
                <w:sz w:val="19"/>
                <w:szCs w:val="19"/>
                <w:color w:val="auto"/>
              </w:rPr>
            </w:pPr>
          </w:p>
        </w:tc>
        <w:tc>
          <w:tcPr>
            <w:tcW w:w="1500" w:type="dxa"/>
            <w:vAlign w:val="bottom"/>
            <w:tcBorders>
              <w:bottom w:val="single" w:sz="8" w:color="E9E9E9"/>
            </w:tcBorders>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101.INS*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120" w:type="dxa"/>
            <w:vAlign w:val="bottom"/>
            <w:gridSpan w:val="43"/>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0560" w:type="dxa"/>
            <w:vAlign w:val="bottom"/>
            <w:gridSpan w:val="5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 w:type="dxa"/>
            <w:vAlign w:val="bottom"/>
            <w:tcBorders>
              <w:bottom w:val="single" w:sz="8" w:color="E9E9E9"/>
            </w:tcBorders>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8"/>
              </w:rPr>
              <w:t>101.SCH*</w:t>
            </w:r>
          </w:p>
        </w:tc>
        <w:tc>
          <w:tcPr>
            <w:tcW w:w="80" w:type="dxa"/>
            <w:vAlign w:val="bottom"/>
            <w:tcBorders>
              <w:bottom w:val="single" w:sz="8" w:color="E9E9E9"/>
            </w:tcBorders>
            <w:shd w:val="clear" w:color="auto" w:fill="E9E9E9"/>
          </w:tcPr>
          <w:p>
            <w:pPr>
              <w:spacing w:after="0"/>
              <w:rPr>
                <w:sz w:val="19"/>
                <w:szCs w:val="19"/>
                <w:color w:val="auto"/>
              </w:rPr>
            </w:pPr>
          </w:p>
        </w:tc>
        <w:tc>
          <w:tcPr>
            <w:tcW w:w="40" w:type="dxa"/>
            <w:vAlign w:val="bottom"/>
            <w:tcBorders>
              <w:bottom w:val="single" w:sz="8" w:color="E9E9E9"/>
            </w:tcBorders>
            <w:shd w:val="clear" w:color="auto" w:fill="E9E9E9"/>
          </w:tcPr>
          <w:p>
            <w:pPr>
              <w:spacing w:after="0"/>
              <w:rPr>
                <w:sz w:val="19"/>
                <w:szCs w:val="19"/>
                <w:color w:val="auto"/>
              </w:rPr>
            </w:pPr>
          </w:p>
        </w:tc>
        <w:tc>
          <w:tcPr>
            <w:tcW w:w="5120" w:type="dxa"/>
            <w:vAlign w:val="bottom"/>
            <w:tcBorders>
              <w:bottom w:val="single" w:sz="8" w:color="E9E9E9"/>
            </w:tcBorders>
            <w:gridSpan w:val="43"/>
            <w:shd w:val="clear" w:color="auto" w:fill="E9E9E9"/>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20" w:type="dxa"/>
            <w:vAlign w:val="bottom"/>
            <w:tcBorders>
              <w:bottom w:val="single" w:sz="8" w:color="E9E9E9"/>
            </w:tcBorders>
            <w:shd w:val="clear" w:color="auto" w:fill="E9E9E9"/>
          </w:tcPr>
          <w:p>
            <w:pPr>
              <w:spacing w:after="0"/>
              <w:rPr>
                <w:sz w:val="19"/>
                <w:szCs w:val="19"/>
                <w:color w:val="auto"/>
              </w:rPr>
            </w:pPr>
          </w:p>
        </w:tc>
        <w:tc>
          <w:tcPr>
            <w:tcW w:w="40" w:type="dxa"/>
            <w:vAlign w:val="bottom"/>
            <w:tcBorders>
              <w:bottom w:val="single" w:sz="8" w:color="E9E9E9"/>
            </w:tcBorders>
            <w:shd w:val="clear" w:color="auto" w:fill="E9E9E9"/>
          </w:tcPr>
          <w:p>
            <w:pPr>
              <w:spacing w:after="0"/>
              <w:rPr>
                <w:sz w:val="19"/>
                <w:szCs w:val="19"/>
                <w:color w:val="auto"/>
              </w:rPr>
            </w:pPr>
          </w:p>
        </w:tc>
        <w:tc>
          <w:tcPr>
            <w:tcW w:w="80" w:type="dxa"/>
            <w:vAlign w:val="bottom"/>
            <w:tcBorders>
              <w:bottom w:val="single" w:sz="8" w:color="E9E9E9"/>
            </w:tcBorders>
            <w:shd w:val="clear" w:color="auto" w:fill="E9E9E9"/>
          </w:tcPr>
          <w:p>
            <w:pPr>
              <w:spacing w:after="0"/>
              <w:rPr>
                <w:sz w:val="19"/>
                <w:szCs w:val="19"/>
                <w:color w:val="auto"/>
              </w:rPr>
            </w:pPr>
          </w:p>
        </w:tc>
        <w:tc>
          <w:tcPr>
            <w:tcW w:w="720" w:type="dxa"/>
            <w:vAlign w:val="bottom"/>
            <w:tcBorders>
              <w:bottom w:val="single" w:sz="8" w:color="E9E9E9"/>
            </w:tcBorders>
            <w:shd w:val="clear" w:color="auto" w:fill="E9E9E9"/>
          </w:tcPr>
          <w:p>
            <w:pPr>
              <w:spacing w:after="0"/>
              <w:rPr>
                <w:sz w:val="19"/>
                <w:szCs w:val="19"/>
                <w:color w:val="auto"/>
              </w:rPr>
            </w:pPr>
          </w:p>
        </w:tc>
        <w:tc>
          <w:tcPr>
            <w:tcW w:w="80" w:type="dxa"/>
            <w:vAlign w:val="bottom"/>
            <w:tcBorders>
              <w:bottom w:val="single" w:sz="8" w:color="E9E9E9"/>
            </w:tcBorders>
            <w:shd w:val="clear" w:color="auto" w:fill="E9E9E9"/>
          </w:tcPr>
          <w:p>
            <w:pPr>
              <w:spacing w:after="0"/>
              <w:rPr>
                <w:sz w:val="19"/>
                <w:szCs w:val="19"/>
                <w:color w:val="auto"/>
              </w:rPr>
            </w:pPr>
          </w:p>
        </w:tc>
        <w:tc>
          <w:tcPr>
            <w:tcW w:w="980" w:type="dxa"/>
            <w:vAlign w:val="bottom"/>
            <w:tcBorders>
              <w:bottom w:val="single" w:sz="8" w:color="E9E9E9"/>
            </w:tcBorders>
            <w:shd w:val="clear" w:color="auto" w:fill="E9E9E9"/>
          </w:tcPr>
          <w:p>
            <w:pPr>
              <w:spacing w:after="0"/>
              <w:rPr>
                <w:sz w:val="19"/>
                <w:szCs w:val="19"/>
                <w:color w:val="auto"/>
              </w:rPr>
            </w:pPr>
          </w:p>
        </w:tc>
        <w:tc>
          <w:tcPr>
            <w:tcW w:w="60" w:type="dxa"/>
            <w:vAlign w:val="bottom"/>
            <w:tcBorders>
              <w:bottom w:val="single" w:sz="8" w:color="E9E9E9"/>
            </w:tcBorders>
            <w:shd w:val="clear" w:color="auto" w:fill="E9E9E9"/>
          </w:tcPr>
          <w:p>
            <w:pPr>
              <w:spacing w:after="0"/>
              <w:rPr>
                <w:sz w:val="19"/>
                <w:szCs w:val="19"/>
                <w:color w:val="auto"/>
              </w:rPr>
            </w:pPr>
          </w:p>
        </w:tc>
        <w:tc>
          <w:tcPr>
            <w:tcW w:w="880" w:type="dxa"/>
            <w:vAlign w:val="bottom"/>
            <w:tcBorders>
              <w:bottom w:val="single" w:sz="8" w:color="E9E9E9"/>
            </w:tcBorders>
            <w:shd w:val="clear" w:color="auto" w:fill="E9E9E9"/>
          </w:tcPr>
          <w:p>
            <w:pPr>
              <w:spacing w:after="0"/>
              <w:rPr>
                <w:sz w:val="19"/>
                <w:szCs w:val="19"/>
                <w:color w:val="auto"/>
              </w:rPr>
            </w:pPr>
          </w:p>
        </w:tc>
        <w:tc>
          <w:tcPr>
            <w:tcW w:w="80" w:type="dxa"/>
            <w:vAlign w:val="bottom"/>
            <w:tcBorders>
              <w:bottom w:val="single" w:sz="8" w:color="E9E9E9"/>
            </w:tcBorders>
            <w:shd w:val="clear" w:color="auto" w:fill="E9E9E9"/>
          </w:tcPr>
          <w:p>
            <w:pPr>
              <w:spacing w:after="0"/>
              <w:rPr>
                <w:sz w:val="19"/>
                <w:szCs w:val="19"/>
                <w:color w:val="auto"/>
              </w:rPr>
            </w:pPr>
          </w:p>
        </w:tc>
        <w:tc>
          <w:tcPr>
            <w:tcW w:w="1500" w:type="dxa"/>
            <w:vAlign w:val="bottom"/>
            <w:tcBorders>
              <w:bottom w:val="single" w:sz="8" w:color="E9E9E9"/>
            </w:tcBorders>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101.CAL*</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120" w:type="dxa"/>
            <w:vAlign w:val="bottom"/>
            <w:gridSpan w:val="43"/>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0560" w:type="dxa"/>
            <w:vAlign w:val="bottom"/>
            <w:gridSpan w:val="5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 w:type="dxa"/>
            <w:vAlign w:val="bottom"/>
            <w:tcBorders>
              <w:bottom w:val="single" w:sz="8" w:color="E9E9E9"/>
            </w:tcBorders>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6"/>
              </w:rPr>
              <w:t>101.DEF*</w:t>
            </w:r>
          </w:p>
        </w:tc>
        <w:tc>
          <w:tcPr>
            <w:tcW w:w="80" w:type="dxa"/>
            <w:vAlign w:val="bottom"/>
            <w:tcBorders>
              <w:bottom w:val="single" w:sz="8" w:color="E9E9E9"/>
            </w:tcBorders>
            <w:shd w:val="clear" w:color="auto" w:fill="E9E9E9"/>
          </w:tcPr>
          <w:p>
            <w:pPr>
              <w:spacing w:after="0"/>
              <w:rPr>
                <w:sz w:val="19"/>
                <w:szCs w:val="19"/>
                <w:color w:val="auto"/>
              </w:rPr>
            </w:pPr>
          </w:p>
        </w:tc>
        <w:tc>
          <w:tcPr>
            <w:tcW w:w="40" w:type="dxa"/>
            <w:vAlign w:val="bottom"/>
            <w:tcBorders>
              <w:bottom w:val="single" w:sz="8" w:color="E9E9E9"/>
            </w:tcBorders>
            <w:shd w:val="clear" w:color="auto" w:fill="E9E9E9"/>
          </w:tcPr>
          <w:p>
            <w:pPr>
              <w:spacing w:after="0"/>
              <w:rPr>
                <w:sz w:val="19"/>
                <w:szCs w:val="19"/>
                <w:color w:val="auto"/>
              </w:rPr>
            </w:pPr>
          </w:p>
        </w:tc>
        <w:tc>
          <w:tcPr>
            <w:tcW w:w="5120" w:type="dxa"/>
            <w:vAlign w:val="bottom"/>
            <w:tcBorders>
              <w:bottom w:val="single" w:sz="8" w:color="E9E9E9"/>
            </w:tcBorders>
            <w:gridSpan w:val="43"/>
            <w:shd w:val="clear" w:color="auto" w:fill="E9E9E9"/>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20" w:type="dxa"/>
            <w:vAlign w:val="bottom"/>
            <w:tcBorders>
              <w:bottom w:val="single" w:sz="8" w:color="E9E9E9"/>
            </w:tcBorders>
            <w:shd w:val="clear" w:color="auto" w:fill="E9E9E9"/>
          </w:tcPr>
          <w:p>
            <w:pPr>
              <w:spacing w:after="0"/>
              <w:rPr>
                <w:sz w:val="19"/>
                <w:szCs w:val="19"/>
                <w:color w:val="auto"/>
              </w:rPr>
            </w:pPr>
          </w:p>
        </w:tc>
        <w:tc>
          <w:tcPr>
            <w:tcW w:w="40" w:type="dxa"/>
            <w:vAlign w:val="bottom"/>
            <w:tcBorders>
              <w:bottom w:val="single" w:sz="8" w:color="E9E9E9"/>
            </w:tcBorders>
            <w:shd w:val="clear" w:color="auto" w:fill="E9E9E9"/>
          </w:tcPr>
          <w:p>
            <w:pPr>
              <w:spacing w:after="0"/>
              <w:rPr>
                <w:sz w:val="19"/>
                <w:szCs w:val="19"/>
                <w:color w:val="auto"/>
              </w:rPr>
            </w:pPr>
          </w:p>
        </w:tc>
        <w:tc>
          <w:tcPr>
            <w:tcW w:w="80" w:type="dxa"/>
            <w:vAlign w:val="bottom"/>
            <w:tcBorders>
              <w:bottom w:val="single" w:sz="8" w:color="E9E9E9"/>
            </w:tcBorders>
            <w:shd w:val="clear" w:color="auto" w:fill="E9E9E9"/>
          </w:tcPr>
          <w:p>
            <w:pPr>
              <w:spacing w:after="0"/>
              <w:rPr>
                <w:sz w:val="19"/>
                <w:szCs w:val="19"/>
                <w:color w:val="auto"/>
              </w:rPr>
            </w:pPr>
          </w:p>
        </w:tc>
        <w:tc>
          <w:tcPr>
            <w:tcW w:w="720" w:type="dxa"/>
            <w:vAlign w:val="bottom"/>
            <w:tcBorders>
              <w:bottom w:val="single" w:sz="8" w:color="E9E9E9"/>
            </w:tcBorders>
            <w:shd w:val="clear" w:color="auto" w:fill="E9E9E9"/>
          </w:tcPr>
          <w:p>
            <w:pPr>
              <w:spacing w:after="0"/>
              <w:rPr>
                <w:sz w:val="19"/>
                <w:szCs w:val="19"/>
                <w:color w:val="auto"/>
              </w:rPr>
            </w:pPr>
          </w:p>
        </w:tc>
        <w:tc>
          <w:tcPr>
            <w:tcW w:w="80" w:type="dxa"/>
            <w:vAlign w:val="bottom"/>
            <w:tcBorders>
              <w:bottom w:val="single" w:sz="8" w:color="E9E9E9"/>
            </w:tcBorders>
            <w:shd w:val="clear" w:color="auto" w:fill="E9E9E9"/>
          </w:tcPr>
          <w:p>
            <w:pPr>
              <w:spacing w:after="0"/>
              <w:rPr>
                <w:sz w:val="19"/>
                <w:szCs w:val="19"/>
                <w:color w:val="auto"/>
              </w:rPr>
            </w:pPr>
          </w:p>
        </w:tc>
        <w:tc>
          <w:tcPr>
            <w:tcW w:w="980" w:type="dxa"/>
            <w:vAlign w:val="bottom"/>
            <w:tcBorders>
              <w:bottom w:val="single" w:sz="8" w:color="E9E9E9"/>
            </w:tcBorders>
            <w:shd w:val="clear" w:color="auto" w:fill="E9E9E9"/>
          </w:tcPr>
          <w:p>
            <w:pPr>
              <w:spacing w:after="0"/>
              <w:rPr>
                <w:sz w:val="19"/>
                <w:szCs w:val="19"/>
                <w:color w:val="auto"/>
              </w:rPr>
            </w:pPr>
          </w:p>
        </w:tc>
        <w:tc>
          <w:tcPr>
            <w:tcW w:w="60" w:type="dxa"/>
            <w:vAlign w:val="bottom"/>
            <w:tcBorders>
              <w:bottom w:val="single" w:sz="8" w:color="E9E9E9"/>
            </w:tcBorders>
            <w:shd w:val="clear" w:color="auto" w:fill="E9E9E9"/>
          </w:tcPr>
          <w:p>
            <w:pPr>
              <w:spacing w:after="0"/>
              <w:rPr>
                <w:sz w:val="19"/>
                <w:szCs w:val="19"/>
                <w:color w:val="auto"/>
              </w:rPr>
            </w:pPr>
          </w:p>
        </w:tc>
        <w:tc>
          <w:tcPr>
            <w:tcW w:w="880" w:type="dxa"/>
            <w:vAlign w:val="bottom"/>
            <w:tcBorders>
              <w:bottom w:val="single" w:sz="8" w:color="E9E9E9"/>
            </w:tcBorders>
            <w:shd w:val="clear" w:color="auto" w:fill="E9E9E9"/>
          </w:tcPr>
          <w:p>
            <w:pPr>
              <w:spacing w:after="0"/>
              <w:rPr>
                <w:sz w:val="19"/>
                <w:szCs w:val="19"/>
                <w:color w:val="auto"/>
              </w:rPr>
            </w:pPr>
          </w:p>
        </w:tc>
        <w:tc>
          <w:tcPr>
            <w:tcW w:w="80" w:type="dxa"/>
            <w:vAlign w:val="bottom"/>
            <w:tcBorders>
              <w:bottom w:val="single" w:sz="8" w:color="E9E9E9"/>
            </w:tcBorders>
            <w:shd w:val="clear" w:color="auto" w:fill="E9E9E9"/>
          </w:tcPr>
          <w:p>
            <w:pPr>
              <w:spacing w:after="0"/>
              <w:rPr>
                <w:sz w:val="19"/>
                <w:szCs w:val="19"/>
                <w:color w:val="auto"/>
              </w:rPr>
            </w:pPr>
          </w:p>
        </w:tc>
        <w:tc>
          <w:tcPr>
            <w:tcW w:w="1500" w:type="dxa"/>
            <w:vAlign w:val="bottom"/>
            <w:tcBorders>
              <w:bottom w:val="single" w:sz="8" w:color="E9E9E9"/>
            </w:tcBorders>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101.LAB*</w:t>
            </w:r>
          </w:p>
        </w:tc>
        <w:tc>
          <w:tcPr>
            <w:tcW w:w="80" w:type="dxa"/>
            <w:vAlign w:val="bottom"/>
          </w:tcPr>
          <w:p>
            <w:pPr>
              <w:spacing w:after="0"/>
              <w:rPr>
                <w:sz w:val="19"/>
                <w:szCs w:val="19"/>
                <w:color w:val="auto"/>
              </w:rPr>
            </w:pPr>
          </w:p>
        </w:tc>
        <w:tc>
          <w:tcPr>
            <w:tcW w:w="5160" w:type="dxa"/>
            <w:vAlign w:val="bottom"/>
            <w:gridSpan w:val="44"/>
          </w:tcPr>
          <w:p>
            <w:pPr>
              <w:ind w:left="40"/>
              <w:spacing w:after="0"/>
              <w:rPr>
                <w:sz w:val="20"/>
                <w:szCs w:val="20"/>
                <w:color w:val="auto"/>
              </w:rPr>
            </w:pPr>
            <w:r>
              <w:rPr>
                <w:rFonts w:ascii="Times New Roman" w:cs="Times New Roman" w:eastAsia="Times New Roman" w:hAnsi="Times New Roman"/>
                <w:sz w:val="16"/>
                <w:szCs w:val="16"/>
                <w:color w:val="auto"/>
              </w:rPr>
              <w:t>Inline XBRL Taxonomy Extension Labels Linkbase Document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0560" w:type="dxa"/>
            <w:vAlign w:val="bottom"/>
            <w:gridSpan w:val="5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80" w:type="dxa"/>
            <w:vAlign w:val="bottom"/>
            <w:shd w:val="clear" w:color="auto" w:fill="E9E9E9"/>
          </w:tcPr>
          <w:p>
            <w:pPr>
              <w:jc w:val="center"/>
              <w:spacing w:after="0"/>
              <w:rPr>
                <w:sz w:val="20"/>
                <w:szCs w:val="20"/>
                <w:color w:val="auto"/>
              </w:rPr>
            </w:pPr>
            <w:r>
              <w:rPr>
                <w:rFonts w:ascii="Times New Roman" w:cs="Times New Roman" w:eastAsia="Times New Roman" w:hAnsi="Times New Roman"/>
                <w:sz w:val="16"/>
                <w:szCs w:val="16"/>
                <w:color w:val="auto"/>
                <w:w w:val="97"/>
              </w:rPr>
              <w:t>101.PRE*</w:t>
            </w:r>
          </w:p>
        </w:tc>
        <w:tc>
          <w:tcPr>
            <w:tcW w:w="80" w:type="dxa"/>
            <w:vAlign w:val="bottom"/>
            <w:shd w:val="clear" w:color="auto" w:fill="E9E9E9"/>
          </w:tcPr>
          <w:p>
            <w:pPr>
              <w:spacing w:after="0"/>
              <w:rPr>
                <w:sz w:val="19"/>
                <w:szCs w:val="19"/>
                <w:color w:val="auto"/>
              </w:rPr>
            </w:pPr>
          </w:p>
        </w:tc>
        <w:tc>
          <w:tcPr>
            <w:tcW w:w="40" w:type="dxa"/>
            <w:vAlign w:val="bottom"/>
            <w:shd w:val="clear" w:color="auto" w:fill="E9E9E9"/>
          </w:tcPr>
          <w:p>
            <w:pPr>
              <w:spacing w:after="0"/>
              <w:rPr>
                <w:sz w:val="19"/>
                <w:szCs w:val="19"/>
                <w:color w:val="auto"/>
              </w:rPr>
            </w:pPr>
          </w:p>
        </w:tc>
        <w:tc>
          <w:tcPr>
            <w:tcW w:w="5120" w:type="dxa"/>
            <w:vAlign w:val="bottom"/>
            <w:gridSpan w:val="43"/>
            <w:shd w:val="clear" w:color="auto" w:fill="E9E9E9"/>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20" w:type="dxa"/>
            <w:vAlign w:val="bottom"/>
            <w:shd w:val="clear" w:color="auto" w:fill="E9E9E9"/>
          </w:tcPr>
          <w:p>
            <w:pPr>
              <w:spacing w:after="0"/>
              <w:rPr>
                <w:sz w:val="19"/>
                <w:szCs w:val="19"/>
                <w:color w:val="auto"/>
              </w:rPr>
            </w:pPr>
          </w:p>
        </w:tc>
        <w:tc>
          <w:tcPr>
            <w:tcW w:w="4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72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980" w:type="dxa"/>
            <w:vAlign w:val="bottom"/>
            <w:shd w:val="clear" w:color="auto" w:fill="E9E9E9"/>
          </w:tcPr>
          <w:p>
            <w:pPr>
              <w:spacing w:after="0"/>
              <w:rPr>
                <w:sz w:val="19"/>
                <w:szCs w:val="19"/>
                <w:color w:val="auto"/>
              </w:rPr>
            </w:pPr>
          </w:p>
        </w:tc>
        <w:tc>
          <w:tcPr>
            <w:tcW w:w="60" w:type="dxa"/>
            <w:vAlign w:val="bottom"/>
            <w:shd w:val="clear" w:color="auto" w:fill="E9E9E9"/>
          </w:tcPr>
          <w:p>
            <w:pPr>
              <w:spacing w:after="0"/>
              <w:rPr>
                <w:sz w:val="19"/>
                <w:szCs w:val="19"/>
                <w:color w:val="auto"/>
              </w:rPr>
            </w:pPr>
          </w:p>
        </w:tc>
        <w:tc>
          <w:tcPr>
            <w:tcW w:w="880" w:type="dxa"/>
            <w:vAlign w:val="bottom"/>
            <w:shd w:val="clear" w:color="auto" w:fill="E9E9E9"/>
          </w:tcPr>
          <w:p>
            <w:pPr>
              <w:spacing w:after="0"/>
              <w:rPr>
                <w:sz w:val="19"/>
                <w:szCs w:val="19"/>
                <w:color w:val="auto"/>
              </w:rPr>
            </w:pPr>
          </w:p>
        </w:tc>
        <w:tc>
          <w:tcPr>
            <w:tcW w:w="80" w:type="dxa"/>
            <w:vAlign w:val="bottom"/>
            <w:shd w:val="clear" w:color="auto" w:fill="E9E9E9"/>
          </w:tcPr>
          <w:p>
            <w:pPr>
              <w:spacing w:after="0"/>
              <w:rPr>
                <w:sz w:val="19"/>
                <w:szCs w:val="19"/>
                <w:color w:val="auto"/>
              </w:rPr>
            </w:pPr>
          </w:p>
        </w:tc>
        <w:tc>
          <w:tcPr>
            <w:tcW w:w="15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0560" w:type="dxa"/>
            <w:vAlign w:val="bottom"/>
            <w:gridSpan w:val="56"/>
            <w:shd w:val="clear" w:color="auto" w:fill="E9E9E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600" w:h="16200" w:orient="portrait"/>
          <w:cols w:equalWidth="0" w:num="1">
            <w:col w:w="10560"/>
          </w:cols>
          <w:pgMar w:left="1020" w:top="1069" w:right="1020" w:bottom="8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125</w:t>
      </w:r>
    </w:p>
    <w:p>
      <w:pPr>
        <w:sectPr>
          <w:pgSz w:w="12600" w:h="16200" w:orient="portrait"/>
          <w:cols w:equalWidth="0" w:num="1">
            <w:col w:w="10560"/>
          </w:cols>
          <w:pgMar w:left="1020" w:top="1069" w:right="1020" w:bottom="83" w:gutter="0" w:footer="0" w:header="0"/>
          <w:type w:val="continuous"/>
        </w:sectPr>
      </w:pPr>
    </w:p>
    <w:bookmarkStart w:id="131" w:name="page132"/>
    <w:bookmarkEnd w:id="131"/>
    <w:tbl>
      <w:tblPr>
        <w:tblLayout w:type="fixed"/>
        <w:tblInd w:w="20" w:type="dxa"/>
        <w:tblCellMar>
          <w:top w:w="0" w:type="dxa"/>
          <w:left w:w="0" w:type="dxa"/>
          <w:bottom w:w="0" w:type="dxa"/>
          <w:right w:w="0" w:type="dxa"/>
        </w:tblCellMar>
      </w:tblPr>
      <w:tr>
        <w:trPr>
          <w:trHeight w:val="214"/>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w w:val="99"/>
              </w:rPr>
              <w:t>Incorporated by Reference</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88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8"/>
              </w:rPr>
              <w:t>Exhibit</w:t>
            </w:r>
          </w:p>
        </w:tc>
        <w:tc>
          <w:tcPr>
            <w:tcW w:w="80" w:type="dxa"/>
            <w:vAlign w:val="bottom"/>
          </w:tcPr>
          <w:p>
            <w:pPr>
              <w:spacing w:after="0"/>
              <w:rPr>
                <w:sz w:val="15"/>
                <w:szCs w:val="15"/>
                <w:color w:val="auto"/>
              </w:rPr>
            </w:pPr>
          </w:p>
        </w:tc>
        <w:tc>
          <w:tcPr>
            <w:tcW w:w="5220" w:type="dxa"/>
            <w:vAlign w:val="bottom"/>
            <w:vMerge w:val="restart"/>
          </w:tcPr>
          <w:p>
            <w:pPr>
              <w:ind w:left="1840"/>
              <w:spacing w:after="0"/>
              <w:rPr>
                <w:sz w:val="20"/>
                <w:szCs w:val="20"/>
                <w:color w:val="auto"/>
              </w:rPr>
            </w:pPr>
            <w:r>
              <w:rPr>
                <w:rFonts w:ascii="Times New Roman" w:cs="Times New Roman" w:eastAsia="Times New Roman" w:hAnsi="Times New Roman"/>
                <w:sz w:val="16"/>
                <w:szCs w:val="16"/>
                <w:b w:val="1"/>
                <w:bCs w:val="1"/>
                <w:color w:val="auto"/>
              </w:rPr>
              <w:t>Description of Exhibits</w:t>
            </w:r>
          </w:p>
        </w:tc>
        <w:tc>
          <w:tcPr>
            <w:tcW w:w="80" w:type="dxa"/>
            <w:vAlign w:val="bottom"/>
            <w:vMerge w:val="restart"/>
          </w:tcPr>
          <w:p>
            <w:pPr>
              <w:spacing w:after="0"/>
              <w:rPr>
                <w:sz w:val="15"/>
                <w:szCs w:val="15"/>
                <w:color w:val="auto"/>
              </w:rPr>
            </w:pP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Form</w:t>
            </w:r>
          </w:p>
        </w:tc>
        <w:tc>
          <w:tcPr>
            <w:tcW w:w="80" w:type="dxa"/>
            <w:vAlign w:val="bottom"/>
          </w:tcPr>
          <w:p>
            <w:pPr>
              <w:spacing w:after="0"/>
              <w:rPr>
                <w:sz w:val="15"/>
                <w:szCs w:val="15"/>
                <w:color w:val="auto"/>
              </w:rPr>
            </w:pP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File Number</w:t>
            </w:r>
          </w:p>
        </w:tc>
        <w:tc>
          <w:tcPr>
            <w:tcW w:w="60" w:type="dxa"/>
            <w:vAlign w:val="bottom"/>
          </w:tcPr>
          <w:p>
            <w:pPr>
              <w:spacing w:after="0"/>
              <w:rPr>
                <w:sz w:val="15"/>
                <w:szCs w:val="15"/>
                <w:color w:val="auto"/>
              </w:rPr>
            </w:pPr>
          </w:p>
        </w:tc>
        <w:tc>
          <w:tcPr>
            <w:tcW w:w="8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80" w:type="dxa"/>
            <w:vAlign w:val="bottom"/>
            <w:vMerge w:val="restart"/>
          </w:tcPr>
          <w:p>
            <w:pPr>
              <w:spacing w:after="0"/>
              <w:rPr>
                <w:sz w:val="15"/>
                <w:szCs w:val="15"/>
                <w:color w:val="auto"/>
              </w:rPr>
            </w:pPr>
          </w:p>
        </w:tc>
        <w:tc>
          <w:tcPr>
            <w:tcW w:w="320" w:type="dxa"/>
            <w:vAlign w:val="bottom"/>
            <w:vMerge w:val="restart"/>
          </w:tcPr>
          <w:p>
            <w:pPr>
              <w:spacing w:after="0"/>
              <w:rPr>
                <w:sz w:val="15"/>
                <w:szCs w:val="15"/>
                <w:color w:val="auto"/>
              </w:rPr>
            </w:pP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0" w:type="dxa"/>
            <w:vAlign w:val="bottom"/>
          </w:tcPr>
          <w:p>
            <w:pPr>
              <w:spacing w:after="0"/>
              <w:rPr>
                <w:sz w:val="1"/>
                <w:szCs w:val="1"/>
                <w:color w:val="auto"/>
              </w:rPr>
            </w:pPr>
          </w:p>
        </w:tc>
      </w:tr>
      <w:tr>
        <w:trPr>
          <w:trHeight w:val="210"/>
        </w:trPr>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80" w:type="dxa"/>
            <w:vAlign w:val="bottom"/>
          </w:tcPr>
          <w:p>
            <w:pPr>
              <w:spacing w:after="0"/>
              <w:rPr>
                <w:sz w:val="18"/>
                <w:szCs w:val="18"/>
                <w:color w:val="auto"/>
              </w:rPr>
            </w:pPr>
          </w:p>
        </w:tc>
        <w:tc>
          <w:tcPr>
            <w:tcW w:w="522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80" w:type="dxa"/>
            <w:vAlign w:val="bottom"/>
          </w:tcPr>
          <w:p>
            <w:pPr>
              <w:spacing w:after="0"/>
              <w:rPr>
                <w:sz w:val="18"/>
                <w:szCs w:val="18"/>
                <w:color w:val="auto"/>
              </w:rPr>
            </w:pPr>
          </w:p>
        </w:tc>
        <w:tc>
          <w:tcPr>
            <w:tcW w:w="5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w:t>
      </w:r>
    </w:p>
    <w:p>
      <w:pPr>
        <w:spacing w:after="0" w:line="5" w:lineRule="exact"/>
        <w:rPr>
          <w:sz w:val="20"/>
          <w:szCs w:val="20"/>
          <w:color w:val="auto"/>
        </w:rPr>
      </w:pPr>
    </w:p>
    <w:p>
      <w:pPr>
        <w:ind w:left="720" w:hanging="536"/>
        <w:spacing w:after="0"/>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herewith.</w:t>
      </w:r>
    </w:p>
    <w:p>
      <w:pPr>
        <w:spacing w:after="0" w:line="5" w:lineRule="exact"/>
        <w:rPr>
          <w:sz w:val="20"/>
          <w:szCs w:val="20"/>
          <w:color w:val="auto"/>
        </w:rPr>
      </w:pPr>
    </w:p>
    <w:p>
      <w:pPr>
        <w:ind w:left="720" w:hanging="536"/>
        <w:spacing w:after="0"/>
        <w:tabs>
          <w:tab w:leader="none" w:pos="7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Furnished herewith.</w:t>
      </w:r>
    </w:p>
    <w:p>
      <w:pPr>
        <w:spacing w:after="0" w:line="5" w:lineRule="exact"/>
        <w:rPr>
          <w:sz w:val="20"/>
          <w:szCs w:val="20"/>
          <w:color w:val="auto"/>
        </w:rPr>
      </w:pPr>
    </w:p>
    <w:p>
      <w:pPr>
        <w:ind w:left="720" w:hanging="536"/>
        <w:spacing w:after="0"/>
        <w:tabs>
          <w:tab w:leader="none" w:pos="7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Portions of this exhibit have been omitted for confidential treatment pursuant to Item 601(b)(10)(iv) of Regulation S-K.</w:t>
      </w:r>
    </w:p>
    <w:p>
      <w:pPr>
        <w:spacing w:after="0" w:line="5" w:lineRule="exact"/>
        <w:rPr>
          <w:rFonts w:ascii="Times New Roman" w:cs="Times New Roman" w:eastAsia="Times New Roman" w:hAnsi="Times New Roman"/>
          <w:sz w:val="20"/>
          <w:szCs w:val="20"/>
          <w:color w:val="auto"/>
        </w:rPr>
      </w:pPr>
    </w:p>
    <w:p>
      <w:pPr>
        <w:ind w:left="1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Indicates management contract or compensatory plan or arrangement.</w:t>
      </w:r>
    </w:p>
    <w:p>
      <w:pPr>
        <w:spacing w:after="0" w:line="5" w:lineRule="exact"/>
        <w:rPr>
          <w:rFonts w:ascii="Times New Roman" w:cs="Times New Roman" w:eastAsia="Times New Roman" w:hAnsi="Times New Roman"/>
          <w:sz w:val="20"/>
          <w:szCs w:val="20"/>
          <w:color w:val="auto"/>
        </w:rPr>
      </w:pPr>
    </w:p>
    <w:p>
      <w:pPr>
        <w:ind w:left="720" w:right="420" w:hanging="529"/>
        <w:spacing w:after="0" w:line="24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†Confidential treatment requested as to certain portions, which portions have been filed separately with the Securities and Exchange Commission.</w:t>
      </w:r>
    </w:p>
    <w:p>
      <w:pPr>
        <w:ind w:left="720" w:right="60" w:hanging="529"/>
        <w:spacing w:after="0" w:line="25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Item 601(b)(2)(ii) of Regulation S-K promulgated by the SEC, certain portions of this exhibit have been redacted because the Company customarily and actually treats such omitted information as private or confidential and because such omitted information is not material.</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None.</w:t>
      </w:r>
    </w:p>
    <w:p>
      <w:pPr>
        <w:sectPr>
          <w:pgSz w:w="11880" w:h="15480" w:orient="portrait"/>
          <w:cols w:equalWidth="0" w:num="1">
            <w:col w:w="10580"/>
          </w:cols>
          <w:pgMar w:left="640" w:top="709"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126</w:t>
      </w:r>
    </w:p>
    <w:p>
      <w:pPr>
        <w:sectPr>
          <w:pgSz w:w="11880" w:h="15480" w:orient="portrait"/>
          <w:cols w:equalWidth="0" w:num="1">
            <w:col w:w="10580"/>
          </w:cols>
          <w:pgMar w:left="640" w:top="709" w:right="660" w:bottom="0" w:gutter="0" w:footer="0" w:header="0"/>
          <w:type w:val="continuous"/>
        </w:sectPr>
      </w:pPr>
    </w:p>
    <w:bookmarkStart w:id="132" w:name="page133"/>
    <w:bookmarkEnd w:id="132"/>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30" w:lineRule="exact"/>
        <w:rPr>
          <w:sz w:val="20"/>
          <w:szCs w:val="20"/>
          <w:color w:val="auto"/>
        </w:rPr>
      </w:pPr>
    </w:p>
    <w:p>
      <w:pPr>
        <w:ind w:right="200" w:firstLine="441"/>
        <w:spacing w:after="0" w:line="271"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color w:val="auto"/>
        </w:rPr>
        <w:t>LANTHEUS HOLDINGS, INC.</w:t>
      </w:r>
    </w:p>
    <w:p>
      <w:pPr>
        <w:spacing w:after="0" w:line="145"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 BRIAN MARKISON</w:t>
            </w:r>
          </w:p>
        </w:tc>
      </w:tr>
      <w:tr>
        <w:trPr>
          <w:trHeight w:val="223"/>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3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Brian Markison</w:t>
            </w:r>
          </w:p>
        </w:tc>
      </w:tr>
      <w:tr>
        <w:trPr>
          <w:trHeight w:val="250"/>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50"/>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3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February 26, 2025</w:t>
            </w:r>
          </w:p>
        </w:tc>
      </w:tr>
    </w:tbl>
    <w:p>
      <w:pPr>
        <w:spacing w:after="0" w:line="289" w:lineRule="exact"/>
        <w:rPr>
          <w:sz w:val="20"/>
          <w:szCs w:val="20"/>
          <w:color w:val="auto"/>
        </w:rPr>
      </w:pPr>
    </w:p>
    <w:p>
      <w:pPr>
        <w:ind w:firstLine="441"/>
        <w:spacing w:after="0" w:line="265" w:lineRule="auto"/>
        <w:rPr>
          <w:sz w:val="20"/>
          <w:szCs w:val="20"/>
          <w:color w:val="auto"/>
        </w:rPr>
      </w:pPr>
      <w:r>
        <w:rPr>
          <w:rFonts w:ascii="Times New Roman" w:cs="Times New Roman" w:eastAsia="Times New Roman" w:hAnsi="Times New Roman"/>
          <w:sz w:val="19"/>
          <w:szCs w:val="19"/>
          <w:color w:val="auto"/>
        </w:rPr>
        <w:t>We, the undersigned directors and officers of Lantheus Holdings, Inc., hereby severally constitute and appoint Brian Markison, Robert J. Marshall, Jr. and Daniel Niedzwiecki, and each of them individually, with full powers of substitution and resubstitution, our true and lawful attorneys, with full powers to them and each of them to sign for us, in our names and in the capacities indicated below, any and all amendments to this Annual Report on Form 10-K filed with the SEC,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that any such attorney-in-fact and agent, or his substitute or substitutes, may lawfully do or cause to be done by virtue hereof.</w:t>
      </w:r>
    </w:p>
    <w:p>
      <w:pPr>
        <w:spacing w:after="0" w:line="193" w:lineRule="exact"/>
        <w:rPr>
          <w:sz w:val="20"/>
          <w:szCs w:val="20"/>
          <w:color w:val="auto"/>
        </w:rPr>
      </w:pPr>
    </w:p>
    <w:p>
      <w:pPr>
        <w:ind w:right="460" w:firstLine="441"/>
        <w:spacing w:after="0" w:line="271"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this report has been signed below by the following persons on behalf of the registrant and in the capacities and on the dates indicated.</w:t>
      </w:r>
    </w:p>
    <w:p>
      <w:pPr>
        <w:sectPr>
          <w:pgSz w:w="11880" w:h="15480" w:orient="portrait"/>
          <w:cols w:equalWidth="0" w:num="1">
            <w:col w:w="10540"/>
          </w:cols>
          <w:pgMar w:left="640" w:top="615" w:right="700" w:bottom="0" w:gutter="0" w:footer="0" w:header="0"/>
        </w:sectPr>
      </w:pPr>
    </w:p>
    <w:p>
      <w:pPr>
        <w:spacing w:after="0" w:line="3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277745" cy="12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277745" cy="12700"/>
                    </a:xfrm>
                    <a:prstGeom prst="rect">
                      <a:avLst/>
                    </a:prstGeom>
                    <a:noFill/>
                  </pic:spPr>
                </pic:pic>
              </a:graphicData>
            </a:graphic>
          </wp:anchor>
        </w:drawing>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/S/ BRIAN MARKISON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77745" cy="12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277745" cy="12700"/>
                    </a:xfrm>
                    <a:prstGeom prst="rect">
                      <a:avLst/>
                    </a:prstGeom>
                    <a:noFill/>
                  </pic:spPr>
                </pic:pic>
              </a:graphicData>
            </a:graphic>
          </wp:anchor>
        </w:drawing>
      </w:r>
    </w:p>
    <w:p>
      <w:pPr>
        <w:spacing w:after="0" w:line="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Brian Markison</w:t>
      </w:r>
    </w:p>
    <w:p>
      <w:pPr>
        <w:spacing w:after="0" w:line="1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/S/ ROBERT J. MARSHALL,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77745" cy="12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277745" cy="12700"/>
                    </a:xfrm>
                    <a:prstGeom prst="rect">
                      <a:avLst/>
                    </a:prstGeom>
                    <a:noFill/>
                  </pic:spPr>
                </pic:pic>
              </a:graphicData>
            </a:graphic>
          </wp:anchor>
        </w:drawing>
      </w:r>
    </w:p>
    <w:p>
      <w:pPr>
        <w:spacing w:after="0" w:line="4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Robert J. Marshall, Jr.</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/S/ KIMBERLY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77745" cy="127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277745" cy="12700"/>
                    </a:xfrm>
                    <a:prstGeom prst="rect">
                      <a:avLst/>
                    </a:prstGeom>
                    <a:noFill/>
                  </pic:spPr>
                </pic:pic>
              </a:graphicData>
            </a:graphic>
          </wp:anchor>
        </w:drawing>
      </w:r>
    </w:p>
    <w:p>
      <w:pPr>
        <w:spacing w:after="0" w:line="4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Kimberly Brown</w:t>
      </w:r>
    </w:p>
    <w:p>
      <w:pPr>
        <w:spacing w:after="0" w:line="13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/S/ MARY ANNE HEINO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77745" cy="12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277745" cy="12700"/>
                    </a:xfrm>
                    <a:prstGeom prst="rect">
                      <a:avLst/>
                    </a:prstGeom>
                    <a:noFill/>
                  </pic:spPr>
                </pic:pic>
              </a:graphicData>
            </a:graphic>
          </wp:anchor>
        </w:drawing>
      </w:r>
    </w:p>
    <w:p>
      <w:pPr>
        <w:spacing w:after="0" w:line="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Mary Anne Heino</w:t>
      </w:r>
    </w:p>
    <w:p>
      <w:pPr>
        <w:spacing w:after="0" w:line="13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/S/ MINNIE BAYLOR-HENRY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77745" cy="12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277745" cy="12700"/>
                    </a:xfrm>
                    <a:prstGeom prst="rect">
                      <a:avLst/>
                    </a:prstGeom>
                    <a:noFill/>
                  </pic:spPr>
                </pic:pic>
              </a:graphicData>
            </a:graphic>
          </wp:anchor>
        </w:drawing>
      </w:r>
    </w:p>
    <w:p>
      <w:pPr>
        <w:spacing w:after="0" w:line="4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Minnie Baylor-Henry</w:t>
      </w:r>
    </w:p>
    <w:p>
      <w:pPr>
        <w:spacing w:after="0" w:line="13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6"/>
          <w:szCs w:val="16"/>
          <w:color w:val="auto"/>
        </w:rPr>
        <w:t>/S/ GÉRARD 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77745" cy="127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277745" cy="12700"/>
                    </a:xfrm>
                    <a:prstGeom prst="rect">
                      <a:avLst/>
                    </a:prstGeom>
                    <a:noFill/>
                  </pic:spPr>
                </pic:pic>
              </a:graphicData>
            </a:graphic>
          </wp:anchor>
        </w:drawing>
      </w:r>
    </w:p>
    <w:p>
      <w:pPr>
        <w:spacing w:after="0" w:line="4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Gérard Ber</w:t>
      </w:r>
    </w:p>
    <w:p>
      <w:pPr>
        <w:spacing w:after="0" w:line="12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/S/ JULIE EASTLAND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77745" cy="12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277745" cy="12700"/>
                    </a:xfrm>
                    <a:prstGeom prst="rect">
                      <a:avLst/>
                    </a:prstGeom>
                    <a:noFill/>
                  </pic:spPr>
                </pic:pic>
              </a:graphicData>
            </a:graphic>
          </wp:anchor>
        </w:drawing>
      </w:r>
    </w:p>
    <w:p>
      <w:pPr>
        <w:spacing w:after="0" w:line="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Julie Eastland</w:t>
      </w:r>
    </w:p>
    <w:p>
      <w:pPr>
        <w:spacing w:after="0" w:line="13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/S/ SAMUEL R. LENO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77745" cy="127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277745" cy="12700"/>
                    </a:xfrm>
                    <a:prstGeom prst="rect">
                      <a:avLst/>
                    </a:prstGeom>
                    <a:noFill/>
                  </pic:spPr>
                </pic:pic>
              </a:graphicData>
            </a:graphic>
          </wp:anchor>
        </w:drawing>
      </w:r>
    </w:p>
    <w:p>
      <w:pPr>
        <w:spacing w:after="0" w:line="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Samuel R. Leno</w:t>
      </w:r>
    </w:p>
    <w:p>
      <w:pPr>
        <w:spacing w:after="0" w:line="13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/S/ HEINZ MÄUSLI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77745" cy="127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277745" cy="12700"/>
                    </a:xfrm>
                    <a:prstGeom prst="rect">
                      <a:avLst/>
                    </a:prstGeom>
                    <a:noFill/>
                  </pic:spPr>
                </pic:pic>
              </a:graphicData>
            </a:graphic>
          </wp:anchor>
        </w:drawing>
      </w:r>
    </w:p>
    <w:p>
      <w:pPr>
        <w:spacing w:after="0" w:line="4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6"/>
          <w:szCs w:val="16"/>
          <w:color w:val="auto"/>
        </w:rPr>
        <w:t>Heinz Mäusli</w:t>
      </w:r>
    </w:p>
    <w:p>
      <w:pPr>
        <w:spacing w:after="0" w:line="13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/S/ JULIE H. MCHUGH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77745" cy="12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277745" cy="12700"/>
                    </a:xfrm>
                    <a:prstGeom prst="rect">
                      <a:avLst/>
                    </a:prstGeom>
                    <a:noFill/>
                  </pic:spPr>
                </pic:pic>
              </a:graphicData>
            </a:graphic>
          </wp:anchor>
        </w:drawing>
      </w:r>
    </w:p>
    <w:p>
      <w:pPr>
        <w:spacing w:after="0" w:line="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Julie H. McHugh</w:t>
      </w:r>
    </w:p>
    <w:p>
      <w:pPr>
        <w:spacing w:after="0" w:line="13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/S/ DR. PHUONG KHANH MORROW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277745" cy="127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277745" cy="1270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color w:val="auto"/>
        </w:rPr>
        <w:t>Dr. Phuong Khanh Morrow</w:t>
      </w:r>
    </w:p>
    <w:p>
      <w:pPr>
        <w:spacing w:after="0" w:line="13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/S/ GARY J. PRUDEN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77745" cy="12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277745" cy="12700"/>
                    </a:xfrm>
                    <a:prstGeom prst="rect">
                      <a:avLst/>
                    </a:prstGeom>
                    <a:noFill/>
                  </pic:spPr>
                </pic:pic>
              </a:graphicData>
            </a:graphic>
          </wp:anchor>
        </w:drawing>
      </w:r>
    </w:p>
    <w:p>
      <w:pPr>
        <w:spacing w:after="0" w:line="4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Gary J. Pruden</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/S/ DR. JAMES H. THRALL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77745" cy="127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277745" cy="12700"/>
                    </a:xfrm>
                    <a:prstGeom prst="rect">
                      <a:avLst/>
                    </a:prstGeom>
                    <a:noFill/>
                  </pic:spPr>
                </pic:pic>
              </a:graphicData>
            </a:graphic>
          </wp:anchor>
        </w:drawing>
      </w:r>
    </w:p>
    <w:p>
      <w:pPr>
        <w:spacing w:after="0" w:line="46"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6"/>
          <w:szCs w:val="16"/>
          <w:color w:val="auto"/>
        </w:rPr>
        <w:t>Dr. James H. Thrall</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Title</w:t>
            </w:r>
          </w:p>
        </w:tc>
        <w:tc>
          <w:tcPr>
            <w:tcW w:w="8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246"/>
        </w:trPr>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Chief Executive Officer and Director</w:t>
            </w:r>
          </w:p>
        </w:tc>
        <w:tc>
          <w:tcPr>
            <w:tcW w:w="8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26, 2025</w:t>
            </w:r>
          </w:p>
        </w:tc>
      </w:tr>
      <w:tr>
        <w:trPr>
          <w:trHeight w:val="204"/>
        </w:trPr>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(Principal Executive Officer)</w:t>
            </w: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374"/>
        </w:trPr>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Chief Financial Officer and Treasurer</w:t>
            </w:r>
          </w:p>
        </w:tc>
        <w:tc>
          <w:tcPr>
            <w:tcW w:w="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26, 2025</w:t>
            </w:r>
          </w:p>
        </w:tc>
      </w:tr>
      <w:tr>
        <w:trPr>
          <w:trHeight w:val="204"/>
        </w:trPr>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(Principal Financial Officer)</w:t>
            </w: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369"/>
        </w:trPr>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Chief Accounting Officer</w:t>
            </w:r>
          </w:p>
        </w:tc>
        <w:tc>
          <w:tcPr>
            <w:tcW w:w="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26, 2025</w:t>
            </w:r>
          </w:p>
        </w:tc>
      </w:tr>
      <w:tr>
        <w:trPr>
          <w:trHeight w:val="204"/>
        </w:trPr>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(Principal Accounting Officer)</w:t>
            </w: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11"/>
        </w:trPr>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Chairperson of the Board of Directors</w:t>
            </w:r>
          </w:p>
        </w:tc>
        <w:tc>
          <w:tcPr>
            <w:tcW w:w="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26, 2025</w:t>
            </w:r>
          </w:p>
        </w:tc>
      </w:tr>
      <w:tr>
        <w:trPr>
          <w:trHeight w:val="573"/>
        </w:trPr>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Director</w:t>
            </w:r>
          </w:p>
        </w:tc>
        <w:tc>
          <w:tcPr>
            <w:tcW w:w="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26, 2025</w:t>
            </w:r>
          </w:p>
        </w:tc>
      </w:tr>
      <w:tr>
        <w:trPr>
          <w:trHeight w:val="573"/>
        </w:trPr>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Director</w:t>
            </w:r>
          </w:p>
        </w:tc>
        <w:tc>
          <w:tcPr>
            <w:tcW w:w="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26, 2025</w:t>
            </w:r>
          </w:p>
        </w:tc>
      </w:tr>
      <w:tr>
        <w:trPr>
          <w:trHeight w:val="573"/>
        </w:trPr>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Director</w:t>
            </w:r>
          </w:p>
        </w:tc>
        <w:tc>
          <w:tcPr>
            <w:tcW w:w="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26, 2025</w:t>
            </w:r>
          </w:p>
        </w:tc>
      </w:tr>
      <w:tr>
        <w:trPr>
          <w:trHeight w:val="559"/>
        </w:trPr>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Director</w:t>
            </w:r>
          </w:p>
        </w:tc>
        <w:tc>
          <w:tcPr>
            <w:tcW w:w="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26, 2025</w:t>
            </w:r>
          </w:p>
        </w:tc>
      </w:tr>
      <w:tr>
        <w:trPr>
          <w:trHeight w:val="573"/>
        </w:trPr>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Director</w:t>
            </w:r>
          </w:p>
        </w:tc>
        <w:tc>
          <w:tcPr>
            <w:tcW w:w="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26, 2025</w:t>
            </w:r>
          </w:p>
        </w:tc>
      </w:tr>
      <w:tr>
        <w:trPr>
          <w:trHeight w:val="573"/>
        </w:trPr>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Director</w:t>
            </w:r>
          </w:p>
        </w:tc>
        <w:tc>
          <w:tcPr>
            <w:tcW w:w="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26, 2025</w:t>
            </w:r>
          </w:p>
        </w:tc>
      </w:tr>
      <w:tr>
        <w:trPr>
          <w:trHeight w:val="573"/>
        </w:trPr>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Director</w:t>
            </w:r>
          </w:p>
        </w:tc>
        <w:tc>
          <w:tcPr>
            <w:tcW w:w="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26, 2025</w:t>
            </w:r>
          </w:p>
        </w:tc>
      </w:tr>
      <w:tr>
        <w:trPr>
          <w:trHeight w:val="573"/>
        </w:trPr>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Director</w:t>
            </w:r>
          </w:p>
        </w:tc>
        <w:tc>
          <w:tcPr>
            <w:tcW w:w="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26, 2025</w:t>
            </w:r>
          </w:p>
        </w:tc>
      </w:tr>
      <w:tr>
        <w:trPr>
          <w:trHeight w:val="573"/>
        </w:trPr>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Director</w:t>
            </w:r>
          </w:p>
        </w:tc>
        <w:tc>
          <w:tcPr>
            <w:tcW w:w="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26, 2025</w:t>
            </w:r>
          </w:p>
        </w:tc>
      </w:tr>
    </w:tbl>
    <w:p>
      <w:pPr>
        <w:spacing w:after="0" w:line="434" w:lineRule="exact"/>
        <w:rPr>
          <w:sz w:val="20"/>
          <w:szCs w:val="20"/>
          <w:color w:val="auto"/>
        </w:rPr>
      </w:pPr>
    </w:p>
    <w:p>
      <w:pPr>
        <w:sectPr>
          <w:pgSz w:w="11880" w:h="15480" w:orient="portrait"/>
          <w:cols w:equalWidth="0" w:num="2">
            <w:col w:w="3060" w:space="600"/>
            <w:col w:w="6880"/>
          </w:cols>
          <w:pgMar w:left="640" w:top="615" w:right="7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127</w:t>
      </w:r>
    </w:p>
    <w:p>
      <w:pPr>
        <w:sectPr>
          <w:pgSz w:w="11880" w:h="15480" w:orient="portrait"/>
          <w:cols w:equalWidth="0" w:num="1">
            <w:col w:w="10540"/>
          </w:cols>
          <w:pgMar w:left="640" w:top="615" w:right="700" w:bottom="0" w:gutter="0" w:footer="0" w:header="0"/>
          <w:type w:val="continuous"/>
        </w:sectPr>
      </w:pPr>
    </w:p>
    <w:bookmarkStart w:id="133" w:name="page134"/>
    <w:bookmarkEnd w:id="133"/>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35" w:name="page136"/>
    <w:bookmarkEnd w:id="1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
        <w:spacing w:after="0"/>
        <w:rPr>
          <w:sz w:val="20"/>
          <w:szCs w:val="20"/>
          <w:color w:val="auto"/>
        </w:rPr>
      </w:pPr>
      <w:r>
        <w:rPr>
          <w:rFonts w:ascii="Arial" w:cs="Arial" w:eastAsia="Arial" w:hAnsi="Arial"/>
          <w:sz w:val="62"/>
          <w:szCs w:val="62"/>
          <w:color w:val="auto"/>
        </w:rPr>
        <w:t>Our passion</w:t>
      </w:r>
    </w:p>
    <w:p>
      <w:pPr>
        <w:spacing w:after="0" w:line="48" w:lineRule="exact"/>
        <w:rPr>
          <w:sz w:val="20"/>
          <w:szCs w:val="20"/>
          <w:color w:val="auto"/>
        </w:rPr>
      </w:pPr>
    </w:p>
    <w:p>
      <w:pPr>
        <w:ind w:left="140"/>
        <w:spacing w:after="0"/>
        <w:rPr>
          <w:sz w:val="20"/>
          <w:szCs w:val="20"/>
          <w:color w:val="auto"/>
        </w:rPr>
      </w:pPr>
      <w:r>
        <w:rPr>
          <w:rFonts w:ascii="Arial" w:cs="Arial" w:eastAsia="Arial" w:hAnsi="Arial"/>
          <w:sz w:val="62"/>
          <w:szCs w:val="62"/>
          <w:color w:val="auto"/>
        </w:rPr>
        <w:t xml:space="preserve">is to </w:t>
      </w:r>
      <w:r>
        <w:rPr>
          <w:rFonts w:ascii="Arial" w:cs="Arial" w:eastAsia="Arial" w:hAnsi="Arial"/>
          <w:sz w:val="69"/>
          <w:szCs w:val="69"/>
          <w:b w:val="1"/>
          <w:bCs w:val="1"/>
          <w:color w:val="FFFFFF"/>
        </w:rPr>
        <w:t>Find,</w:t>
      </w:r>
    </w:p>
    <w:p>
      <w:pPr>
        <w:spacing w:after="0" w:line="45" w:lineRule="exact"/>
        <w:rPr>
          <w:sz w:val="20"/>
          <w:szCs w:val="20"/>
          <w:color w:val="auto"/>
        </w:rPr>
      </w:pPr>
    </w:p>
    <w:p>
      <w:pPr>
        <w:ind w:left="140"/>
        <w:spacing w:after="0"/>
        <w:rPr>
          <w:sz w:val="20"/>
          <w:szCs w:val="20"/>
          <w:color w:val="auto"/>
        </w:rPr>
      </w:pPr>
      <w:r>
        <w:rPr>
          <w:rFonts w:ascii="Arial" w:cs="Arial" w:eastAsia="Arial" w:hAnsi="Arial"/>
          <w:sz w:val="70"/>
          <w:szCs w:val="70"/>
          <w:b w:val="1"/>
          <w:bCs w:val="1"/>
          <w:color w:val="FFFFFF"/>
        </w:rPr>
        <w:t>Fight and</w:t>
      </w:r>
    </w:p>
    <w:p>
      <w:pPr>
        <w:spacing w:after="0" w:line="33" w:lineRule="exact"/>
        <w:rPr>
          <w:sz w:val="20"/>
          <w:szCs w:val="20"/>
          <w:color w:val="auto"/>
        </w:rPr>
      </w:pPr>
    </w:p>
    <w:p>
      <w:pPr>
        <w:ind w:left="140"/>
        <w:spacing w:after="0"/>
        <w:rPr>
          <w:sz w:val="20"/>
          <w:szCs w:val="20"/>
          <w:color w:val="auto"/>
        </w:rPr>
      </w:pPr>
      <w:r>
        <w:rPr>
          <w:rFonts w:ascii="Arial" w:cs="Arial" w:eastAsia="Arial" w:hAnsi="Arial"/>
          <w:sz w:val="70"/>
          <w:szCs w:val="70"/>
          <w:b w:val="1"/>
          <w:bCs w:val="1"/>
          <w:color w:val="FFFFFF"/>
        </w:rPr>
        <w:t>Follow</w:t>
      </w:r>
      <w:r>
        <w:rPr>
          <w:rFonts w:ascii="Arial" w:cs="Arial" w:eastAsia="Arial" w:hAnsi="Arial"/>
          <w:sz w:val="20"/>
          <w:szCs w:val="20"/>
          <w:b w:val="1"/>
          <w:bCs w:val="1"/>
          <w:color w:val="FFFFFF"/>
        </w:rPr>
        <w:t>®</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62"/>
          <w:szCs w:val="62"/>
          <w:color w:val="auto"/>
        </w:rPr>
        <w:t>disease to</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62"/>
          <w:szCs w:val="62"/>
          <w:color w:val="auto"/>
        </w:rPr>
        <w:t>deliver bet ter</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62"/>
          <w:szCs w:val="62"/>
          <w:color w:val="auto"/>
        </w:rPr>
        <w:t>patient</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62"/>
          <w:szCs w:val="62"/>
          <w:color w:val="auto"/>
        </w:rPr>
        <w:t>outcomes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color w:val="FFFFFF"/>
        </w:rPr>
        <w:t>201 Burlington Road | South Building | Bedford, MA 01730</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FFFFFF"/>
        </w:rPr>
        <w:t>800-362-2668 | lantheus.com</w:t>
      </w:r>
    </w:p>
    <w:sectPr>
      <w:pgSz w:w="11880" w:h="15480" w:orient="portrait"/>
      <w:cols w:equalWidth="0" w:num="1">
        <w:col w:w="9260"/>
      </w:cols>
      <w:pgMar w:left="1180" w:top="1440" w:right="1440" w:bottom="22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lvl w:ilvl="1">
      <w:lvlJc w:val="left"/>
      <w:lvlText w:val="▪"/>
      <w:numFmt w:val="bullet"/>
      <w:start w:val="1"/>
    </w:lvl>
  </w:abstractNum>
  <w:abstractNum w:abstractNumId="13">
    <w:nsid w:val="440BADFC"/>
    <w:multiLevelType w:val="hybridMultilevel"/>
    <w:lvl w:ilvl="0">
      <w:lvlJc w:val="left"/>
      <w:lvlText w:val="◦"/>
      <w:numFmt w:val="bullet"/>
      <w:start w:val="1"/>
    </w:lvl>
    <w:lvl w:ilvl="1">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1)"/>
      <w:numFmt w:val="decimal"/>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1."/>
      <w:numFmt w:val="decimal"/>
      <w:start w:val="2"/>
    </w:lvl>
  </w:abstractNum>
  <w:abstractNum w:abstractNumId="43">
    <w:nsid w:val="3DC240FB"/>
    <w:multiLevelType w:val="hybridMultilevel"/>
    <w:lvl w:ilvl="0">
      <w:lvlJc w:val="left"/>
      <w:lvlText w:val="(%1)"/>
      <w:numFmt w:val="decimal"/>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1)"/>
      <w:numFmt w:val="lowerRoman"/>
      <w:start w:val="4"/>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1)"/>
      <w:numFmt w:val="decimal"/>
      <w:start w:val="1"/>
    </w:lvl>
  </w:abstractNum>
  <w:abstractNum w:abstractNumId="48">
    <w:nsid w:val="70C6A529"/>
    <w:multiLevelType w:val="hybridMultilevel"/>
    <w:lvl w:ilvl="0">
      <w:lvlJc w:val="left"/>
      <w:lvlText w:val="%1."/>
      <w:numFmt w:val="decimal"/>
      <w:start w:val="15"/>
    </w:lvl>
  </w:abstractNum>
  <w:abstractNum w:abstractNumId="49">
    <w:nsid w:val="520EEDD1"/>
    <w:multiLevelType w:val="hybridMultilevel"/>
    <w:lvl w:ilvl="0">
      <w:lvlJc w:val="left"/>
      <w:lvlText w:val="%1."/>
      <w:numFmt w:val="decimal"/>
      <w:start w:val="19"/>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1"/>
      <w:numFmt w:val="decimal"/>
      <w:start w:val="1"/>
    </w:lvl>
    <w:lvl w:ilvl="1">
      <w:lvlJc w:val="left"/>
      <w:lvlText w:val="(%2)"/>
      <w:numFmt w:val="decimal"/>
      <w:start w:val="1"/>
    </w:lvl>
  </w:abstractNum>
  <w:abstractNum w:abstractNumId="53">
    <w:nsid w:val="649BB77C"/>
    <w:multiLevelType w:val="hybridMultilevel"/>
    <w:lvl w:ilvl="0">
      <w:lvlJc w:val="left"/>
      <w:lvlText w:val="%1."/>
      <w:numFmt w:val="decimal"/>
      <w:start w:val="23"/>
    </w:lvl>
    <w:lvl w:ilvl="1">
      <w:lvlJc w:val="left"/>
      <w:lvlText w:val="%2"/>
      <w:numFmt w:val="decimal"/>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2025-03-21T23:05:29Z</dcterms:created>
  <dcterms:modified xsi:type="dcterms:W3CDTF">2025-03-21T23:05:29Z</dcterms:modified>
</cp:coreProperties>
</file>