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46489V104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278,896.00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278,896.00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278,896.00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328,036.00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328,036.00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328,036.00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65,713.00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65,713.00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65,713.00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III,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38,741.00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38,741.00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38,741.00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Four Crossings Institutional Partners 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59,044.00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59,044.00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59,044.00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Offshore Investors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642,399.00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642,399.00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642,399.00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46489V104</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(AM) Investors,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40,413.00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40,413.00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40,413.00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F5 Master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95,647.00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95,647.00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95,647.00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Healthcare Partners Master,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1,928,338.00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1,928,338.00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1,928,338.00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3,381,580.00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3,381,580.00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3,381,580.00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Institutional (GP)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59,044.00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59,044.00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95,647.00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95,647.00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95,647.00</w:t>
      </w:r>
    </w:p>
    <w:p>
      <w:pPr>
        <w:sectPr>
          <w:pgSz w:w="11900" w:h="16911" w:orient="portrait"/>
          <w:cols w:equalWidth="0" w:num="1">
            <w:col w:w="10099"/>
          </w:cols>
          <w:pgMar w:left="360" w:top="111" w:right="1440" w:bottom="0" w:gutter="0" w:footer="0" w:header="0"/>
          <w:type w:val="continuous"/>
        </w:sectPr>
      </w:pPr>
    </w:p>
    <w:bookmarkStart w:id="9" w:name="page10"/>
    <w:bookmarkEnd w:id="9"/>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Healthcare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1,928,338.00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1,928,338.00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1,928,338.00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ectPr>
          <w:pgSz w:w="11900" w:h="16838" w:orient="portrait"/>
          <w:cols w:equalWidth="0" w:num="1">
            <w:col w:w="10099"/>
          </w:cols>
          <w:pgMar w:left="360" w:top="140"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40" w:right="1440" w:bottom="0" w:gutter="0" w:footer="0" w:header="0"/>
          <w:type w:val="continuous"/>
        </w:sectPr>
      </w:pPr>
    </w:p>
    <w:bookmarkStart w:id="10" w:name="page11"/>
    <w:bookmarkEnd w:id="10"/>
    <w:p>
      <w:pPr>
        <w:ind w:left="1120"/>
        <w:spacing w:after="0"/>
        <w:rPr>
          <w:sz w:val="20"/>
          <w:szCs w:val="20"/>
          <w:color w:val="auto"/>
        </w:rPr>
      </w:pPr>
      <w:r>
        <w:rPr>
          <w:rFonts w:ascii="Times New Roman" w:cs="Times New Roman" w:eastAsia="Times New Roman" w:hAnsi="Times New Roman"/>
          <w:sz w:val="22"/>
          <w:szCs w:val="22"/>
          <w:color w:val="auto"/>
        </w:rPr>
        <w:t>Dapice Joshua J.</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3,477,227.00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Dreyfuss, Philip 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3,477,227.00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112" w:right="1440" w:bottom="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112" w:right="1440" w:bottom="0" w:gutter="0" w:footer="0" w:header="0"/>
          <w:type w:val="continuous"/>
        </w:sectPr>
      </w:pPr>
    </w:p>
    <w:bookmarkStart w:id="11" w:name="page12"/>
    <w:bookmarkEnd w:id="11"/>
    <w:p>
      <w:pPr>
        <w:ind w:left="1400" w:right="7059" w:hanging="231"/>
        <w:spacing w:after="0" w:line="259" w:lineRule="auto"/>
        <w:tabs>
          <w:tab w:leader="none" w:pos="14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3,477,227.00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3,477,227.00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Dunn Hannah 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5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3,477,227.00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51"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Fried, Richard 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3,477,227.00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Gehani, Varun 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110" w:right="14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3,477,227.00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Giauque, Nicolas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3,477,227.00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2" w:right="1440" w:bottom="0" w:gutter="0" w:footer="0" w:header="0"/>
          <w:type w:val="continuous"/>
        </w:sectPr>
      </w:pPr>
    </w:p>
    <w:bookmarkStart w:id="14" w:name="page15"/>
    <w:bookmarkEnd w:id="14"/>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Kim, David 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3,477,227.00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Linn, Michael G.</w:t>
      </w:r>
    </w:p>
    <w:p>
      <w:pPr>
        <w:spacing w:after="0" w:line="20" w:lineRule="exact"/>
        <w:rPr>
          <w:sz w:val="20"/>
          <w:szCs w:val="20"/>
          <w:color w:val="auto"/>
        </w:rPr>
      </w:pPr>
    </w:p>
    <w:p>
      <w:pPr>
        <w:ind w:left="1120" w:hanging="1112"/>
        <w:spacing w:after="0"/>
        <w:tabs>
          <w:tab w:leader="none" w:pos="11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327" w:gutter="0" w:footer="0" w:header="0"/>
          <w:type w:val="continuous"/>
        </w:sectPr>
      </w:pPr>
    </w:p>
    <w:bookmarkStart w:id="15" w:name="page16"/>
    <w:bookmarkEnd w:id="15"/>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3,477,227.00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Luo Patrick (Cheng)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3,477,227.00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16" w:name="page17"/>
    <w:bookmarkEnd w:id="16"/>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3,477,227.00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3,477,227.00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Patel, Rajiv 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3,477,227.00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46489V104</w:t>
      </w:r>
    </w:p>
    <w:p>
      <w:pPr>
        <w:sectPr>
          <w:pgSz w:w="11900" w:h="16887" w:orient="portrait"/>
          <w:cols w:equalWidth="0" w:num="1">
            <w:col w:w="10099"/>
          </w:cols>
          <w:pgMar w:left="360" w:top="112" w:right="1440" w:bottom="0" w:gutter="0" w:footer="0" w:header="0"/>
          <w:type w:val="continuous"/>
        </w:sectPr>
      </w:pPr>
    </w:p>
    <w:bookmarkStart w:id="17" w:name="page18"/>
    <w:bookmarkEnd w:id="17"/>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Roberts, Jr., Thomas 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90"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3,477,227.00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90"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Saito Edric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90" w:orient="portrait"/>
          <w:cols w:equalWidth="0" w:num="1">
            <w:col w:w="10099"/>
          </w:cols>
          <w:pgMar w:left="360" w:top="108" w:right="1440" w:bottom="0" w:gutter="0" w:footer="0" w:header="0"/>
          <w:type w:val="continuous"/>
        </w:sectPr>
      </w:pPr>
    </w:p>
    <w:bookmarkStart w:id="18" w:name="page19"/>
    <w:bookmarkEnd w:id="18"/>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3,477,227.00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3,477,227.00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3,477,227.00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Seybold, William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3,477,227.00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19" w:name="page20"/>
    <w:bookmarkEnd w:id="19"/>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Short Daniel 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3,477,227.00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Spokes, Andrew J. 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20" w:name="page21"/>
    <w:bookmarkEnd w:id="20"/>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3,477,227.00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Warren, John 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3,477,227.00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3,477,227.00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3,477,227.00</w:t>
      </w:r>
    </w:p>
    <w:p>
      <w:pPr>
        <w:sectPr>
          <w:pgSz w:w="11900" w:h="16911" w:orient="portrait"/>
          <w:cols w:equalWidth="0" w:num="1">
            <w:col w:w="10099"/>
          </w:cols>
          <w:pgMar w:left="360" w:top="111" w:right="1440" w:bottom="0" w:gutter="0" w:footer="0" w:header="0"/>
          <w:type w:val="continuous"/>
        </w:sectPr>
      </w:pPr>
    </w:p>
    <w:bookmarkStart w:id="21" w:name="page22"/>
    <w:bookmarkEnd w:id="21"/>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Wehrly, Mark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3,477,227.00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3,477,227.00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jc w:val="right"/>
        <w:ind w:right="7099"/>
        <w:spacing w:after="0"/>
        <w:rPr>
          <w:sz w:val="20"/>
          <w:szCs w:val="20"/>
          <w:color w:val="auto"/>
        </w:rPr>
      </w:pPr>
      <w:r>
        <w:rPr>
          <w:rFonts w:ascii="Times New Roman" w:cs="Times New Roman" w:eastAsia="Times New Roman" w:hAnsi="Times New Roman"/>
          <w:sz w:val="22"/>
          <w:szCs w:val="22"/>
          <w:color w:val="auto"/>
        </w:rPr>
        <w:t>Lantheus Holdings, Inc.</w:t>
      </w:r>
    </w:p>
    <w:p>
      <w:pPr>
        <w:sectPr>
          <w:pgSz w:w="11900" w:h="16838" w:orient="portrait"/>
          <w:cols w:equalWidth="0" w:num="1">
            <w:col w:w="10099"/>
          </w:cols>
          <w:pgMar w:left="360" w:top="140" w:right="1440" w:bottom="0" w:gutter="0" w:footer="0" w:header="0"/>
          <w:type w:val="continuous"/>
        </w:sectPr>
      </w:pPr>
    </w:p>
    <w:bookmarkStart w:id="22" w:name="page23"/>
    <w:bookmarkEnd w:id="22"/>
    <w:p>
      <w:pPr>
        <w:spacing w:after="0" w:line="49" w:lineRule="exact"/>
        <w:rPr>
          <w:sz w:val="20"/>
          <w:szCs w:val="20"/>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201 Burlington Road, South Building, Bedford, Massachusetts, 01730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60"/>
        <w:spacing w:after="0" w:line="244" w:lineRule="auto"/>
        <w:rPr>
          <w:sz w:val="20"/>
          <w:szCs w:val="20"/>
          <w:color w:val="auto"/>
        </w:rPr>
      </w:pPr>
      <w:r>
        <w:rPr>
          <w:rFonts w:ascii="Times New Roman" w:cs="Times New Roman" w:eastAsia="Times New Roman" w:hAnsi="Times New Roman"/>
          <w:sz w:val="21"/>
          <w:szCs w:val="21"/>
          <w:color w:val="auto"/>
        </w:rPr>
        <w:t>This statement is filed by the entities and persons listed below, all of whom together are referred to herein as the "Reporting Persons." (i) Farallon Capital Partners, L.P., a California limited partnership ("FCP"), with respect to the Shares held by it; (ii) Farallon Capital Institutional Partners, L.P., a California limited partnership ("FCIP"), with respect to the Shares held by it; (iii) Farallon Capital Institutional Partners II, L.P., a California limited partnership ("FCIP II"), with respect to the Shares held by it; (iv) Farallon Capital Institutional Partners III, L.P., a Delaware limited partnership ("FCIP III"), with respect to the Shares held by it; (v) Four Crossings Institutional Partners V, L.P., a Delaware limited partnership ("FCIP V"), with respect to the Shares held by it; (vi) Farallon Capital Offshore Investors II, L.P., a Cayman Islands exempted limited partnership ("FCOI II"), with respect to the Shares held by it;</w:t>
      </w:r>
    </w:p>
    <w:p>
      <w:pPr>
        <w:spacing w:after="0" w:line="4" w:lineRule="exact"/>
        <w:rPr>
          <w:sz w:val="20"/>
          <w:szCs w:val="20"/>
          <w:color w:val="auto"/>
        </w:rPr>
      </w:pPr>
    </w:p>
    <w:p>
      <w:pPr>
        <w:ind w:left="920" w:right="220"/>
        <w:spacing w:after="0" w:line="241" w:lineRule="auto"/>
        <w:rPr>
          <w:sz w:val="20"/>
          <w:szCs w:val="20"/>
          <w:color w:val="auto"/>
        </w:rPr>
      </w:pPr>
      <w:r>
        <w:rPr>
          <w:rFonts w:ascii="Times New Roman" w:cs="Times New Roman" w:eastAsia="Times New Roman" w:hAnsi="Times New Roman"/>
          <w:sz w:val="21"/>
          <w:szCs w:val="21"/>
          <w:color w:val="auto"/>
        </w:rPr>
        <w:t>(vii) Farallon Capital (AM) Investors, L.P., a Delaware limited partnership ("FCAMI"), with respect to the Shares held by it; (viii) Farallon Capital F5 Master I, L.P., a Cayman Islands exempted limited partnership ("F5MI"), with respect to the Shares held by it; and (ix) Farallon Healthcare Partners Master, L.P., a Cayman Islands exempted limited partnership ("FHPM"), with respect to the Shares held by it. FCP, FCIP, FCIP II, FCIP III, FCIP V, FCOI II, FCAMI, F5MI and FHPM are together referred to herein as the "Farallon Funds." (x) Farallon Partners, L.L.C., a Delaware limited liability company (the "Farallon General Partner"), which is the general partner of each of FCP,</w:t>
      </w:r>
    </w:p>
    <w:p>
      <w:pPr>
        <w:spacing w:after="0" w:line="3" w:lineRule="exact"/>
        <w:rPr>
          <w:sz w:val="20"/>
          <w:szCs w:val="20"/>
          <w:color w:val="auto"/>
        </w:rPr>
      </w:pPr>
    </w:p>
    <w:p>
      <w:pPr>
        <w:ind w:left="920" w:hanging="912"/>
        <w:spacing w:after="0" w:line="231" w:lineRule="auto"/>
        <w:tabs>
          <w:tab w:leader="none" w:pos="9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FCIP, FCIP II, FCIP III, FCOI II and FCAMI and the sole member of each of the FCIP V General Partner (as defined below) and the FHPM General Partner (as defined below), with respect to the Shares held by each of the Farallon Funds other than F5MI. (xi) Farallon Institutional (GP) V, L.L.C., a Delaware limited liability company (the "FCIP V General Partner"), which is the general partner of FCIP V, with respect to the Shares held by FCIP V. (xii) Farallon F5 (GP), L.L.C., a Delaware limited liability company (the "F5MI General Partner"), which is the general partner of F5MI, with respect to the Shares held by F5MI. (xiii) Farallon Healthcare Partners (GP), L.L.C., a Delaware limited liability company (the "FHPM General Partner"), which is the general partner of FHPM, with respect to the Shares held by FHPM. (xiv) The following persons, each of whom is a managing member or senior managing member, as the case may be, of the Farallon General Partner and a manager or senior manager, as the case may be, of the FCIP V General Partner, the F5MI General Partner and the FHPM General Partner, with respect to the Shares held by the Farallon Funds: Joshua J. Dapice ("Dapice"); Philip D. Dreyfuss ("Dreyfuss"); Hannah E. Dunn ("Dunn"); Richard B. Fried ("Fried"); Varun N. Gehani ("Gehani"); Nicolas Giauque ("Giauque"); David T. Kim ("Kim"); Michael G. Linn ("Linn"); Patrick (Cheng) Luo ("Luo"); Rajiv A. Patel ("Patel"); Thomas G. Roberts, Jr. ("Roberts"); Edric C. Saito ("Saito"); William Seybold ("Seybold"); Daniel S. Short ("Short"); Andrew J. M. Spokes ("Spokes"); John R. Warren ("Warren"); and Mark C. Wehrly ("Wehrly"). Dapice, Dreyfuss, Dunn, Fried, Gehani, Giauque, Kim, Linn, Luo, Patel, Roberts, Saito, Seybold, Short, Spokes, Warren and Wehrly are together referred to herein as the "Farallon Individual Reporting Persons."</w:t>
      </w:r>
    </w:p>
    <w:p>
      <w:pPr>
        <w:spacing w:after="0" w:line="2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380" w:hanging="912"/>
        <w:spacing w:after="0" w:line="185" w:lineRule="auto"/>
        <w:tabs>
          <w:tab w:leader="none" w:pos="920" w:val="left"/>
        </w:tabs>
        <w:numPr>
          <w:ilvl w:val="0"/>
          <w:numId w:val="2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Farallon Capital Management, L.L.C., One Maritime Plaza, Suite 2100, San Francisco, California 94111.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60" w:hanging="912"/>
        <w:spacing w:after="0" w:line="193" w:lineRule="auto"/>
        <w:tabs>
          <w:tab w:leader="none" w:pos="920" w:val="left"/>
        </w:tabs>
        <w:numPr>
          <w:ilvl w:val="0"/>
          <w:numId w:val="2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citizenship of each of the Farallon Funds, the Farallon General Partner, the FCIP V General Partner, the F5MI General Partner and the FHPM General Partner is set forth above. Each of the Farallon Individual Reporting Persons, other than Giauque, Luo and Spokes, is a citizen of the United States. Giauque is a citizen of France. Luo is a citizen of China. Spokes is a citizen of the United Kingdom.</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 (the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46489V104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Â§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Â§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Â§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2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ectPr>
          <w:pgSz w:w="11900" w:h="16887" w:orient="portrait"/>
          <w:cols w:equalWidth="0" w:num="1">
            <w:col w:w="11140"/>
          </w:cols>
          <w:pgMar w:left="360" w:top="111" w:right="399" w:bottom="0" w:gutter="0" w:footer="0" w:header="0"/>
        </w:sectPr>
      </w:pPr>
    </w:p>
    <w:bookmarkStart w:id="23" w:name="page24"/>
    <w:bookmarkEnd w:id="23"/>
    <w:p>
      <w:pPr>
        <w:spacing w:after="0" w:line="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Â§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300" w:right="6480" w:hanging="1292"/>
        <w:spacing w:after="0" w:line="263" w:lineRule="auto"/>
        <w:tabs>
          <w:tab w:leader="none" w:pos="92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Â§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spacing w:after="0" w:line="245" w:lineRule="auto"/>
        <w:rPr>
          <w:sz w:val="20"/>
          <w:szCs w:val="20"/>
          <w:color w:val="auto"/>
        </w:rPr>
      </w:pPr>
      <w:r>
        <w:rPr>
          <w:rFonts w:ascii="Times New Roman" w:cs="Times New Roman" w:eastAsia="Times New Roman" w:hAnsi="Times New Roman"/>
          <w:sz w:val="21"/>
          <w:szCs w:val="21"/>
          <w:color w:val="auto"/>
        </w:rPr>
        <w:t>The information required by Items 4(a) - (c) and set forth in Rows 5 through 11 of the cover page for each Reporting Person is incorporated herein by reference for each such Reporting Person. The Shares reported hereby for the Farallon Funds are held directly by the Farallon Funds. The Farallon General Partner, as the general partner of FCP, FCIP, FCIP II, FCIP III, FCOI II and FCAMI and the sole member of the FCIP V General Partner and the FHPM General Partner, may be deemed to be a beneficial owner of all such Shares held by the Farallon Funds other than F5MI. The FCIP V General Partner, as the general partner of FCIP V, may be deemed to be a beneficial owner of all</w:t>
      </w:r>
    </w:p>
    <w:p>
      <w:pPr>
        <w:spacing w:after="0" w:line="3" w:lineRule="exact"/>
        <w:rPr>
          <w:sz w:val="20"/>
          <w:szCs w:val="20"/>
          <w:color w:val="auto"/>
        </w:rPr>
      </w:pPr>
    </w:p>
    <w:p>
      <w:pPr>
        <w:ind w:left="920" w:right="40" w:hanging="912"/>
        <w:spacing w:after="0" w:line="232" w:lineRule="auto"/>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Shares held by FCIP V. The F5MI General Partner, as the general partner of F5MI, may be deemed to be a beneficial owner of all such Shares held by F5MI. The FHPM General Partner, as the general partner of FHPM, may be deemed to be a beneficial owner of all such Shares held by FHPM. Each of the Farallon Individual Reporting Persons, as a managing member or senior managing member, as the case may be, of the Farallon General Partner and a manager or senior manager, as the case may be, of the FCIP V General Partner, the F5MI General Partner and the FHPM General Partner, in each case with the power to exercise investment discretion, may be deemed to be a beneficial owner of all such Shares held by the Farallon Funds. Each of the Farallon General Partner, the FCIP V General Partner, the F5MI General Partner, the FHPM General Partner and the Farallon Individual Reporting Persons hereby disclaims any beneficial ownership of any such Shares.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20" w:hanging="912"/>
        <w:spacing w:after="0" w:line="185" w:lineRule="auto"/>
        <w:tabs>
          <w:tab w:leader="none" w:pos="920" w:val="left"/>
        </w:tabs>
        <w:numPr>
          <w:ilvl w:val="0"/>
          <w:numId w:val="3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 - (c) and set forth in Rows 5 through 11 of the cover page for each Reporting Person is incorporated herein by reference for each such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20" w:orient="portrait"/>
          <w:cols w:equalWidth="0" w:num="1">
            <w:col w:w="11120"/>
          </w:cols>
          <w:pgMar w:left="360" w:top="139"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920" w:orient="portrait"/>
          <w:cols w:equalWidth="0" w:num="2">
            <w:col w:w="620" w:space="300"/>
            <w:col w:w="10200"/>
          </w:cols>
          <w:pgMar w:left="360" w:top="139" w:right="41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Â§240.13d-1(b)(1)(ii)(J), so indicate under Item 3(j) and attach an exhibit stating the identity and Item 3 classification of each member of the group. If a group has filed this schedule pursuant to Â§240.13d-1(c) or Â§240.13d-1(d),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2"/>
          <w:szCs w:val="22"/>
          <w:color w:val="auto"/>
        </w:rPr>
        <w:t>The Reporting Persons are filing this Schedule 13G pursuant to Section 240.13d-1(c). The Reporting Persons neither disclaim nor affirm the existence of a group among them. Each Reporting Person is a beneficial owner only of the securities reported by it on its cover page.</w:t>
      </w:r>
    </w:p>
    <w:p>
      <w:pPr>
        <w:sectPr>
          <w:pgSz w:w="11900" w:h="16920" w:orient="portrait"/>
          <w:cols w:equalWidth="0" w:num="1">
            <w:col w:w="11120"/>
          </w:cols>
          <w:pgMar w:left="360" w:top="139" w:right="419" w:bottom="0" w:gutter="0" w:footer="0" w:header="0"/>
          <w:type w:val="continuous"/>
        </w:sectPr>
      </w:pPr>
    </w:p>
    <w:bookmarkStart w:id="24" w:name="page25"/>
    <w:bookmarkEnd w:id="24"/>
    <w:p>
      <w:pPr>
        <w:spacing w:after="0" w:line="6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Farallon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Farallon Capital Institutional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Farallon Capital Institutional Partners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Farallon Capital Institutional Partners III,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Four Crossings Institutional Partners V, L.P.</w:t>
      </w:r>
    </w:p>
    <w:p>
      <w:pPr>
        <w:spacing w:after="0" w:line="152"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Name/Title: Hannah E. Dunn, Manager of its General Partner</w:t>
      </w:r>
    </w:p>
    <w:p>
      <w:pPr>
        <w:spacing w:after="0" w:line="44"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Farallon Capital Offshore Investors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Farallon Capital (AM) Investors,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Farallon Capital F5 Master I, L.P.</w:t>
      </w:r>
    </w:p>
    <w:p>
      <w:pPr>
        <w:spacing w:after="0" w:line="152"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Name/Title: Hannah E. Dunn, Manager of its General Partner</w:t>
      </w:r>
    </w:p>
    <w:p>
      <w:pPr>
        <w:spacing w:after="0" w:line="44"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Farallon Healthcare Partners Master, L.P.</w:t>
      </w:r>
    </w:p>
    <w:p>
      <w:pPr>
        <w:sectPr>
          <w:pgSz w:w="11900" w:h="16901" w:orient="portrait"/>
          <w:cols w:equalWidth="0" w:num="1">
            <w:col w:w="11140"/>
          </w:cols>
          <w:pgMar w:left="360" w:top="153" w:right="399" w:bottom="0" w:gutter="0" w:footer="0" w:header="0"/>
        </w:sectPr>
      </w:pPr>
    </w:p>
    <w:bookmarkStart w:id="25" w:name="page26"/>
    <w:bookmarkEnd w:id="25"/>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Name/Title: Hannah E. Dunn, Manager of its General Partner</w:t>
      </w:r>
    </w:p>
    <w:p>
      <w:pPr>
        <w:spacing w:after="0" w:line="56"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Farallon Partners, L.L.C.</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Hannah E. Dunn, Managing Member</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Farallon Institutional (GP) V,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Farallon Healthcare Partners (GP),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Dapice Joshua J.</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Dreyfuss, Philip D.</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Dunn Hannah E.</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Hannah E. Dunn</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Fried, Richard B</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Gehani, Varun N.</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Giauque, Nicolas</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Kim, David T.</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ectPr>
          <w:pgSz w:w="11900" w:h="16838" w:orient="portrait"/>
          <w:cols w:equalWidth="0" w:num="1">
            <w:col w:w="9760"/>
          </w:cols>
          <w:pgMar w:left="1440" w:top="274" w:right="699" w:bottom="0" w:gutter="0" w:footer="0" w:header="0"/>
        </w:sectPr>
      </w:pPr>
    </w:p>
    <w:bookmarkStart w:id="26" w:name="page27"/>
    <w:bookmarkEnd w:id="26"/>
    <w:p>
      <w:pPr>
        <w:ind w:left="600"/>
        <w:spacing w:after="0"/>
        <w:rPr>
          <w:sz w:val="20"/>
          <w:szCs w:val="20"/>
          <w:color w:val="auto"/>
        </w:rPr>
      </w:pPr>
      <w:r>
        <w:rPr>
          <w:rFonts w:ascii="Times New Roman" w:cs="Times New Roman" w:eastAsia="Times New Roman" w:hAnsi="Times New Roman"/>
          <w:sz w:val="22"/>
          <w:szCs w:val="22"/>
          <w:color w:val="auto"/>
        </w:rPr>
        <w:t>Linn, Michael 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Luo Patrick (Cheng)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Patel, Rajiv A.</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Roberts, Jr., Thomas 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Saito Edric 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Seybold, William</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Short Daniel S.</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Spokes, Andrew J. M.</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Warren, John R.</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Wehrly, Mark 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sectPr>
      <w:pgSz w:w="11900" w:h="16838" w:orient="portrait"/>
      <w:cols w:equalWidth="0" w:num="1">
        <w:col w:w="9019"/>
      </w:cols>
      <w:pgMar w:left="14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2"/>
      <w:numFmt w:val="bullet"/>
      <w:start w:val="1"/>
    </w:lvl>
  </w:abstractNum>
  <w:abstractNum w:abstractNumId="1">
    <w:nsid w:val="4E6AFB66"/>
    <w:multiLevelType w:val="hybridMultilevel"/>
    <w:lvl w:ilvl="0">
      <w:lvlJc w:val="left"/>
      <w:lvlText w:val="3"/>
      <w:numFmt w:val="bullet"/>
      <w:start w:val="1"/>
    </w:lvl>
  </w:abstractNum>
  <w:abstractNum w:abstractNumId="2">
    <w:nsid w:val="25E45D32"/>
    <w:multiLevelType w:val="hybridMultilevel"/>
    <w:lvl w:ilvl="0">
      <w:lvlJc w:val="left"/>
      <w:lvlText w:val="2"/>
      <w:numFmt w:val="bullet"/>
      <w:start w:val="1"/>
    </w:lvl>
  </w:abstractNum>
  <w:abstractNum w:abstractNumId="3">
    <w:nsid w:val="519B500D"/>
    <w:multiLevelType w:val="hybridMultilevel"/>
    <w:lvl w:ilvl="0">
      <w:lvlJc w:val="left"/>
      <w:lvlText w:val="2"/>
      <w:numFmt w:val="bullet"/>
      <w:start w:val="1"/>
    </w:lvl>
  </w:abstractNum>
  <w:abstractNum w:abstractNumId="4">
    <w:nsid w:val="431BD7B7"/>
    <w:multiLevelType w:val="hybridMultilevel"/>
    <w:lvl w:ilvl="0">
      <w:lvlJc w:val="left"/>
      <w:lvlText w:val="3"/>
      <w:numFmt w:val="bullet"/>
      <w:start w:val="1"/>
    </w:lvl>
  </w:abstractNum>
  <w:abstractNum w:abstractNumId="5">
    <w:nsid w:val="3F2DBA31"/>
    <w:multiLevelType w:val="hybridMultilevel"/>
    <w:lvl w:ilvl="0">
      <w:lvlJc w:val="left"/>
      <w:lvlText w:val="2"/>
      <w:numFmt w:val="bullet"/>
      <w:start w:val="1"/>
    </w:lvl>
  </w:abstractNum>
  <w:abstractNum w:abstractNumId="6">
    <w:nsid w:val="7C83E458"/>
    <w:multiLevelType w:val="hybridMultilevel"/>
    <w:lvl w:ilvl="0">
      <w:lvlJc w:val="left"/>
      <w:lvlText w:val="3"/>
      <w:numFmt w:val="bullet"/>
      <w:start w:val="1"/>
    </w:lvl>
  </w:abstractNum>
  <w:abstractNum w:abstractNumId="7">
    <w:nsid w:val="257130A3"/>
    <w:multiLevelType w:val="hybridMultilevel"/>
    <w:lvl w:ilvl="0">
      <w:lvlJc w:val="left"/>
      <w:lvlText w:val="2"/>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2"/>
      <w:numFmt w:val="bullet"/>
      <w:start w:val="1"/>
    </w:lvl>
  </w:abstractNum>
  <w:abstractNum w:abstractNumId="10">
    <w:nsid w:val="628C895D"/>
    <w:multiLevelType w:val="hybridMultilevel"/>
    <w:lvl w:ilvl="0">
      <w:lvlJc w:val="left"/>
      <w:lvlText w:val="3"/>
      <w:numFmt w:val="bullet"/>
      <w:start w:val="1"/>
    </w:lvl>
  </w:abstractNum>
  <w:abstractNum w:abstractNumId="11">
    <w:nsid w:val="333AB105"/>
    <w:multiLevelType w:val="hybridMultilevel"/>
    <w:lvl w:ilvl="0">
      <w:lvlJc w:val="left"/>
      <w:lvlText w:val="1"/>
      <w:numFmt w:val="bullet"/>
      <w:start w:val="1"/>
    </w:lvl>
  </w:abstractNum>
  <w:abstractNum w:abstractNumId="12">
    <w:nsid w:val="721DA317"/>
    <w:multiLevelType w:val="hybridMultilevel"/>
    <w:lvl w:ilvl="0">
      <w:lvlJc w:val="left"/>
      <w:lvlText w:val="2"/>
      <w:numFmt w:val="bullet"/>
      <w:start w:val="1"/>
    </w:lvl>
  </w:abstractNum>
  <w:abstractNum w:abstractNumId="13">
    <w:nsid w:val="2443A858"/>
    <w:multiLevelType w:val="hybridMultilevel"/>
    <w:lvl w:ilvl="0">
      <w:lvlJc w:val="left"/>
      <w:lvlText w:val="3"/>
      <w:numFmt w:val="bullet"/>
      <w:start w:val="1"/>
    </w:lvl>
  </w:abstractNum>
  <w:abstractNum w:abstractNumId="14">
    <w:nsid w:val="2D1D5AE9"/>
    <w:multiLevelType w:val="hybridMultilevel"/>
    <w:lvl w:ilvl="0">
      <w:lvlJc w:val="left"/>
      <w:lvlText w:val="8"/>
      <w:numFmt w:val="bullet"/>
      <w:start w:val="1"/>
    </w:lvl>
  </w:abstractNum>
  <w:abstractNum w:abstractNumId="15">
    <w:nsid w:val="6763845E"/>
    <w:multiLevelType w:val="hybridMultilevel"/>
    <w:lvl w:ilvl="0">
      <w:lvlJc w:val="left"/>
      <w:lvlText w:val="2"/>
      <w:numFmt w:val="bullet"/>
      <w:start w:val="1"/>
    </w:lvl>
  </w:abstractNum>
  <w:abstractNum w:abstractNumId="16">
    <w:nsid w:val="75A2A8D4"/>
    <w:multiLevelType w:val="hybridMultilevel"/>
    <w:lvl w:ilvl="0">
      <w:lvlJc w:val="left"/>
      <w:lvlText w:val="3"/>
      <w:numFmt w:val="bullet"/>
      <w:start w:val="1"/>
    </w:lvl>
  </w:abstractNum>
  <w:abstractNum w:abstractNumId="17">
    <w:nsid w:val="8EDBDAB"/>
    <w:multiLevelType w:val="hybridMultilevel"/>
    <w:lvl w:ilvl="0">
      <w:lvlJc w:val="left"/>
      <w:lvlText w:val="2"/>
      <w:numFmt w:val="bullet"/>
      <w:start w:val="1"/>
    </w:lvl>
  </w:abstractNum>
  <w:abstractNum w:abstractNumId="18">
    <w:nsid w:val="79838CB2"/>
    <w:multiLevelType w:val="hybridMultilevel"/>
    <w:lvl w:ilvl="0">
      <w:lvlJc w:val="left"/>
      <w:lvlText w:val="2"/>
      <w:numFmt w:val="bullet"/>
      <w:start w:val="1"/>
    </w:lvl>
  </w:abstractNum>
  <w:abstractNum w:abstractNumId="19">
    <w:nsid w:val="4353D0CD"/>
    <w:multiLevelType w:val="hybridMultilevel"/>
    <w:lvl w:ilvl="0">
      <w:lvlJc w:val="left"/>
      <w:lvlText w:val="3"/>
      <w:numFmt w:val="bullet"/>
      <w:start w:val="1"/>
    </w:lvl>
  </w:abstractNum>
  <w:abstractNum w:abstractNumId="20">
    <w:nsid w:val="B03E0C6"/>
    <w:multiLevelType w:val="hybridMultilevel"/>
    <w:lvl w:ilvl="0">
      <w:lvlJc w:val="left"/>
      <w:lvlText w:val="2"/>
      <w:numFmt w:val="bullet"/>
      <w:start w:val="1"/>
    </w:lvl>
  </w:abstractNum>
  <w:abstractNum w:abstractNumId="21">
    <w:nsid w:val="189A769B"/>
    <w:multiLevelType w:val="hybridMultilevel"/>
    <w:lvl w:ilvl="0">
      <w:lvlJc w:val="left"/>
      <w:lvlText w:val="3"/>
      <w:numFmt w:val="bullet"/>
      <w:start w:val="1"/>
    </w:lvl>
  </w:abstractNum>
  <w:abstractNum w:abstractNumId="22">
    <w:nsid w:val="54E49EB4"/>
    <w:multiLevelType w:val="hybridMultilevel"/>
    <w:lvl w:ilvl="0">
      <w:lvlJc w:val="left"/>
      <w:lvlText w:val="2"/>
      <w:numFmt w:val="bullet"/>
      <w:start w:val="1"/>
    </w:lvl>
  </w:abstractNum>
  <w:abstractNum w:abstractNumId="23">
    <w:nsid w:val="71F32454"/>
    <w:multiLevelType w:val="hybridMultilevel"/>
    <w:lvl w:ilvl="0">
      <w:lvlJc w:val="left"/>
      <w:lvlText w:val="3"/>
      <w:numFmt w:val="bullet"/>
      <w:start w:val="1"/>
    </w:lvl>
  </w:abstractNum>
  <w:abstractNum w:abstractNumId="24">
    <w:nsid w:val="2CA88611"/>
    <w:multiLevelType w:val="hybridMultilevel"/>
    <w:lvl w:ilvl="0">
      <w:lvlJc w:val="left"/>
      <w:lvlText w:val="2"/>
      <w:numFmt w:val="bullet"/>
      <w:start w:val="1"/>
    </w:lvl>
  </w:abstractNum>
  <w:abstractNum w:abstractNumId="25">
    <w:nsid w:val="836C40E"/>
    <w:multiLevelType w:val="hybridMultilevel"/>
    <w:lvl w:ilvl="0">
      <w:lvlJc w:val="left"/>
      <w:lvlText w:val="3"/>
      <w:numFmt w:val="bullet"/>
      <w:start w:val="1"/>
    </w:lvl>
  </w:abstractNum>
  <w:abstractNum w:abstractNumId="26">
    <w:nsid w:val="2901D82"/>
    <w:multiLevelType w:val="hybridMultilevel"/>
    <w:lvl w:ilvl="0">
      <w:lvlJc w:val="left"/>
      <w:lvlText w:val="(%1)"/>
      <w:numFmt w:val="lowerLetter"/>
      <w:start w:val="2"/>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10"/>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2025-11-12T11:25:06Z</dcterms:created>
  <dcterms:modified xsi:type="dcterms:W3CDTF">2025-11-12T11:25:06Z</dcterms:modified>
</cp:coreProperties>
</file>