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16,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320" w:type="dxa"/>
        <w:tblCellMar>
          <w:top w:w="0" w:type="dxa"/>
          <w:left w:w="0" w:type="dxa"/>
          <w:bottom w:w="0" w:type="dxa"/>
          <w:right w:w="0" w:type="dxa"/>
        </w:tblCellMar>
      </w:tblPr>
      <w:tr>
        <w:trPr>
          <w:trHeight w:val="212"/>
        </w:trPr>
        <w:tc>
          <w:tcPr>
            <w:tcW w:w="4680" w:type="dxa"/>
            <w:vAlign w:val="bottom"/>
          </w:tcPr>
          <w:p>
            <w:pPr>
              <w:jc w:val="center"/>
              <w:ind w:right="1679"/>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right"/>
              <w:ind w:right="41"/>
              <w:spacing w:after="0"/>
              <w:rPr>
                <w:sz w:val="20"/>
                <w:szCs w:val="20"/>
                <w:color w:val="auto"/>
              </w:rPr>
            </w:pPr>
            <w:r>
              <w:rPr>
                <w:rFonts w:ascii="Arial" w:cs="Arial" w:eastAsia="Arial" w:hAnsi="Arial"/>
                <w:sz w:val="18"/>
                <w:szCs w:val="18"/>
                <w:b w:val="1"/>
                <w:bCs w:val="1"/>
                <w:color w:val="auto"/>
              </w:rPr>
              <w:t>35-2318913</w:t>
            </w:r>
          </w:p>
        </w:tc>
      </w:tr>
      <w:tr>
        <w:trPr>
          <w:trHeight w:val="148"/>
        </w:trPr>
        <w:tc>
          <w:tcPr>
            <w:tcW w:w="4680" w:type="dxa"/>
            <w:vAlign w:val="bottom"/>
          </w:tcPr>
          <w:p>
            <w:pPr>
              <w:jc w:val="center"/>
              <w:ind w:right="1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0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80" w:type="dxa"/>
            <w:vAlign w:val="bottom"/>
          </w:tcPr>
          <w:p>
            <w:pPr>
              <w:jc w:val="center"/>
              <w:ind w:right="1679"/>
              <w:spacing w:after="0"/>
              <w:rPr>
                <w:sz w:val="20"/>
                <w:szCs w:val="20"/>
                <w:color w:val="auto"/>
              </w:rPr>
            </w:pPr>
            <w:r>
              <w:rPr>
                <w:rFonts w:ascii="Arial" w:cs="Arial" w:eastAsia="Arial" w:hAnsi="Arial"/>
                <w:sz w:val="14"/>
                <w:szCs w:val="14"/>
                <w:b w:val="1"/>
                <w:bCs w:val="1"/>
                <w:color w:val="auto"/>
                <w:w w:val="94"/>
              </w:rPr>
              <w:t>incorporation or organization)</w:t>
            </w:r>
          </w:p>
        </w:tc>
        <w:tc>
          <w:tcPr>
            <w:tcW w:w="2900" w:type="dxa"/>
            <w:vAlign w:val="bottom"/>
          </w:tcPr>
          <w:p>
            <w:pPr>
              <w:jc w:val="center"/>
              <w:ind w:left="170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4680" w:type="dxa"/>
            <w:vAlign w:val="bottom"/>
          </w:tcPr>
          <w:p>
            <w:pPr>
              <w:jc w:val="center"/>
              <w:ind w:right="1699"/>
              <w:spacing w:after="0"/>
              <w:rPr>
                <w:sz w:val="20"/>
                <w:szCs w:val="20"/>
                <w:color w:val="auto"/>
              </w:rPr>
            </w:pPr>
            <w:r>
              <w:rPr>
                <w:rFonts w:ascii="Arial" w:cs="Arial" w:eastAsia="Arial" w:hAnsi="Arial"/>
                <w:sz w:val="18"/>
                <w:szCs w:val="18"/>
                <w:b w:val="1"/>
                <w:bCs w:val="1"/>
                <w:color w:val="auto"/>
                <w:w w:val="90"/>
              </w:rPr>
              <w:t>201 Burlington Road, South Building,</w:t>
            </w:r>
          </w:p>
        </w:tc>
        <w:tc>
          <w:tcPr>
            <w:tcW w:w="2900" w:type="dxa"/>
            <w:vAlign w:val="bottom"/>
          </w:tcPr>
          <w:p>
            <w:pPr>
              <w:spacing w:after="0"/>
              <w:rPr>
                <w:sz w:val="24"/>
                <w:szCs w:val="24"/>
                <w:color w:val="auto"/>
              </w:rPr>
            </w:pPr>
          </w:p>
        </w:tc>
      </w:tr>
      <w:tr>
        <w:trPr>
          <w:trHeight w:val="225"/>
        </w:trPr>
        <w:tc>
          <w:tcPr>
            <w:tcW w:w="4680" w:type="dxa"/>
            <w:vAlign w:val="bottom"/>
          </w:tcPr>
          <w:p>
            <w:pPr>
              <w:jc w:val="center"/>
              <w:ind w:right="1679"/>
              <w:spacing w:after="0"/>
              <w:rPr>
                <w:sz w:val="20"/>
                <w:szCs w:val="20"/>
                <w:color w:val="auto"/>
              </w:rPr>
            </w:pPr>
            <w:r>
              <w:rPr>
                <w:rFonts w:ascii="Arial" w:cs="Arial" w:eastAsia="Arial" w:hAnsi="Arial"/>
                <w:sz w:val="18"/>
                <w:szCs w:val="18"/>
                <w:b w:val="1"/>
                <w:bCs w:val="1"/>
                <w:color w:val="auto"/>
                <w:w w:val="88"/>
              </w:rPr>
              <w:t>Bedford, Massachusetts 01730</w:t>
            </w:r>
          </w:p>
        </w:tc>
        <w:tc>
          <w:tcPr>
            <w:tcW w:w="2900" w:type="dxa"/>
            <w:vAlign w:val="bottom"/>
          </w:tcPr>
          <w:p>
            <w:pPr>
              <w:jc w:val="right"/>
              <w:ind w:right="261"/>
              <w:spacing w:after="0"/>
              <w:rPr>
                <w:sz w:val="20"/>
                <w:szCs w:val="20"/>
                <w:color w:val="auto"/>
              </w:rPr>
            </w:pPr>
            <w:r>
              <w:rPr>
                <w:rFonts w:ascii="Arial" w:cs="Arial" w:eastAsia="Arial" w:hAnsi="Arial"/>
                <w:sz w:val="18"/>
                <w:szCs w:val="18"/>
                <w:b w:val="1"/>
                <w:bCs w:val="1"/>
                <w:color w:val="auto"/>
              </w:rPr>
              <w:t>01730</w:t>
            </w:r>
          </w:p>
        </w:tc>
      </w:tr>
      <w:tr>
        <w:trPr>
          <w:trHeight w:val="186"/>
        </w:trPr>
        <w:tc>
          <w:tcPr>
            <w:tcW w:w="4680" w:type="dxa"/>
            <w:vAlign w:val="bottom"/>
          </w:tcPr>
          <w:p>
            <w:pPr>
              <w:jc w:val="center"/>
              <w:ind w:right="16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00" w:type="dxa"/>
            <w:vAlign w:val="bottom"/>
          </w:tcPr>
          <w:p>
            <w:pPr>
              <w:jc w:val="center"/>
              <w:ind w:left="17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Lantheus Holdings, Inc. 2023 Employee Stock Purchase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Niedzwiecki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Administrative Officer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Burlington Road, South Building, Bedford, Massachusetts 01730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671-8648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information required by Part I is included in the documents sent or given to participants in the 2023 Employee Stock Purchase Plan of Lantheus Holdings, Inc. (the “Registrant”) pursuant to Rule 428(b)(1) of the Securities Act of 1933, as amended (the “Securities Act”). Such documents are not required to be, and are not, filed with the Securities and Exchange Commission (the “SEC”) either as part of this Registration Statement or as a prospectus or prospectus supplement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incorporated by reference herein:</w:t>
      </w:r>
    </w:p>
    <w:p>
      <w:pPr>
        <w:spacing w:after="0" w:line="225" w:lineRule="exact"/>
        <w:rPr>
          <w:sz w:val="20"/>
          <w:szCs w:val="20"/>
          <w:color w:val="auto"/>
        </w:rPr>
      </w:pPr>
    </w:p>
    <w:p>
      <w:pPr>
        <w:ind w:right="20" w:firstLine="436"/>
        <w:spacing w:after="0" w:line="342" w:lineRule="auto"/>
        <w:tabs>
          <w:tab w:leader="none" w:pos="68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(the “Annual Report”), filed with the Securities and Exchange Commission (the “SEC”) pursuant to the Securities Exchange Act of 1934, as amended (the “Exchange Act”), on February 23, 2023;</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w:t>
      </w:r>
      <w:hyperlink r:id="rId18">
        <w:r>
          <w:rPr>
            <w:rFonts w:ascii="Arial" w:cs="Arial" w:eastAsia="Arial" w:hAnsi="Arial"/>
            <w:sz w:val="17"/>
            <w:szCs w:val="17"/>
            <w:u w:val="single" w:color="auto"/>
            <w:color w:val="0000EE"/>
          </w:rPr>
          <w:t>Form 10-Q</w:t>
        </w:r>
      </w:hyperlink>
      <w:r>
        <w:rPr>
          <w:rFonts w:ascii="Arial" w:cs="Arial" w:eastAsia="Arial" w:hAnsi="Arial"/>
          <w:sz w:val="17"/>
          <w:szCs w:val="17"/>
          <w:color w:val="auto"/>
        </w:rPr>
        <w:t>, for the quarterly period ended March 31, 2023, filed with the SEC on May 4, 2023;</w:t>
      </w:r>
    </w:p>
    <w:p>
      <w:pPr>
        <w:spacing w:after="0" w:line="236" w:lineRule="exact"/>
        <w:rPr>
          <w:rFonts w:ascii="Arial" w:cs="Arial" w:eastAsia="Arial" w:hAnsi="Arial"/>
          <w:sz w:val="17"/>
          <w:szCs w:val="17"/>
          <w:color w:val="auto"/>
        </w:rPr>
      </w:pPr>
    </w:p>
    <w:p>
      <w:pPr>
        <w:ind w:left="680" w:hanging="244"/>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Current Reports on Form 8-K, filed with the SEC on </w:t>
      </w:r>
      <w:hyperlink r:id="rId19">
        <w:r>
          <w:rPr>
            <w:rFonts w:ascii="Arial" w:cs="Arial" w:eastAsia="Arial" w:hAnsi="Arial"/>
            <w:sz w:val="17"/>
            <w:szCs w:val="17"/>
            <w:u w:val="single" w:color="auto"/>
            <w:color w:val="0000EE"/>
          </w:rPr>
          <w:t>March 17, 2023</w:t>
        </w:r>
      </w:hyperlink>
      <w:r>
        <w:rPr>
          <w:rFonts w:ascii="Arial" w:cs="Arial" w:eastAsia="Arial" w:hAnsi="Arial"/>
          <w:sz w:val="17"/>
          <w:szCs w:val="17"/>
          <w:color w:val="auto"/>
        </w:rPr>
        <w:t xml:space="preserve">, as amended on </w:t>
      </w:r>
      <w:hyperlink r:id="rId20">
        <w:r>
          <w:rPr>
            <w:rFonts w:ascii="Arial" w:cs="Arial" w:eastAsia="Arial" w:hAnsi="Arial"/>
            <w:sz w:val="17"/>
            <w:szCs w:val="17"/>
            <w:u w:val="single" w:color="auto"/>
            <w:color w:val="0000EE"/>
          </w:rPr>
          <w:t>March 20, 2023</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May 1, 2023</w:t>
        </w:r>
      </w:hyperlink>
      <w:r>
        <w:rPr>
          <w:rFonts w:ascii="Arial" w:cs="Arial" w:eastAsia="Arial" w:hAnsi="Arial"/>
          <w:sz w:val="17"/>
          <w:szCs w:val="17"/>
          <w:color w:val="auto"/>
        </w:rPr>
        <w:t>, and</w:t>
      </w:r>
    </w:p>
    <w:p>
      <w:pPr>
        <w:spacing w:after="0" w:line="35" w:lineRule="exact"/>
        <w:rPr>
          <w:rFonts w:ascii="Arial" w:cs="Arial" w:eastAsia="Arial" w:hAnsi="Arial"/>
          <w:sz w:val="17"/>
          <w:szCs w:val="17"/>
          <w:color w:val="auto"/>
        </w:rPr>
      </w:pPr>
    </w:p>
    <w:p>
      <w:pPr>
        <w:spacing w:after="0"/>
        <w:rPr>
          <w:rFonts w:ascii="Arial" w:cs="Arial" w:eastAsia="Arial" w:hAnsi="Arial"/>
          <w:sz w:val="18"/>
          <w:szCs w:val="18"/>
          <w:color w:val="0000EE"/>
        </w:rPr>
      </w:pPr>
      <w:hyperlink r:id="rId22">
        <w:r>
          <w:rPr>
            <w:rFonts w:ascii="Arial" w:cs="Arial" w:eastAsia="Arial" w:hAnsi="Arial"/>
            <w:sz w:val="18"/>
            <w:szCs w:val="18"/>
            <w:u w:val="single" w:color="auto"/>
            <w:color w:val="0000EE"/>
          </w:rPr>
          <w:t>May 4, 2023</w:t>
        </w:r>
        <w:r>
          <w:rPr>
            <w:rFonts w:ascii="Arial" w:cs="Arial" w:eastAsia="Arial" w:hAnsi="Arial"/>
            <w:sz w:val="18"/>
            <w:szCs w:val="18"/>
            <w:color w:val="0000EE"/>
          </w:rPr>
          <w:t xml:space="preserve"> </w:t>
        </w:r>
      </w:hyperlink>
      <w:r>
        <w:rPr>
          <w:rFonts w:ascii="Arial" w:cs="Arial" w:eastAsia="Arial" w:hAnsi="Arial"/>
          <w:sz w:val="18"/>
          <w:szCs w:val="18"/>
          <w:color w:val="000000"/>
        </w:rPr>
        <w:t>(Items</w:t>
      </w:r>
      <w:r>
        <w:rPr>
          <w:rFonts w:ascii="Arial" w:cs="Arial" w:eastAsia="Arial" w:hAnsi="Arial"/>
          <w:sz w:val="18"/>
          <w:szCs w:val="18"/>
          <w:color w:val="0000EE"/>
        </w:rPr>
        <w:t xml:space="preserve"> </w:t>
      </w:r>
      <w:r>
        <w:rPr>
          <w:rFonts w:ascii="Arial" w:cs="Arial" w:eastAsia="Arial" w:hAnsi="Arial"/>
          <w:sz w:val="18"/>
          <w:szCs w:val="18"/>
          <w:color w:val="000000"/>
        </w:rPr>
        <w:t>1.01 and 2.03); and</w:t>
      </w:r>
    </w:p>
    <w:p>
      <w:pPr>
        <w:spacing w:after="0" w:line="211" w:lineRule="exact"/>
        <w:rPr>
          <w:rFonts w:ascii="Arial" w:cs="Arial" w:eastAsia="Arial" w:hAnsi="Arial"/>
          <w:sz w:val="17"/>
          <w:szCs w:val="17"/>
          <w:color w:val="auto"/>
        </w:rPr>
      </w:pPr>
    </w:p>
    <w:p>
      <w:pPr>
        <w:ind w:right="240" w:firstLine="436"/>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filed with the Commission as </w:t>
      </w:r>
      <w:hyperlink r:id="rId23">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including all amendments and reports filed for the purpose of updating such description..</w:t>
      </w:r>
    </w:p>
    <w:p>
      <w:pPr>
        <w:spacing w:after="0" w:line="170" w:lineRule="exact"/>
        <w:rPr>
          <w:rFonts w:ascii="Arial" w:cs="Arial" w:eastAsia="Arial" w:hAnsi="Arial"/>
          <w:sz w:val="17"/>
          <w:szCs w:val="17"/>
          <w:color w:val="auto"/>
        </w:rPr>
      </w:pPr>
    </w:p>
    <w:p>
      <w:pPr>
        <w:ind w:right="80" w:firstLine="440"/>
        <w:spacing w:after="0" w:line="291" w:lineRule="auto"/>
        <w:rPr>
          <w:sz w:val="20"/>
          <w:szCs w:val="20"/>
          <w:color w:val="auto"/>
        </w:rPr>
      </w:pPr>
      <w:r>
        <w:rPr>
          <w:rFonts w:ascii="Arial" w:cs="Arial" w:eastAsia="Arial" w:hAnsi="Arial"/>
          <w:sz w:val="16"/>
          <w:szCs w:val="16"/>
          <w:color w:val="auto"/>
        </w:rPr>
        <w:t>All reports and other documents filed by the Registrant after the date hereof pursuant to Sections 13(a), 13(c), 14 and 15(d) of the Exchange Act, prior to the filing of a post-effective amendment to this Registration Statement that indicates that all securities offered have been sold or which deregisters all securities then remaining unsold, shall be deemed to be incorporated herein by reference and to be part hereof from the date of filing of such report or other document.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is deemed to be incorporated by reference herein modifies or supersedes such earlier statement. Any statement so modified or superseded shall not be deemed, except as so modified or superseded, to constitute part of this Registration Statement.</w:t>
      </w:r>
    </w:p>
    <w:p>
      <w:pPr>
        <w:spacing w:after="0" w:line="270"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7"/>
          <w:szCs w:val="17"/>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7"/>
          <w:szCs w:val="17"/>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486"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Registrant is governed by the Delaware General Corporation Law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actions or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The Registrant’s amended and restated certificate of incorporation authorizes the indemnification of its officers and directors, as permitted by Section 145 of the DGCL. Reference is made to Section 102(b)(7) of the DGCL, which enables a corporation in its original certificate of incorporation or an amendment thereto to eliminate or limit the personal liability of a director or officer for violations of the director’s or officer’s fiduciary duty, except (i) for any breach of the director’s or officer’s duty of loyalty to the corporation or its stockholders, (ii) for acts or omissions not in good faith or which involve intentional misconduct or a knowing violation of law, (iii) in the case of directors, pursuant to Section 174 of the DGCL, which provides for liability of directors for unlawful payments of dividends of unlawful stock purchase or redemptions or (iv) for any transaction from which a director or officer derived an improper personal benefit, or (v) in the case of an officer, in any action by or in the right of the corporation. As permitted by the DGCL, the Registrant has included in its amended and restated certificate of incorporation a provision to eliminate the personal liability of its directors for monetary damages for breach of their fiduciary duties as directors, subject to certain exceptions, but it has not provided for the elimination of personal monetary liabilities of its officers for any breach of their fiduciary duties. In addition, the Registrant’s amended and restated certificate of incorporation and bylaws provide that it is required to indemnify its officers and directors under certain circumstances, including those circumstances in which indemnification would otherwise be discretionary, and it is required to advance expenses to its officers and directors as incurred in connection with proceedings against them for which they may be indemnified.</w:t>
      </w:r>
    </w:p>
    <w:p>
      <w:pPr>
        <w:spacing w:after="0" w:line="18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These agreements, among other things, require the Registrant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 in each case, subject to certain exceptions.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Registrant maintains directors’ and officers’ liability insurance for the benefit of its directors and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486"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8. 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817"/>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500" w:type="dxa"/>
            <w:vAlign w:val="bottom"/>
            <w:gridSpan w:val="9"/>
            <w:vMerge w:val="restart"/>
          </w:tcPr>
          <w:p>
            <w:pPr>
              <w:ind w:left="660"/>
              <w:spacing w:after="0"/>
              <w:rPr>
                <w:sz w:val="20"/>
                <w:szCs w:val="20"/>
                <w:color w:val="auto"/>
              </w:rPr>
            </w:pPr>
            <w:r>
              <w:rPr>
                <w:rFonts w:ascii="Arial" w:cs="Arial" w:eastAsia="Arial" w:hAnsi="Arial"/>
                <w:sz w:val="14"/>
                <w:szCs w:val="14"/>
                <w:b w:val="1"/>
                <w:bCs w:val="1"/>
                <w:color w:val="auto"/>
              </w:rPr>
              <w:t>DESCRIPTION OF EXHIBITS</w:t>
            </w:r>
          </w:p>
        </w:tc>
        <w:tc>
          <w:tcPr>
            <w:tcW w:w="200" w:type="dxa"/>
            <w:vAlign w:val="bottom"/>
            <w:vMerge w:val="restart"/>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w:t>
            </w: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0"/>
                <w:szCs w:val="10"/>
                <w:color w:val="auto"/>
              </w:rPr>
            </w:pPr>
          </w:p>
        </w:tc>
        <w:tc>
          <w:tcPr>
            <w:tcW w:w="1460" w:type="dxa"/>
            <w:vAlign w:val="bottom"/>
          </w:tcPr>
          <w:p>
            <w:pPr>
              <w:jc w:val="right"/>
              <w:ind w:right="397"/>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9"/>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920" w:type="dxa"/>
            <w:vAlign w:val="bottom"/>
            <w:gridSpan w:val="12"/>
          </w:tcPr>
          <w:p>
            <w:pPr>
              <w:spacing w:after="0"/>
              <w:rPr>
                <w:rFonts w:ascii="Arial" w:cs="Arial" w:eastAsia="Arial" w:hAnsi="Arial"/>
                <w:sz w:val="18"/>
                <w:szCs w:val="18"/>
                <w:color w:val="0000EE"/>
                <w:w w:val="95"/>
              </w:rPr>
            </w:pPr>
            <w:hyperlink r:id="rId26">
              <w:r>
                <w:rPr>
                  <w:rFonts w:ascii="Arial" w:cs="Arial" w:eastAsia="Arial" w:hAnsi="Arial"/>
                  <w:sz w:val="18"/>
                  <w:szCs w:val="18"/>
                  <w:color w:val="0000EE"/>
                  <w:w w:val="95"/>
                </w:rPr>
                <w:t>Amended and Restated Certificate of Incorporation of Lantheus Holdings, Inc.</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001-36569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April 27, 2018</w:t>
            </w: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5660" w:type="dxa"/>
            <w:vAlign w:val="bottom"/>
            <w:tcBorders>
              <w:top w:val="single" w:sz="8" w:color="0000EE"/>
            </w:tcBorders>
            <w:gridSpan w:val="10"/>
          </w:tcPr>
          <w:p>
            <w:pPr>
              <w:spacing w:after="0"/>
              <w:rPr>
                <w:rFonts w:ascii="Arial" w:cs="Arial" w:eastAsia="Arial" w:hAnsi="Arial"/>
                <w:sz w:val="18"/>
                <w:szCs w:val="18"/>
                <w:color w:val="0000EE"/>
              </w:rPr>
            </w:pPr>
            <w:hyperlink r:id="rId27">
              <w:r>
                <w:rPr>
                  <w:rFonts w:ascii="Arial" w:cs="Arial" w:eastAsia="Arial" w:hAnsi="Arial"/>
                  <w:sz w:val="18"/>
                  <w:szCs w:val="18"/>
                  <w:color w:val="0000EE"/>
                </w:rPr>
                <w:t>Amended and Restated Bylaws of Lantheus Holdings, Inc.</w:t>
              </w:r>
            </w:hyperlink>
          </w:p>
        </w:tc>
        <w:tc>
          <w:tcPr>
            <w:tcW w:w="26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001-36569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89"/>
              </w:rPr>
              <w:t>December 28, 2022</w:t>
            </w: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9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Common Stock Certificate.</w:t>
              </w:r>
            </w:hyperlink>
          </w:p>
        </w:tc>
        <w:tc>
          <w:tcPr>
            <w:tcW w:w="2240" w:type="dxa"/>
            <w:vAlign w:val="bottom"/>
            <w:tcBorders>
              <w:top w:val="single" w:sz="8" w:color="0000EE"/>
            </w:tcBorders>
            <w:gridSpan w:val="2"/>
          </w:tcPr>
          <w:p>
            <w:pPr>
              <w:spacing w:after="0"/>
              <w:rPr>
                <w:sz w:val="24"/>
                <w:szCs w:val="24"/>
                <w:color w:val="auto"/>
              </w:rPr>
            </w:pPr>
          </w:p>
        </w:tc>
        <w:tc>
          <w:tcPr>
            <w:tcW w:w="170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001-36569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June 30, 2015</w:t>
            </w: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5920" w:type="dxa"/>
            <w:vAlign w:val="bottom"/>
            <w:gridSpan w:val="12"/>
          </w:tcPr>
          <w:p>
            <w:pPr>
              <w:spacing w:after="0"/>
              <w:rPr>
                <w:rFonts w:ascii="Arial" w:cs="Arial" w:eastAsia="Arial" w:hAnsi="Arial"/>
                <w:sz w:val="18"/>
                <w:szCs w:val="18"/>
                <w:color w:val="0000EE"/>
              </w:rPr>
            </w:pPr>
            <w:hyperlink r:id="rId29">
              <w:r>
                <w:rPr>
                  <w:rFonts w:ascii="Arial" w:cs="Arial" w:eastAsia="Arial" w:hAnsi="Arial"/>
                  <w:sz w:val="18"/>
                  <w:szCs w:val="18"/>
                  <w:color w:val="0000EE"/>
                </w:rPr>
                <w:t>Lantheus Holdings, Inc. 2023 Employee Stock Purchase Plan.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001-36569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May 1, 2023</w:t>
            </w: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Legal Opinion of Foley Hoag LLP.</w:t>
            </w:r>
          </w:p>
        </w:tc>
        <w:tc>
          <w:tcPr>
            <w:tcW w:w="1940" w:type="dxa"/>
            <w:vAlign w:val="bottom"/>
            <w:tcBorders>
              <w:top w:val="single" w:sz="8" w:color="0000EE"/>
            </w:tcBorders>
            <w:gridSpan w:val="3"/>
          </w:tcPr>
          <w:p>
            <w:pPr>
              <w:spacing w:after="0"/>
              <w:rPr>
                <w:sz w:val="24"/>
                <w:szCs w:val="24"/>
                <w:color w:val="auto"/>
              </w:rPr>
            </w:pPr>
          </w:p>
        </w:tc>
        <w:tc>
          <w:tcPr>
            <w:tcW w:w="146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5920" w:type="dxa"/>
            <w:vAlign w:val="bottom"/>
            <w:gridSpan w:val="12"/>
          </w:tcPr>
          <w:p>
            <w:pPr>
              <w:spacing w:after="0"/>
              <w:rPr>
                <w:sz w:val="20"/>
                <w:szCs w:val="20"/>
                <w:color w:val="auto"/>
              </w:rPr>
            </w:pPr>
            <w:r>
              <w:rPr>
                <w:rFonts w:ascii="Arial" w:cs="Arial" w:eastAsia="Arial" w:hAnsi="Arial"/>
                <w:sz w:val="18"/>
                <w:szCs w:val="18"/>
                <w:color w:val="0000EE"/>
              </w:rPr>
              <w:t>Consent of Independent Registered Public Accounting Firm, Deloitte &amp;</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Touche LLP.</w:t>
            </w:r>
          </w:p>
        </w:tc>
        <w:tc>
          <w:tcPr>
            <w:tcW w:w="4240" w:type="dxa"/>
            <w:vAlign w:val="bottom"/>
            <w:tcBorders>
              <w:top w:val="single" w:sz="8" w:color="0000EE"/>
            </w:tcBorders>
            <w:gridSpan w:val="8"/>
          </w:tcPr>
          <w:p>
            <w:pPr>
              <w:spacing w:after="0"/>
              <w:rPr>
                <w:sz w:val="17"/>
                <w:szCs w:val="17"/>
                <w:color w:val="auto"/>
              </w:rPr>
            </w:pPr>
          </w:p>
        </w:tc>
        <w:tc>
          <w:tcPr>
            <w:tcW w:w="76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5920" w:type="dxa"/>
            <w:vAlign w:val="bottom"/>
            <w:gridSpan w:val="12"/>
          </w:tcPr>
          <w:p>
            <w:pPr>
              <w:spacing w:after="0"/>
              <w:rPr>
                <w:sz w:val="20"/>
                <w:szCs w:val="20"/>
                <w:color w:val="auto"/>
              </w:rPr>
            </w:pPr>
            <w:r>
              <w:rPr>
                <w:rFonts w:ascii="Arial" w:cs="Arial" w:eastAsia="Arial" w:hAnsi="Arial"/>
                <w:sz w:val="18"/>
                <w:szCs w:val="18"/>
                <w:color w:val="0000EE"/>
              </w:rPr>
              <w:t>Consent of Foley Hoag LLP (included as part of Exhibit 5.1).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5920" w:type="dxa"/>
            <w:vAlign w:val="bottom"/>
            <w:gridSpan w:val="12"/>
          </w:tcPr>
          <w:p>
            <w:pPr>
              <w:spacing w:after="0"/>
              <w:rPr>
                <w:sz w:val="20"/>
                <w:szCs w:val="20"/>
                <w:color w:val="auto"/>
              </w:rPr>
            </w:pPr>
            <w:r>
              <w:rPr>
                <w:rFonts w:ascii="Arial" w:cs="Arial" w:eastAsia="Arial" w:hAnsi="Arial"/>
                <w:sz w:val="18"/>
                <w:szCs w:val="18"/>
                <w:color w:val="0000EE"/>
              </w:rPr>
              <w:t>Power of Attorney (included as part of the signature page hereto).</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Filing Fee Table.</w:t>
            </w:r>
          </w:p>
        </w:tc>
        <w:tc>
          <w:tcPr>
            <w:tcW w:w="3500" w:type="dxa"/>
            <w:vAlign w:val="bottom"/>
            <w:tcBorders>
              <w:top w:val="single" w:sz="8" w:color="0000EE"/>
            </w:tcBorders>
            <w:gridSpan w:val="6"/>
          </w:tcPr>
          <w:p>
            <w:pPr>
              <w:spacing w:after="0"/>
              <w:rPr>
                <w:sz w:val="24"/>
                <w:szCs w:val="24"/>
                <w:color w:val="auto"/>
              </w:rPr>
            </w:pPr>
          </w:p>
        </w:tc>
        <w:tc>
          <w:tcPr>
            <w:tcW w:w="12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984" w:hanging="544"/>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424" w:hanging="441"/>
        <w:spacing w:after="0"/>
        <w:tabs>
          <w:tab w:leader="none" w:pos="2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2424" w:right="20" w:hanging="441"/>
        <w:spacing w:after="0" w:line="271" w:lineRule="auto"/>
        <w:tabs>
          <w:tab w:leader="none" w:pos="2424"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2424" w:right="20" w:hanging="441"/>
        <w:spacing w:after="0" w:line="277" w:lineRule="auto"/>
        <w:tabs>
          <w:tab w:leader="none" w:pos="242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42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registration statement is on Form S-8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ectPr>
          <w:pgSz w:w="11900" w:h="16838" w:orient="portrait"/>
          <w:cols w:equalWidth="0" w:num="1">
            <w:col w:w="11004"/>
          </w:cols>
          <w:pgMar w:left="436" w:top="486" w:right="459" w:bottom="1440" w:gutter="0" w:footer="0" w:header="0"/>
        </w:sectPr>
      </w:pPr>
    </w:p>
    <w:bookmarkStart w:id="4" w:name="page5"/>
    <w:bookmarkEnd w:id="4"/>
    <w:p>
      <w:pPr>
        <w:ind w:left="984" w:right="120" w:hanging="433"/>
        <w:spacing w:after="0" w:line="263" w:lineRule="auto"/>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84" w:right="100" w:hanging="433"/>
        <w:spacing w:after="0" w:line="277" w:lineRule="auto"/>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4" w:right="20" w:hanging="544"/>
        <w:spacing w:after="0" w:line="25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544" w:hanging="544"/>
        <w:spacing w:after="0" w:line="290" w:lineRule="auto"/>
        <w:tabs>
          <w:tab w:leader="none" w:pos="54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04"/>
          </w:cols>
          <w:pgMar w:left="876" w:top="490" w:right="5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the Registrant has duly caused this Registration Statement to be signed on its behalf by the undersigned, thereunto duly authorized, in the City of North Billerica, Commonwealth of Massachusetts, on May 16, 2023.</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Mary Anne Heino</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KNOW ALL PERSONS BY THESE PRESENTS, that each of the undersigned constitutes and appoints each of Mary Anne Heino, Robert J. Marshall, Jr. and Daniel Niedzwiecki, each acting alone, her or his true and lawful attorney-in-fact and agent, with full power of substitution and resubstitution, for such person and in her or his name, place and stead, in any and all capacities, to sign this Registration Statement on Form S-8 (including</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all pre-effective and post-effective amendments and registration statements filed pursuant to Rule 462(b) under the Securities Act),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her or his substitute or substitutes, may lawfully do or cause to be done by virtue hereof.</w:t>
      </w:r>
    </w:p>
    <w:p>
      <w:pPr>
        <w:spacing w:after="0" w:line="1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8"/>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Mary Anne Heino</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Mary Anne Heino</w:t>
            </w:r>
          </w:p>
        </w:tc>
        <w:tc>
          <w:tcPr>
            <w:tcW w:w="12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Marshall, Jr.</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Robert J. Marshall, Jr.</w:t>
            </w:r>
          </w:p>
        </w:tc>
        <w:tc>
          <w:tcPr>
            <w:tcW w:w="12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Andrea Sabens</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8"/>
              </w:rPr>
              <w:t>Andrea Sabens</w:t>
            </w:r>
          </w:p>
        </w:tc>
        <w:tc>
          <w:tcPr>
            <w:tcW w:w="12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Markison</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4"/>
              </w:rPr>
              <w:t>Brian Markison</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Minnie Baylor-Henry</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5"/>
              </w:rPr>
              <w:t>Minnie Baylor-Henry</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Gérard Ber</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Dr. Gérard Ber</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Samuel Leno</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8"/>
              </w:rPr>
              <w:t>Samuel Leno</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Heinz Mäusli</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5"/>
              </w:rPr>
              <w:t>Heinz Mäusli</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Julie McHugh</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Julie McHugh</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Gary Pruden</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8"/>
              </w:rPr>
              <w:t>Gary Pruden</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James Thrall</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May 16, 2023</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Dr. James Thrall</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Seaport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92849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928495" cy="754380"/>
                    </a:xfrm>
                    <a:prstGeom prst="rect">
                      <a:avLst/>
                    </a:prstGeom>
                    <a:noFill/>
                  </pic:spPr>
                </pic:pic>
              </a:graphicData>
            </a:graphic>
          </wp:anchor>
        </w:drawing>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155 Seaport Boulevard</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Boston, MA 02210-2600</w:t>
      </w:r>
    </w:p>
    <w:p>
      <w:pPr>
        <w:spacing w:after="0" w:line="1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617 832 1000 </w:t>
      </w:r>
      <w:r>
        <w:rPr>
          <w:rFonts w:ascii="Arial" w:cs="Arial" w:eastAsia="Arial" w:hAnsi="Arial"/>
          <w:sz w:val="18"/>
          <w:szCs w:val="18"/>
          <w:i w:val="1"/>
          <w:iCs w:val="1"/>
          <w:color w:val="auto"/>
        </w:rPr>
        <w:t>main</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617 832 7000 </w:t>
      </w:r>
      <w:r>
        <w:rPr>
          <w:rFonts w:ascii="Arial" w:cs="Arial" w:eastAsia="Arial" w:hAnsi="Arial"/>
          <w:sz w:val="18"/>
          <w:szCs w:val="18"/>
          <w:i w:val="1"/>
          <w:iCs w:val="1"/>
          <w:color w:val="auto"/>
        </w:rPr>
        <w:t>fax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Burlington Road, South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Bedford, Massachusetts 01730</w:t>
      </w:r>
    </w:p>
    <w:p>
      <w:pPr>
        <w:spacing w:after="0" w:line="1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familiar with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being filed by Lantheus Holdings, Inc., a Delaware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on the date hereof. The Registration Statement relates to the offer and sale by the Company of up to 500,000 shares (the “</w:t>
      </w:r>
      <w:r>
        <w:rPr>
          <w:rFonts w:ascii="Arial" w:cs="Arial" w:eastAsia="Arial" w:hAnsi="Arial"/>
          <w:sz w:val="16"/>
          <w:szCs w:val="16"/>
          <w:b w:val="1"/>
          <w:bCs w:val="1"/>
          <w:color w:val="auto"/>
        </w:rPr>
        <w:t>Shares</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common stock, par value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issuable pursuant to the Lantheus Holdings, Inc. 2023 Employee Stock Purchase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2023 Plan</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arriving at the opinions expressed below, we have examined and relied upon the Certificate of Incorporation and Bylaws of the Company, each as amended and restated to date, the records of meetings and consents of the Company’s Board of Directors, or committees thereof, records of the proceedings of its stockholders, and the 2023 Plan, each as provided to us by the Company, and the Registration Statement.</w:t>
      </w:r>
    </w:p>
    <w:p>
      <w:pPr>
        <w:spacing w:after="0" w:line="149"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color w:val="auto"/>
        </w:rPr>
        <w:t>In addition,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 We have also made such investigations of law, as we have deemed appropriate as a basis for the opinions expressed below.</w:t>
      </w:r>
    </w:p>
    <w:p>
      <w:pPr>
        <w:spacing w:after="0" w:line="192"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We have assumed that the Company will continue to have sufficient authorized, unissued and otherwise unreserved shares of Common Stock available for issuance at the time of each issuance of the Shares pursuant to the 2023 Plan. We have also assumed that the purchase price or other consideration to be received by the Company for the Shares will be valid consideration equal to or in excess of the par value thereof.</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 expressed below, we express no opinion other than as to the Delaware General Corporation Law.</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 the basis of the foregoing, it is our opinion that the Shares, when issued and sold in accordance with the terms of the 2023 Plan against the Company’s receipt of the purchase price, will be validly issued, fully paid and non-assessable.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opinion is to be used only in connection with the offer and sale of the Shares while the Registration Statement is in effect.</w:t>
      </w:r>
    </w:p>
    <w:p>
      <w:pPr>
        <w:sectPr>
          <w:pgSz w:w="11900" w:h="16838" w:orient="portrait"/>
          <w:cols w:equalWidth="0" w:num="1">
            <w:col w:w="11020"/>
          </w:cols>
          <w:pgMar w:left="440" w:top="121" w:right="439" w:bottom="1440" w:gutter="0" w:footer="0" w:header="0"/>
        </w:sectPr>
      </w:pPr>
    </w:p>
    <w:bookmarkStart w:id="7" w:name="page8"/>
    <w:bookmarkEnd w:id="7"/>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opinion is being delivered solely for the benefit of the Company and such other persons as are entitled to rely upon it pursuant to the applicable provisions of the Securities Act. This opinion may not be used, quoted, relied upon or referred to for any other purpose, nor may it be used, quoted, relied upon or referred to by any other person, for any purpose, without our prior written consent.</w:t>
      </w:r>
    </w:p>
    <w:p>
      <w:pPr>
        <w:spacing w:after="0" w:line="165"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admit that we are within the category of persons whose consent is required under Section 7 of the Securities Act or the rules and regulations of the Commission promulgated thereunder.</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FOLEY HOAG LLP</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Stacie S. Aarestad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Partner</w:t>
      </w:r>
    </w:p>
    <w:p>
      <w:pPr>
        <w:sectPr>
          <w:pgSz w:w="11900" w:h="16838" w:orient="portrait"/>
          <w:cols w:equalWidth="0" w:num="1">
            <w:col w:w="10920"/>
          </w:cols>
          <w:pgMar w:left="440" w:top="490" w:right="5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23, 2023, relating to the financial statements of Lantheus Holdings, Inc. and the effectiveness of Lantheus Holdings, Inc.’s internal control over financial reporting, appearing in the Annual Report on Form 10-K of Lantheus Holdings, Inc.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2023</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Lantheus Holdings,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Table 1: Newly Registered Securities</w:t>
      </w:r>
    </w:p>
    <w:p>
      <w:pPr>
        <w:spacing w:after="0" w:line="246"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1340" w:type="dxa"/>
            <w:vAlign w:val="bottom"/>
            <w:tcBorders>
              <w:top w:val="single" w:sz="8" w:color="auto"/>
              <w:lef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0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1340" w:type="dxa"/>
            <w:vAlign w:val="bottom"/>
            <w:tcBorders>
              <w:lef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0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1340" w:type="dxa"/>
            <w:vAlign w:val="bottom"/>
            <w:tcBorders>
              <w:lef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Security</w:t>
            </w: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r>
      <w:tr>
        <w:trPr>
          <w:trHeight w:val="135"/>
        </w:trPr>
        <w:tc>
          <w:tcPr>
            <w:tcW w:w="1340" w:type="dxa"/>
            <w:vAlign w:val="bottom"/>
            <w:tcBorders>
              <w:left w:val="single" w:sz="8" w:color="auto"/>
            </w:tcBorders>
          </w:tcPr>
          <w:p>
            <w:pPr>
              <w:jc w:val="center"/>
              <w:ind w:left="568"/>
              <w:spacing w:after="0" w:line="135" w:lineRule="exact"/>
              <w:rPr>
                <w:sz w:val="20"/>
                <w:szCs w:val="20"/>
                <w:color w:val="auto"/>
              </w:rPr>
            </w:pPr>
            <w:r>
              <w:rPr>
                <w:rFonts w:ascii="Arial" w:cs="Arial" w:eastAsia="Arial" w:hAnsi="Arial"/>
                <w:sz w:val="13"/>
                <w:szCs w:val="13"/>
                <w:color w:val="auto"/>
                <w:w w:val="89"/>
              </w:rPr>
              <w:t>Security</w:t>
            </w:r>
          </w:p>
        </w:tc>
        <w:tc>
          <w:tcPr>
            <w:tcW w:w="5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000" w:type="dxa"/>
            <w:vAlign w:val="bottom"/>
            <w:tcBorders>
              <w:right w:val="single" w:sz="8" w:color="auto"/>
            </w:tcBorders>
          </w:tcPr>
          <w:p>
            <w:pPr>
              <w:ind w:left="320"/>
              <w:spacing w:after="0" w:line="135" w:lineRule="exact"/>
              <w:rPr>
                <w:sz w:val="20"/>
                <w:szCs w:val="20"/>
                <w:color w:val="auto"/>
              </w:rPr>
            </w:pPr>
            <w:r>
              <w:rPr>
                <w:rFonts w:ascii="Arial" w:cs="Arial" w:eastAsia="Arial" w:hAnsi="Arial"/>
                <w:sz w:val="13"/>
                <w:szCs w:val="13"/>
                <w:color w:val="auto"/>
              </w:rPr>
              <w:t>Amount</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r>
      <w:tr>
        <w:trPr>
          <w:trHeight w:val="183"/>
        </w:trPr>
        <w:tc>
          <w:tcPr>
            <w:tcW w:w="1340" w:type="dxa"/>
            <w:vAlign w:val="bottom"/>
            <w:tcBorders>
              <w:left w:val="single" w:sz="8" w:color="auto"/>
              <w:bottom w:val="single" w:sz="8" w:color="auto"/>
            </w:tcBorders>
          </w:tcPr>
          <w:p>
            <w:pPr>
              <w:jc w:val="center"/>
              <w:ind w:left="588"/>
              <w:spacing w:after="0"/>
              <w:rPr>
                <w:sz w:val="20"/>
                <w:szCs w:val="20"/>
                <w:color w:val="auto"/>
              </w:rPr>
            </w:pPr>
            <w:r>
              <w:rPr>
                <w:rFonts w:ascii="Arial" w:cs="Arial" w:eastAsia="Arial" w:hAnsi="Arial"/>
                <w:sz w:val="13"/>
                <w:szCs w:val="13"/>
                <w:color w:val="auto"/>
                <w:w w:val="82"/>
              </w:rPr>
              <w:t>Type</w:t>
            </w:r>
          </w:p>
        </w:tc>
        <w:tc>
          <w:tcPr>
            <w:tcW w:w="52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Registered(1)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Share</w:t>
            </w:r>
          </w:p>
        </w:tc>
        <w:tc>
          <w:tcPr>
            <w:tcW w:w="10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3"/>
                <w:szCs w:val="13"/>
                <w:color w:val="auto"/>
                <w:w w:val="90"/>
              </w:rPr>
              <w:t>Offering Price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r>
      <w:tr>
        <w:trPr>
          <w:trHeight w:val="215"/>
        </w:trPr>
        <w:tc>
          <w:tcPr>
            <w:tcW w:w="1340" w:type="dxa"/>
            <w:vAlign w:val="bottom"/>
            <w:tcBorders>
              <w:left w:val="single" w:sz="8" w:color="auto"/>
            </w:tcBorders>
          </w:tcPr>
          <w:p>
            <w:pPr>
              <w:jc w:val="center"/>
              <w:ind w:left="588"/>
              <w:spacing w:after="0"/>
              <w:rPr>
                <w:sz w:val="20"/>
                <w:szCs w:val="20"/>
                <w:color w:val="auto"/>
              </w:rPr>
            </w:pPr>
            <w:r>
              <w:rPr>
                <w:rFonts w:ascii="Arial" w:cs="Arial" w:eastAsia="Arial" w:hAnsi="Arial"/>
                <w:sz w:val="18"/>
                <w:szCs w:val="18"/>
                <w:color w:val="auto"/>
                <w:w w:val="95"/>
              </w:rPr>
              <w:t>Equity</w:t>
            </w:r>
          </w:p>
        </w:tc>
        <w:tc>
          <w:tcPr>
            <w:tcW w:w="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 par</w:t>
            </w:r>
          </w:p>
        </w:tc>
        <w:tc>
          <w:tcPr>
            <w:tcW w:w="60" w:type="dxa"/>
            <w:vAlign w:val="bottom"/>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457(c)</w:t>
            </w: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value per</w:t>
            </w:r>
          </w:p>
        </w:tc>
        <w:tc>
          <w:tcPr>
            <w:tcW w:w="60" w:type="dxa"/>
            <w:vAlign w:val="bottom"/>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and Rule</w:t>
            </w: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34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share</w:t>
            </w: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8"/>
                <w:szCs w:val="18"/>
                <w:color w:val="auto"/>
              </w:rPr>
              <w:t>500,000(2)</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$96.27(3)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$48,135,000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$0.00011020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$5,304.48</w:t>
            </w:r>
          </w:p>
        </w:tc>
      </w:tr>
      <w:tr>
        <w:trPr>
          <w:trHeight w:val="237"/>
        </w:trPr>
        <w:tc>
          <w:tcPr>
            <w:tcW w:w="134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Total</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$48,135,000</w:t>
            </w: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$5,304.48</w:t>
            </w:r>
          </w:p>
        </w:tc>
      </w:tr>
      <w:tr>
        <w:trPr>
          <w:trHeight w:val="230"/>
        </w:trPr>
        <w:tc>
          <w:tcPr>
            <w:tcW w:w="1340" w:type="dxa"/>
            <w:vAlign w:val="bottom"/>
            <w:tcBorders>
              <w:left w:val="single" w:sz="8" w:color="auto"/>
            </w:tcBorders>
          </w:tcPr>
          <w:p>
            <w:pPr>
              <w:spacing w:after="0"/>
              <w:rPr>
                <w:sz w:val="20"/>
                <w:szCs w:val="20"/>
                <w:color w:val="auto"/>
              </w:rPr>
            </w:pPr>
          </w:p>
        </w:tc>
        <w:tc>
          <w:tcPr>
            <w:tcW w:w="2100" w:type="dxa"/>
            <w:vAlign w:val="bottom"/>
            <w:gridSpan w:val="4"/>
          </w:tcPr>
          <w:p>
            <w:pPr>
              <w:jc w:val="center"/>
              <w:ind w:right="122"/>
              <w:spacing w:after="0"/>
              <w:rPr>
                <w:sz w:val="20"/>
                <w:szCs w:val="20"/>
                <w:color w:val="auto"/>
              </w:rPr>
            </w:pPr>
            <w:r>
              <w:rPr>
                <w:rFonts w:ascii="Arial" w:cs="Arial" w:eastAsia="Arial" w:hAnsi="Arial"/>
                <w:sz w:val="18"/>
                <w:szCs w:val="18"/>
                <w:color w:val="auto"/>
                <w:w w:val="88"/>
              </w:rPr>
              <w:t>Total Fee Offsets</w:t>
            </w:r>
          </w:p>
        </w:tc>
        <w:tc>
          <w:tcPr>
            <w:tcW w:w="10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t>
            </w:r>
          </w:p>
        </w:tc>
      </w:tr>
      <w:tr>
        <w:trPr>
          <w:trHeight w:val="26"/>
        </w:trPr>
        <w:tc>
          <w:tcPr>
            <w:tcW w:w="13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0"/>
        </w:trPr>
        <w:tc>
          <w:tcPr>
            <w:tcW w:w="134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6"/>
              </w:rPr>
              <w:t>Net Fee Due</w:t>
            </w: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$5,304.48</w:t>
            </w:r>
          </w:p>
        </w:tc>
      </w:tr>
    </w:tbl>
    <w:p>
      <w:pPr>
        <w:spacing w:after="0" w:line="229" w:lineRule="exact"/>
        <w:rPr>
          <w:sz w:val="20"/>
          <w:szCs w:val="20"/>
          <w:color w:val="auto"/>
        </w:rPr>
      </w:pPr>
    </w:p>
    <w:p>
      <w:pPr>
        <w:ind w:left="444" w:right="200" w:hanging="444"/>
        <w:spacing w:after="0" w:line="253"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on Form S-8 (the “Registration Statement”) shall also cover any additional shares of the Registrant’s common stock, $0.01 par value per share (the “Common Stock”) that becomes issuable under the Registrant’s 2023 Employee Stock Purchase Plan (the “2023 ESPP”) by reason of any stock dividend, stock split, recapitalization or other similar transaction effected without the receipt of consideration that increases the number of the Registrant’s outstanding shares of Common Stock.</w:t>
      </w:r>
    </w:p>
    <w:p>
      <w:pPr>
        <w:spacing w:after="0" w:line="3"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Registration Statement covers 500,000 shares of the Registrant’s Common Stock, which are issuable pursuant to the 2023 ESPP.</w:t>
      </w:r>
    </w:p>
    <w:p>
      <w:pPr>
        <w:spacing w:after="0" w:line="20" w:lineRule="exact"/>
        <w:rPr>
          <w:rFonts w:ascii="Arial" w:cs="Arial" w:eastAsia="Arial" w:hAnsi="Arial"/>
          <w:sz w:val="17"/>
          <w:szCs w:val="17"/>
          <w:color w:val="auto"/>
        </w:rPr>
      </w:pPr>
    </w:p>
    <w:p>
      <w:pPr>
        <w:ind w:left="444" w:right="120" w:hanging="444"/>
        <w:spacing w:after="0" w:line="255"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in accordance with Rule 457(c) and (h) under the Securities Act solely for the purpose of calculating the registration fee on the basis of $96.27 per share, the average of the high and low prices of the Registrant’s common stock as reported on the Nasdaq Global Market on May 9, 2023, which date is within five business days prior to the filing of this registration statement.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jpeg"/><Relationship Id="rId34" Type="http://schemas.openxmlformats.org/officeDocument/2006/relationships/image" Target="media/image16.png"/><Relationship Id="rId35" Type="http://schemas.openxmlformats.org/officeDocument/2006/relationships/image" Target="media/image17.png"/><Relationship Id="rId17" Type="http://schemas.openxmlformats.org/officeDocument/2006/relationships/hyperlink" Target="http://www.sec.gov/ix?doc=/Archives/edgar/data/1521036/000162828023004698/lnth-20221231.htm" TargetMode="External"/><Relationship Id="rId18" Type="http://schemas.openxmlformats.org/officeDocument/2006/relationships/hyperlink" Target="http://www.sec.gov/Archives/edgar/data/1521036/000162828023015464/lnth-20230331.htm" TargetMode="External"/><Relationship Id="rId19" Type="http://schemas.openxmlformats.org/officeDocument/2006/relationships/hyperlink" Target="http://www.sec.gov/ix?doc=/Archives/edgar/data/1521036/000119312523073296/d478322d8k.htm" TargetMode="External"/><Relationship Id="rId20" Type="http://schemas.openxmlformats.org/officeDocument/2006/relationships/hyperlink" Target="http://www.sec.gov/Archives/edgar/data/1521036/000119312523074198/d405671d8ka.htm" TargetMode="External"/><Relationship Id="rId21" Type="http://schemas.openxmlformats.org/officeDocument/2006/relationships/hyperlink" Target="http://www.sec.gov/Archives/edgar/data/1521036/000119312523130535/d423856d8k.htm" TargetMode="External"/><Relationship Id="rId22" Type="http://schemas.openxmlformats.org/officeDocument/2006/relationships/hyperlink" Target="http://www.sec.gov/Archives/edgar/data/1521036/000162828023015461/lnth-20230504.htm" TargetMode="External"/><Relationship Id="rId23" Type="http://schemas.openxmlformats.org/officeDocument/2006/relationships/hyperlink" Target="http://www.sec.gov/Archives/edgar/data/1521036/000162828023004698/ex42descriptionofregistran.htm" TargetMode="External"/><Relationship Id="rId26" Type="http://schemas.openxmlformats.org/officeDocument/2006/relationships/hyperlink" Target="http://www.sec.gov/Archives/edgar/data/1521036/000119312518139044/d653114dex31.htm" TargetMode="External"/><Relationship Id="rId27" Type="http://schemas.openxmlformats.org/officeDocument/2006/relationships/hyperlink" Target="http://www.sec.gov/Archives/edgar/data/1521036/000119312522313725/d423986dex32.htm" TargetMode="External"/><Relationship Id="rId28" Type="http://schemas.openxmlformats.org/officeDocument/2006/relationships/hyperlink" Target="http://www.sec.gov/Archives/edgar/data/1521036/000119312515241429/d38431dex41.htm" TargetMode="External"/><Relationship Id="rId29" Type="http://schemas.openxmlformats.org/officeDocument/2006/relationships/hyperlink" Target="http://www.sec.gov/Archives/edgar/data/1521036/000119312523130535/d4238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2023-05-16T15:45:31Z</dcterms:created>
  <dcterms:modified xsi:type="dcterms:W3CDTF">2023-05-16T15:45:31Z</dcterms:modified>
</cp:coreProperties>
</file>