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October 13,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LANTHEUS HOLDINGS,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001-36569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35-2318913</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5" w:lineRule="exact"/>
        <w:rPr>
          <w:sz w:val="24"/>
          <w:szCs w:val="24"/>
          <w:color w:val="auto"/>
        </w:rPr>
      </w:pPr>
    </w:p>
    <w:p>
      <w:pPr>
        <w:ind w:left="1124"/>
        <w:spacing w:after="0"/>
        <w:rPr>
          <w:sz w:val="20"/>
          <w:szCs w:val="20"/>
          <w:color w:val="auto"/>
        </w:rPr>
      </w:pPr>
      <w:r>
        <w:rPr>
          <w:rFonts w:ascii="Arial" w:cs="Arial" w:eastAsia="Arial" w:hAnsi="Arial"/>
          <w:sz w:val="16"/>
          <w:szCs w:val="16"/>
          <w:b w:val="1"/>
          <w:bCs w:val="1"/>
          <w:color w:val="auto"/>
        </w:rPr>
        <w:t>331 Treble Cove Road, North Billerica, MA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01862</w:t>
      </w:r>
    </w:p>
    <w:p>
      <w:pPr>
        <w:spacing w:after="0" w:line="61" w:lineRule="exact"/>
        <w:rPr>
          <w:sz w:val="24"/>
          <w:szCs w:val="24"/>
          <w:color w:val="auto"/>
        </w:rPr>
      </w:pPr>
    </w:p>
    <w:p>
      <w:pPr>
        <w:sectPr>
          <w:pgSz w:w="11900" w:h="16838" w:orient="portrait"/>
          <w:cols w:equalWidth="0" w:num="2">
            <w:col w:w="7404" w:space="720"/>
            <w:col w:w="2900"/>
          </w:cols>
          <w:pgMar w:left="436" w:top="368"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56"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(978) 671-8001</w:t>
      </w:r>
    </w:p>
    <w:p>
      <w:pPr>
        <w:spacing w:after="0" w:line="18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4" w:right="40" w:firstLine="4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LNTH</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Market</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884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40"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980" w:hanging="984"/>
        <w:spacing w:after="0" w:line="282" w:lineRule="auto"/>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tab/>
        <w:t>Departure of Directors or Certain Officers; Election of Directors; Appointment of Certain Officers; Compensatory Arrangements of Certain Officers</w:t>
      </w:r>
    </w:p>
    <w:p>
      <w:pPr>
        <w:spacing w:after="0" w:line="58"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On October 13, 2021, Dr. Istvan Molnar informed Lantheus Holdings, Inc. (the “</w:t>
      </w:r>
      <w:r>
        <w:rPr>
          <w:rFonts w:ascii="Arial" w:cs="Arial" w:eastAsia="Arial" w:hAnsi="Arial"/>
          <w:sz w:val="16"/>
          <w:szCs w:val="16"/>
          <w:u w:val="single" w:color="auto"/>
          <w:color w:val="auto"/>
        </w:rPr>
        <w:t>Compan</w:t>
      </w:r>
      <w:r>
        <w:rPr>
          <w:rFonts w:ascii="Arial" w:cs="Arial" w:eastAsia="Arial" w:hAnsi="Arial"/>
          <w:sz w:val="16"/>
          <w:szCs w:val="16"/>
          <w:color w:val="auto"/>
        </w:rPr>
        <w:t>y”) of his resignation as the Chief Medical Officer of the Company and its subsidiaries, effective as of October 13, 2021. A search process is underway for the Company’s next Chief Medical Officer.</w:t>
      </w:r>
    </w:p>
    <w:p>
      <w:pPr>
        <w:sectPr>
          <w:pgSz w:w="11900" w:h="16838" w:orient="portrait"/>
          <w:cols w:equalWidth="0" w:num="1">
            <w:col w:w="10940"/>
          </w:cols>
          <w:pgMar w:left="440" w:top="297" w:right="51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LANTHEUS HOLDINGS,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Daniel Niedzwiecki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Daniel Niedzwiecki</w:t>
      </w:r>
    </w:p>
    <w:p>
      <w:pPr>
        <w:spacing w:after="0" w:line="23" w:lineRule="exact"/>
        <w:rPr>
          <w:sz w:val="20"/>
          <w:szCs w:val="20"/>
          <w:color w:val="auto"/>
        </w:rPr>
      </w:pPr>
    </w:p>
    <w:p>
      <w:pPr>
        <w:jc w:val="both"/>
        <w:ind w:left="6620"/>
        <w:spacing w:after="0"/>
        <w:tabs>
          <w:tab w:leader="none" w:pos="7180" w:val="left"/>
        </w:tabs>
        <w:rPr>
          <w:sz w:val="20"/>
          <w:szCs w:val="20"/>
          <w:color w:val="auto"/>
        </w:rPr>
      </w:pPr>
      <w:r>
        <w:rPr>
          <w:rFonts w:ascii="Arial" w:cs="Arial" w:eastAsia="Arial" w:hAnsi="Arial"/>
          <w:sz w:val="18"/>
          <w:szCs w:val="18"/>
          <w:color w:val="auto"/>
        </w:rPr>
        <w:t>Title:</w:t>
        <w:tab/>
        <w:t>Senior Vice President and General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14, 2021</w:t>
      </w:r>
    </w:p>
    <w:sectPr>
      <w:pgSz w:w="11900" w:h="16838" w:orient="portrait"/>
      <w:cols w:equalWidth="0" w:num="1">
        <w:col w:w="10300"/>
      </w:cols>
      <w:pgMar w:left="440" w:top="297" w:right="1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2021-10-14T15:07:44Z</dcterms:created>
  <dcterms:modified xsi:type="dcterms:W3CDTF">2021-10-14T15:07:44Z</dcterms:modified>
</cp:coreProperties>
</file>