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24130</wp:posOffset>
            </wp:positionV>
            <wp:extent cx="6992620" cy="5203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520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LENO SAM R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</w:tcPr>
          <w:p>
            <w:pPr>
              <w:spacing w:after="0" w:line="169" w:lineRule="exact"/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9"/>
                  <w:szCs w:val="19"/>
                  <w:color w:val="0000EE"/>
                </w:rPr>
                <w:t xml:space="preserve">Lantheus Holdings, Inc. </w:t>
              </w:r>
            </w:hyperlink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LNTH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000000"/>
              </w:rPr>
              <w:t>]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6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Director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LANTHEUS HOLDINGS, INC.</w:t>
            </w:r>
          </w:p>
        </w:tc>
        <w:tc>
          <w:tcPr>
            <w:tcW w:w="160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03/31/2022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331 TREBLE COVE ROAD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gridSpan w:val="1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gridSpan w:val="13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  <w:gridSpan w:val="10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7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4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03/31/2022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0000FF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4,448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23.04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53,745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8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4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23.04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03/31/2022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00FF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4,448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05/16/2013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05/16/2022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4,448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2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960" w:type="dxa"/>
            <w:vAlign w:val="bottom"/>
            <w:gridSpan w:val="2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The transactions reported in this Form 4 were effected pursuant to a Rule 10b5-1 trading plan adopted by the reporting person on March 1, 2022.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Daniel M. Niedzwiecki,</w:t>
            </w:r>
          </w:p>
        </w:tc>
        <w:tc>
          <w:tcPr>
            <w:tcW w:w="8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04/04/2022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attorney-in-fact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20" w:type="dxa"/>
            <w:vAlign w:val="bottom"/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4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  <w:w w:val="99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-3320415</wp:posOffset>
            </wp:positionV>
            <wp:extent cx="29210" cy="22021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8" w:lineRule="auto"/>
        <w:tabs>
          <w:tab w:leader="none" w:pos="177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3866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2022-04-04T15:35:53Z</dcterms:created>
  <dcterms:modified xsi:type="dcterms:W3CDTF">2022-04-04T15:35:53Z</dcterms:modified>
</cp:coreProperties>
</file>