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8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51022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1022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Sabens Andrea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LANTHEUS HOLDINGS, INC.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331 TREBLE COVE ROAD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Lantheus Holdings, Inc.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LNTH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2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07/15/2022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tbl>
      <w:tblPr>
        <w:tblLayout w:type="fixed"/>
        <w:tblInd w:w="20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68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Chief Accounting Officer</w:t>
      </w:r>
    </w:p>
    <w:p>
      <w:pPr>
        <w:spacing w:after="0" w:line="56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13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NORTH</w:t>
            </w:r>
          </w:p>
        </w:tc>
        <w:tc>
          <w:tcPr>
            <w:tcW w:w="9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MA</w:t>
            </w:r>
          </w:p>
        </w:tc>
        <w:tc>
          <w:tcPr>
            <w:tcW w:w="160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01862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BILLERICA</w:t>
            </w: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020"/>
        <w:spacing w:after="0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4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50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07/15/2022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386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69.12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64,255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07/18/2022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1,093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71.468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63,162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9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transactions reported in this Form 4 were effected pursuant to a Rule 10b5-1 trading plan adopted by the reporting person on May 13, 2022.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200" w:firstLine="7"/>
        <w:spacing w:after="0" w:line="272" w:lineRule="auto"/>
        <w:tabs>
          <w:tab w:leader="none" w:pos="173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Form 4 originally filed on June 17, 2022 inadvertently reported 64,441 shares due to an administrative error. The correct number of shares that should have been reported under column 5 of Table I is 64,641.</w:t>
      </w:r>
    </w:p>
    <w:p>
      <w:pPr>
        <w:spacing w:after="0" w:line="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jc w:val="both"/>
        <w:ind w:left="40" w:right="460" w:firstLine="7"/>
        <w:spacing w:after="0" w:line="253" w:lineRule="auto"/>
        <w:tabs>
          <w:tab w:leader="none" w:pos="173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Company requires certain senior executives to cover tax liabilities resulting from the vesting of their equity awards pursuant to sell-to-cover transactions in compliance with Rule 10b5-1. This transaction reported in this Form 4 was effected in compliance with Rule 10b5-1 to satisfy withholding tax liabilities of the Reporting Person associated with the vesting of restricted stock previously granted and reported on a previously filed Form 4.</w:t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Eric Green, attorney-in-fact 07/19/2022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189738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73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3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2" Type="http://schemas.openxmlformats.org/officeDocument/2006/relationships/hyperlink" Target="http://www.sec.gov/cgi-bin/browse-edgar?action=getcompany&amp;CIK=0001876279" TargetMode="External"/><Relationship Id="rId13" Type="http://schemas.openxmlformats.org/officeDocument/2006/relationships/hyperlink" Target="http://www.sec.gov/cgi-bin/browse-edgar?action=getcompany&amp;CIK=000152103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2022-07-19T15:32:50Z</dcterms:created>
  <dcterms:modified xsi:type="dcterms:W3CDTF">2022-07-19T15:32:50Z</dcterms:modified>
</cp:coreProperties>
</file>