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496d8k.htm"/>
      <w:bookmarkStart w:id="1" w:name="ksd1834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320" w:type="dxa"/>
        <w:jc w:val="left"/>
        <w:tblInd w:w="0" w:type="dxa"/>
        <w:tblLayout w:type="fixed"/>
        <w:tblCellMar>
          <w:top w:w="0" w:type="dxa"/>
          <w:left w:w="0" w:type="dxa"/>
          <w:bottom w:w="0" w:type="dxa"/>
          <w:right w:w="0" w:type="dxa"/>
        </w:tblCellMar>
      </w:tblPr>
      <w:tblGrid>
        <w:gridCol w:w="3935"/>
        <w:gridCol w:w="60"/>
        <w:gridCol w:w="1385"/>
        <w:gridCol w:w="60"/>
        <w:gridCol w:w="188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35-2318913</w:t>
            </w:r>
          </w:p>
        </w:tc>
      </w:tr>
      <w:tr>
        <w:trPr/>
        <w:tc>
          <w:tcPr>
            <w:tcW w:w="393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201 Burlington Road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Building</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01730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395" w:type="dxa"/>
        <w:jc w:val="left"/>
        <w:tblInd w:w="0" w:type="dxa"/>
        <w:tblLayout w:type="fixed"/>
        <w:tblCellMar>
          <w:top w:w="0" w:type="dxa"/>
          <w:left w:w="0" w:type="dxa"/>
          <w:bottom w:w="0" w:type="dxa"/>
          <w:right w:w="0" w:type="dxa"/>
        </w:tblCellMar>
      </w:tblPr>
      <w:tblGrid>
        <w:gridCol w:w="965"/>
        <w:gridCol w:w="4430"/>
      </w:tblGrid>
      <w:tr>
        <w:trPr/>
        <w:tc>
          <w:tcPr>
            <w:tcW w:w="965" w:type="dxa"/>
            <w:tcBorders/>
            <w:vAlign w:val="center"/>
          </w:tcPr>
          <w:p>
            <w:pPr>
              <w:pStyle w:val="TableContents"/>
              <w:bidi w:val="0"/>
              <w:spacing w:before="0" w:after="283"/>
              <w:jc w:val="left"/>
              <w:rPr>
                <w:b/>
              </w:rPr>
            </w:pPr>
            <w:r>
              <w:rPr>
                <w:b/>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special meeting of stockholders (the “special meeting”) of Lantheus Holdings, Inc. (“Lantheus”) was held on October 14, 2026. A total of 57,184,503 shares of Lantheus common stock, out of a total of 65,299,875 shares of Lantheus common stock outstanding and entitled to vote as of the close of business on September 1, 2026 (the record date for the special meeting), were present virtually or represented by proxy. The special meeting was held for the purpose of considering and voting upon the following proposals, each as described in further detail in the definitive proxy statement for the special meeting that was filed with the Securities and Exchange Commission (the “SEC”) on September 8, 2026. There were no recorded broker non-votes.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Proposal 1: Merger Agreement Proposal </w:t>
      </w:r>
    </w:p>
    <w:p>
      <w:pPr>
        <w:pStyle w:val="TextBody"/>
        <w:bidi w:val="0"/>
        <w:spacing w:before="120" w:after="0"/>
        <w:jc w:val="left"/>
        <w:rPr>
          <w:rFonts w:ascii="Times New Roman" w:hAnsi="Times New Roman"/>
          <w:sz w:val="20"/>
        </w:rPr>
      </w:pPr>
      <w:r>
        <w:rPr>
          <w:rFonts w:ascii="Times New Roman" w:hAnsi="Times New Roman"/>
          <w:sz w:val="20"/>
        </w:rPr>
        <w:t xml:space="preserve">Lantheus stockholders approved the adoption of the Agreement and Plan of Merger, dated as of August 3, 2026 (as it may be amended and supplemented from time to time, the “merger agreement”), by and among Lantheus, Curium US Holdings LLC, a Delaware limited liability company (“Parent”), and Coco Merger Sub Inc., a Delaware corporation and wholly owned subsidiary of Parent (“Merger Sub”), pursuant to which, and on the terms and subject to the conditions thereof, Merger Sub will be merged with and into Lantheus (the “merger”), whereupon the separate existence of Merger Sub will cease and Lantheus will be the surviving corporation in the merger and a wholly owned subsidiary of Parent (the “merger agreement proposal”). The votes on the merger agreement proposal are set forth in the table below: </w:t>
      </w:r>
    </w:p>
    <w:p>
      <w:pPr>
        <w:pStyle w:val="TextBody"/>
        <w:bidi w:val="0"/>
        <w:spacing w:before="0" w:after="0"/>
        <w:jc w:val="left"/>
        <w:rPr/>
      </w:pPr>
      <w:r>
        <w:rPr/>
        <w:t> </w:t>
      </w:r>
    </w:p>
    <w:tbl>
      <w:tblPr>
        <w:tblW w:w="3900" w:type="dxa"/>
        <w:jc w:val="left"/>
        <w:tblInd w:w="0" w:type="dxa"/>
        <w:tblLayout w:type="fixed"/>
        <w:tblCellMar>
          <w:top w:w="0" w:type="dxa"/>
          <w:left w:w="0" w:type="dxa"/>
          <w:bottom w:w="0" w:type="dxa"/>
          <w:right w:w="0" w:type="dxa"/>
        </w:tblCellMar>
      </w:tblPr>
      <w:tblGrid>
        <w:gridCol w:w="1115"/>
        <w:gridCol w:w="60"/>
        <w:gridCol w:w="1430"/>
        <w:gridCol w:w="60"/>
        <w:gridCol w:w="123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b/>
              </w:rPr>
            </w:pPr>
            <w:r>
              <w:rPr>
                <w:b/>
              </w:rPr>
              <w:t>Abstentions</w:t>
            </w:r>
          </w:p>
        </w:tc>
      </w:tr>
      <w:tr>
        <w:trPr/>
        <w:tc>
          <w:tcPr>
            <w:tcW w:w="1115" w:type="dxa"/>
            <w:tcBorders/>
            <w:shd w:fill="CCEEFF" w:val="clear"/>
            <w:vAlign w:val="center"/>
          </w:tcPr>
          <w:p>
            <w:pPr>
              <w:pStyle w:val="TableContents"/>
              <w:bidi w:val="0"/>
              <w:spacing w:before="0" w:after="283"/>
              <w:jc w:val="center"/>
              <w:rPr/>
            </w:pPr>
            <w:r>
              <w:rPr/>
              <w:t>55,457,863</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1,563,807</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center"/>
              <w:rPr/>
            </w:pPr>
            <w:r>
              <w:rPr/>
              <w:t>162,833</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Proposal 2: Advisory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Lantheus stockholders approved, on an advisory (non-binding) basis, the compensation that may be paid or become payable to the named executive officers of Lantheus in connection with the transactions contemplated by the merger agreement, including consummation of the merger (the “advisory compensation proposal”). The votes on the advisory compensation proposal are set forth in the table below: </w:t>
      </w:r>
    </w:p>
    <w:p>
      <w:pPr>
        <w:pStyle w:val="TextBody"/>
        <w:bidi w:val="0"/>
        <w:spacing w:before="0" w:after="0"/>
        <w:jc w:val="left"/>
        <w:rPr/>
      </w:pPr>
      <w:r>
        <w:rPr/>
        <w:t> </w:t>
      </w:r>
    </w:p>
    <w:tbl>
      <w:tblPr>
        <w:tblW w:w="3135" w:type="dxa"/>
        <w:jc w:val="left"/>
        <w:tblInd w:w="0" w:type="dxa"/>
        <w:tblLayout w:type="fixed"/>
        <w:tblCellMar>
          <w:top w:w="0" w:type="dxa"/>
          <w:left w:w="0" w:type="dxa"/>
          <w:bottom w:w="0" w:type="dxa"/>
          <w:right w:w="0" w:type="dxa"/>
        </w:tblCellMar>
      </w:tblPr>
      <w:tblGrid>
        <w:gridCol w:w="1115"/>
        <w:gridCol w:w="60"/>
        <w:gridCol w:w="1025"/>
        <w:gridCol w:w="60"/>
        <w:gridCol w:w="8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Abstentions</w:t>
            </w:r>
          </w:p>
        </w:tc>
      </w:tr>
      <w:tr>
        <w:trPr/>
        <w:tc>
          <w:tcPr>
            <w:tcW w:w="1115" w:type="dxa"/>
            <w:tcBorders/>
            <w:shd w:fill="CCEEFF" w:val="clear"/>
            <w:vAlign w:val="center"/>
          </w:tcPr>
          <w:p>
            <w:pPr>
              <w:pStyle w:val="TableContents"/>
              <w:bidi w:val="0"/>
              <w:spacing w:before="0" w:after="283"/>
              <w:jc w:val="center"/>
              <w:rPr/>
            </w:pPr>
            <w:r>
              <w:rPr/>
              <w:t>49,098,355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7,849,138</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237,009</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Proposal 3: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Lantheus stockholders voted on a proposal to approve any adjournment of the special meeting, if necessary or appropriate, for the purpose of soliciting additional proxies if there were not sufficient votes at the special meeting, to adopt the merger agreement proposal (the “adjournment proposal”). The votes on the adjournment proposal are set forth in the table below: </w:t>
      </w:r>
    </w:p>
    <w:p>
      <w:pPr>
        <w:pStyle w:val="TextBody"/>
        <w:bidi w:val="0"/>
        <w:spacing w:before="0" w:after="0"/>
        <w:jc w:val="left"/>
        <w:rPr/>
      </w:pPr>
      <w:r>
        <w:rPr/>
        <w:t> </w:t>
      </w:r>
    </w:p>
    <w:tbl>
      <w:tblPr>
        <w:tblW w:w="3135" w:type="dxa"/>
        <w:jc w:val="left"/>
        <w:tblInd w:w="0" w:type="dxa"/>
        <w:tblLayout w:type="fixed"/>
        <w:tblCellMar>
          <w:top w:w="0" w:type="dxa"/>
          <w:left w:w="0" w:type="dxa"/>
          <w:bottom w:w="0" w:type="dxa"/>
          <w:right w:w="0" w:type="dxa"/>
        </w:tblCellMar>
      </w:tblPr>
      <w:tblGrid>
        <w:gridCol w:w="1115"/>
        <w:gridCol w:w="60"/>
        <w:gridCol w:w="1025"/>
        <w:gridCol w:w="60"/>
        <w:gridCol w:w="8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Abstentions</w:t>
            </w:r>
          </w:p>
        </w:tc>
      </w:tr>
      <w:tr>
        <w:trPr/>
        <w:tc>
          <w:tcPr>
            <w:tcW w:w="1115" w:type="dxa"/>
            <w:tcBorders/>
            <w:shd w:fill="CCEEFF" w:val="clear"/>
            <w:vAlign w:val="center"/>
          </w:tcPr>
          <w:p>
            <w:pPr>
              <w:pStyle w:val="TableContents"/>
              <w:bidi w:val="0"/>
              <w:spacing w:before="0" w:after="283"/>
              <w:jc w:val="center"/>
              <w:rPr/>
            </w:pPr>
            <w:r>
              <w:rPr/>
              <w:t>52,776,720</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4,201,962</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205,821</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there were sufficient votes at the time of the special meeting to approve the merger agreement and the advisory compensation proposal, a vote on the proposal to adjourn the special meeting, while approved, was not necessary.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pPr>
            <w:r>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14,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812</Words>
  <Characters>4497</Characters>
  <CharactersWithSpaces>5296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