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Niedzwiecki Daniel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LANTHEUS HOLDINGS,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201 BURLINGTON ROAD, SOUTH BLDG</w:t>
      </w:r>
    </w:p>
    <w:p>
      <w:pPr>
        <w:spacing w:after="0" w:line="29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BEDFORD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01730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Lantheus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LNTH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08/11/2023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See Remarks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80" w:right="380" w:hanging="256"/>
        <w:spacing w:after="0" w:line="180" w:lineRule="auto"/>
        <w:tabs>
          <w:tab w:leader="none" w:pos="380" w:val="left"/>
        </w:tabs>
        <w:numPr>
          <w:ilvl w:val="0"/>
          <w:numId w:val="1"/>
        </w:numPr>
        <w:rPr>
          <w:rFonts w:ascii="Arial" w:cs="Arial" w:eastAsia="Arial" w:hAnsi="Arial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08/11/2023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4,297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67.93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66,295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transactions reported in this Form 4 were effected pursuant to a Rule 10b5-1 trading plan adopted by the reporting person on February 24, 2023.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Chief Administrative Officer, General Counsel &amp; Corp. Secretary</w:t>
      </w:r>
    </w:p>
    <w:p>
      <w:pPr>
        <w:ind w:left="6580"/>
        <w:spacing w:after="0" w:line="1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Eric M. Green,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08/15/2023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379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644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61113" TargetMode="External"/><Relationship Id="rId13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2023-08-15T15:58:09Z</dcterms:created>
  <dcterms:modified xsi:type="dcterms:W3CDTF">2023-08-15T15:58:09Z</dcterms:modified>
</cp:coreProperties>
</file>