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Venkataraman Sriram</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80" w:type="dxa"/>
            <w:vAlign w:val="bottom"/>
            <w:tcBorders>
              <w:top w:val="single" w:sz="8" w:color="0000EE"/>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06/24/2015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Lantheus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LNTH</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(Last)</w:t>
            </w:r>
          </w:p>
        </w:tc>
        <w:tc>
          <w:tcPr>
            <w:tcW w:w="1100" w:type="dxa"/>
            <w:vAlign w:val="bottom"/>
          </w:tcPr>
          <w:p>
            <w:pPr>
              <w:ind w:left="100"/>
              <w:spacing w:after="0"/>
              <w:rPr>
                <w:sz w:val="20"/>
                <w:szCs w:val="20"/>
                <w:color w:val="auto"/>
              </w:rPr>
            </w:pPr>
            <w:r>
              <w:rPr>
                <w:rFonts w:ascii="Arial" w:cs="Arial" w:eastAsia="Arial" w:hAnsi="Arial"/>
                <w:sz w:val="14"/>
                <w:szCs w:val="14"/>
                <w:color w:val="auto"/>
              </w:rPr>
              <w:t>(First)</w:t>
            </w:r>
          </w:p>
        </w:tc>
        <w:tc>
          <w:tcPr>
            <w:tcW w:w="1120" w:type="dxa"/>
            <w:vAlign w:val="bottom"/>
          </w:tcPr>
          <w:p>
            <w:pPr>
              <w:ind w:left="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C/O LANTHEUS HOLDINGS, INC.</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120" w:type="dxa"/>
            <w:vAlign w:val="bottom"/>
            <w:gridSpan w:val="2"/>
          </w:tcPr>
          <w:p>
            <w:pPr>
              <w:ind w:left="20"/>
              <w:spacing w:after="0"/>
              <w:rPr>
                <w:sz w:val="20"/>
                <w:szCs w:val="20"/>
                <w:color w:val="auto"/>
              </w:rPr>
            </w:pPr>
            <w:r>
              <w:rPr>
                <w:rFonts w:ascii="Arial" w:cs="Arial" w:eastAsia="Arial" w:hAnsi="Arial"/>
                <w:sz w:val="18"/>
                <w:szCs w:val="18"/>
                <w:color w:val="0000FF"/>
                <w:w w:val="95"/>
              </w:rPr>
              <w:t>331 TREBLE COVE ROAD</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NORTH</w:t>
            </w:r>
          </w:p>
        </w:tc>
        <w:tc>
          <w:tcPr>
            <w:tcW w:w="1100" w:type="dxa"/>
            <w:vAlign w:val="bottom"/>
            <w:vMerge w:val="restart"/>
          </w:tcPr>
          <w:p>
            <w:pPr>
              <w:ind w:left="100"/>
              <w:spacing w:after="0"/>
              <w:rPr>
                <w:sz w:val="20"/>
                <w:szCs w:val="20"/>
                <w:color w:val="auto"/>
              </w:rPr>
            </w:pPr>
            <w:r>
              <w:rPr>
                <w:rFonts w:ascii="Arial" w:cs="Arial" w:eastAsia="Arial" w:hAnsi="Arial"/>
                <w:sz w:val="18"/>
                <w:szCs w:val="18"/>
                <w:color w:val="0000FF"/>
              </w:rPr>
              <w:t>MA</w:t>
            </w:r>
          </w:p>
        </w:tc>
        <w:tc>
          <w:tcPr>
            <w:tcW w:w="1120" w:type="dxa"/>
            <w:vAlign w:val="bottom"/>
            <w:vMerge w:val="restart"/>
          </w:tcPr>
          <w:p>
            <w:pPr>
              <w:ind w:left="80"/>
              <w:spacing w:after="0"/>
              <w:rPr>
                <w:sz w:val="20"/>
                <w:szCs w:val="20"/>
                <w:color w:val="auto"/>
              </w:rPr>
            </w:pPr>
            <w:r>
              <w:rPr>
                <w:rFonts w:ascii="Arial" w:cs="Arial" w:eastAsia="Arial" w:hAnsi="Arial"/>
                <w:sz w:val="18"/>
                <w:szCs w:val="18"/>
                <w:color w:val="0000FF"/>
              </w:rPr>
              <w:t>01862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BILLERICA</w:t>
            </w:r>
          </w:p>
        </w:tc>
        <w:tc>
          <w:tcPr>
            <w:tcW w:w="110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jc w:val="right"/>
              <w:ind w:right="367"/>
              <w:spacing w:after="0"/>
              <w:rPr>
                <w:sz w:val="20"/>
                <w:szCs w:val="20"/>
                <w:color w:val="auto"/>
              </w:rPr>
            </w:pPr>
            <w:r>
              <w:rPr>
                <w:rFonts w:ascii="Arial" w:cs="Arial" w:eastAsia="Arial" w:hAnsi="Arial"/>
                <w:sz w:val="18"/>
                <w:szCs w:val="18"/>
                <w:color w:val="0000FF"/>
              </w:rPr>
              <w:t>17,793,599</w:t>
            </w:r>
          </w:p>
        </w:tc>
        <w:tc>
          <w:tcPr>
            <w:tcW w:w="1040" w:type="dxa"/>
            <w:vAlign w:val="bottom"/>
            <w:tcBorders>
              <w:bottom w:val="single" w:sz="8" w:color="2C2C2C"/>
            </w:tcBorders>
          </w:tcPr>
          <w:p>
            <w:pPr>
              <w:ind w:left="840"/>
              <w:spacing w:after="0"/>
              <w:rPr>
                <w:sz w:val="20"/>
                <w:szCs w:val="20"/>
                <w:color w:val="auto"/>
              </w:rPr>
            </w:pPr>
            <w:r>
              <w:rPr>
                <w:rFonts w:ascii="Arial" w:cs="Arial" w:eastAsia="Arial" w:hAnsi="Arial"/>
                <w:sz w:val="18"/>
                <w:szCs w:val="18"/>
                <w:color w:val="0000FF"/>
              </w:rPr>
              <w:t>I</w:t>
            </w:r>
          </w:p>
        </w:tc>
        <w:tc>
          <w:tcPr>
            <w:tcW w:w="1780" w:type="dxa"/>
            <w:vAlign w:val="bottom"/>
            <w:tcBorders>
              <w:bottom w:val="single" w:sz="8" w:color="2C2C2C"/>
            </w:tcBorders>
            <w:gridSpan w:val="2"/>
          </w:tcPr>
          <w:p>
            <w:pPr>
              <w:ind w:left="520"/>
              <w:spacing w:after="0"/>
              <w:rPr>
                <w:sz w:val="20"/>
                <w:szCs w:val="20"/>
                <w:color w:val="auto"/>
              </w:rPr>
            </w:pPr>
            <w:r>
              <w:rPr>
                <w:rFonts w:ascii="Arial" w:cs="Arial" w:eastAsia="Arial" w:hAnsi="Arial"/>
                <w:sz w:val="18"/>
                <w:szCs w:val="18"/>
                <w:color w:val="0000FF"/>
                <w:w w:val="88"/>
              </w:rPr>
              <w:t>Avista Funds</w:t>
            </w:r>
            <w:r>
              <w:rPr>
                <w:rFonts w:ascii="Arial" w:cs="Arial" w:eastAsia="Arial" w:hAnsi="Arial"/>
                <w:sz w:val="22"/>
                <w:szCs w:val="22"/>
                <w:color w:val="008000"/>
                <w:w w:val="88"/>
                <w:vertAlign w:val="superscript"/>
              </w:rPr>
              <w:t>(1)(2)</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9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4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90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40" w:type="dxa"/>
            <w:vAlign w:val="bottom"/>
          </w:tcPr>
          <w:p>
            <w:pPr>
              <w:ind w:left="44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40" w:type="dxa"/>
            <w:vAlign w:val="bottom"/>
          </w:tcPr>
          <w:p>
            <w:pPr>
              <w:ind w:left="44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680" w:type="dxa"/>
            <w:vAlign w:val="bottom"/>
          </w:tcPr>
          <w:p>
            <w:pPr>
              <w:spacing w:after="0"/>
              <w:rPr>
                <w:sz w:val="12"/>
                <w:szCs w:val="12"/>
                <w:color w:val="auto"/>
              </w:rPr>
            </w:pPr>
          </w:p>
        </w:tc>
        <w:tc>
          <w:tcPr>
            <w:tcW w:w="1040" w:type="dxa"/>
            <w:vAlign w:val="bottom"/>
          </w:tcPr>
          <w:p>
            <w:pPr>
              <w:ind w:left="44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040" w:type="dxa"/>
            <w:vAlign w:val="bottom"/>
          </w:tcPr>
          <w:p>
            <w:pPr>
              <w:ind w:left="44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78"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amount shown represents the beneficial ownership over the securities held by Avista Capital Partners, L.P., Avista Capital Partners (Offshore), L.P. and ACP-Lantern Co-Invest, LLC (collectively, the Avista Funds). Avista Capital Partners GP, LLC ultimately exercises voting and dispositive power over the securities held by the Avista Funds. The reporting person is a member of Avista Capital Partners GP, LLC and an investor in the Avista Funds. The actual pro rata portion of beneficial ownership of any shares that may be deemed attributable to the reporting person is not readily determinable because it is subject to several variables, including the internal rate of return and vesting of interests within the Avista Funds.</w:t>
      </w:r>
    </w:p>
    <w:p>
      <w:pPr>
        <w:spacing w:after="0" w:line="8" w:lineRule="exact"/>
        <w:rPr>
          <w:rFonts w:ascii="Arial" w:cs="Arial" w:eastAsia="Arial" w:hAnsi="Arial"/>
          <w:sz w:val="12"/>
          <w:szCs w:val="12"/>
          <w:color w:val="008000"/>
        </w:rPr>
      </w:pPr>
    </w:p>
    <w:p>
      <w:pPr>
        <w:ind w:left="40" w:right="16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reporting person disclaims beneficial ownership of all of the listed securities to the extent it exceeds his pecuniary interest therein, and the inclusion of the shares in this report shall not be deemed to be an admission of beneficial ownership of the reported shares for the purposes of Section 16 of the Exchange Act or otherwise.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Sriram Venkataraman</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06/24/2015</w:t>
            </w:r>
          </w:p>
        </w:tc>
      </w:tr>
      <w:tr>
        <w:trPr>
          <w:trHeight w:val="20"/>
        </w:trPr>
        <w:tc>
          <w:tcPr>
            <w:tcW w:w="1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50642" TargetMode="External"/><Relationship Id="rId12" Type="http://schemas.openxmlformats.org/officeDocument/2006/relationships/hyperlink" Target="http://www.sec.gov/cgi-bin/browse-edgar?action=getcompany&amp;CIK=00015210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2019-12-08T23:40:31Z</dcterms:created>
  <dcterms:modified xsi:type="dcterms:W3CDTF">2019-12-08T23:40:31Z</dcterms:modified>
</cp:coreProperties>
</file>