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508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Crowley John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VP Finance and Accounting</w:t>
      </w:r>
    </w:p>
    <w:p>
      <w:pPr>
        <w:spacing w:after="0" w:line="558"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28.83</w:t>
            </w: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color w:val="0000FF"/>
              </w:rPr>
              <w:t>06/25/2015</w:t>
            </w:r>
          </w:p>
        </w:tc>
        <w:tc>
          <w:tcPr>
            <w:tcW w:w="1140" w:type="dxa"/>
            <w:vAlign w:val="bottom"/>
          </w:tcPr>
          <w:p>
            <w:pPr>
              <w:spacing w:after="0"/>
              <w:rPr>
                <w:sz w:val="12"/>
                <w:szCs w:val="12"/>
                <w:color w:val="auto"/>
              </w:rPr>
            </w:pPr>
          </w:p>
        </w:tc>
        <w:tc>
          <w:tcPr>
            <w:tcW w:w="820" w:type="dxa"/>
            <w:vAlign w:val="bottom"/>
            <w:vMerge w:val="restart"/>
          </w:tcPr>
          <w:p>
            <w:pPr>
              <w:ind w:left="100"/>
              <w:spacing w:after="0" w:line="281" w:lineRule="exact"/>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(1)</w:t>
            </w:r>
          </w:p>
        </w:tc>
        <w:tc>
          <w:tcPr>
            <w:tcW w:w="760" w:type="dxa"/>
            <w:vAlign w:val="bottom"/>
            <w:vMerge w:val="restart"/>
          </w:tcPr>
          <w:p>
            <w:pPr>
              <w:ind w:left="460"/>
              <w:spacing w:after="0"/>
              <w:rPr>
                <w:sz w:val="20"/>
                <w:szCs w:val="20"/>
                <w:color w:val="auto"/>
              </w:rPr>
            </w:pPr>
            <w:r>
              <w:rPr>
                <w:rFonts w:ascii="Arial" w:cs="Arial" w:eastAsia="Arial" w:hAnsi="Arial"/>
                <w:sz w:val="14"/>
                <w:szCs w:val="14"/>
                <w:color w:val="0000FF"/>
              </w:rPr>
              <w:t>854</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01/05/2021</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854</w:t>
            </w: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vMerge w:val="restart"/>
          </w:tcPr>
          <w:p>
            <w:pPr>
              <w:jc w:val="right"/>
              <w:ind w:right="378"/>
              <w:spacing w:after="0"/>
              <w:rPr>
                <w:sz w:val="20"/>
                <w:szCs w:val="20"/>
                <w:color w:val="auto"/>
              </w:rPr>
            </w:pPr>
            <w:r>
              <w:rPr>
                <w:rFonts w:ascii="Arial" w:cs="Arial" w:eastAsia="Arial" w:hAnsi="Arial"/>
                <w:sz w:val="14"/>
                <w:szCs w:val="14"/>
                <w:color w:val="0000FF"/>
              </w:rPr>
              <w:t>0</w:t>
            </w:r>
          </w:p>
        </w:tc>
        <w:tc>
          <w:tcPr>
            <w:tcW w:w="78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28.83</w:t>
            </w: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color w:val="0000FF"/>
              </w:rPr>
              <w:t>06/25/2015</w:t>
            </w:r>
          </w:p>
        </w:tc>
        <w:tc>
          <w:tcPr>
            <w:tcW w:w="1140" w:type="dxa"/>
            <w:vAlign w:val="bottom"/>
          </w:tcPr>
          <w:p>
            <w:pPr>
              <w:spacing w:after="0"/>
              <w:rPr>
                <w:sz w:val="12"/>
                <w:szCs w:val="12"/>
                <w:color w:val="auto"/>
              </w:rPr>
            </w:pPr>
          </w:p>
        </w:tc>
        <w:tc>
          <w:tcPr>
            <w:tcW w:w="820" w:type="dxa"/>
            <w:vAlign w:val="bottom"/>
            <w:vMerge w:val="restart"/>
          </w:tcPr>
          <w:p>
            <w:pPr>
              <w:ind w:left="10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60" w:type="dxa"/>
            <w:vAlign w:val="bottom"/>
            <w:vMerge w:val="restart"/>
          </w:tcPr>
          <w:p>
            <w:pPr>
              <w:ind w:left="100"/>
              <w:spacing w:after="0"/>
              <w:rPr>
                <w:sz w:val="20"/>
                <w:szCs w:val="20"/>
                <w:color w:val="auto"/>
              </w:rPr>
            </w:pPr>
            <w:r>
              <w:rPr>
                <w:rFonts w:ascii="Arial" w:cs="Arial" w:eastAsia="Arial" w:hAnsi="Arial"/>
                <w:sz w:val="14"/>
                <w:szCs w:val="14"/>
                <w:color w:val="0000FF"/>
              </w:rPr>
              <w:t>854</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01/05/2021</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854</w:t>
            </w: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vMerge w:val="restart"/>
          </w:tcPr>
          <w:p>
            <w:pPr>
              <w:jc w:val="right"/>
              <w:ind w:right="318"/>
              <w:spacing w:after="0"/>
              <w:rPr>
                <w:sz w:val="20"/>
                <w:szCs w:val="20"/>
                <w:color w:val="auto"/>
              </w:rPr>
            </w:pPr>
            <w:r>
              <w:rPr>
                <w:rFonts w:ascii="Arial" w:cs="Arial" w:eastAsia="Arial" w:hAnsi="Arial"/>
                <w:sz w:val="14"/>
                <w:szCs w:val="14"/>
                <w:color w:val="0000FF"/>
              </w:rPr>
              <w:t>854</w:t>
            </w:r>
          </w:p>
        </w:tc>
        <w:tc>
          <w:tcPr>
            <w:tcW w:w="78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an amendment applicable to outstanding unvested options, resulting in the deemed cancellation of the "old" options and the grant of replacement options. The options were originally granted on January 5, 2011 and provide for vesting in up to five equal annual installments, based on the level of LNTH's satisfaction of certain performance criteria for each of fiscal years 2011, 2012, 2013, 2014 and 2015. The amendment provides for additional vesting on the third anniversary of the amendment date (or the day before any earlier expiration) of any options that remain unvested at that time.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06/25/2015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5"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2019-12-09T01:02:35Z</dcterms:created>
  <dcterms:modified xsi:type="dcterms:W3CDTF">2019-12-09T01:02:35Z</dcterms:modified>
</cp:coreProperties>
</file>