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163195</wp:posOffset>
            </wp:positionV>
            <wp:extent cx="13379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178435</wp:posOffset>
            </wp:positionV>
            <wp:extent cx="13379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40" w:hanging="45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5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48" w:lineRule="exact"/>
        <w:rPr>
          <w:sz w:val="24"/>
          <w:szCs w:val="24"/>
          <w:color w:val="auto"/>
        </w:rPr>
      </w:pPr>
    </w:p>
    <w:p>
      <w:pPr>
        <w:ind w:left="39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3712210</wp:posOffset>
            </wp:positionH>
            <wp:positionV relativeFrom="paragraph">
              <wp:posOffset>-1270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177800</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48260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217805</wp:posOffset>
            </wp:positionV>
            <wp:extent cx="1689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4900" w:type="dxa"/>
            <w:vAlign w:val="bottom"/>
          </w:tcPr>
          <w:p>
            <w:pPr>
              <w:jc w:val="center"/>
              <w:ind w:left="759"/>
              <w:spacing w:after="0"/>
              <w:rPr>
                <w:sz w:val="20"/>
                <w:szCs w:val="20"/>
                <w:color w:val="auto"/>
              </w:rPr>
            </w:pPr>
            <w:r>
              <w:rPr>
                <w:rFonts w:ascii="Arial" w:cs="Arial" w:eastAsia="Arial" w:hAnsi="Arial"/>
                <w:sz w:val="18"/>
                <w:szCs w:val="18"/>
                <w:b w:val="1"/>
                <w:bCs w:val="1"/>
                <w:color w:val="auto"/>
                <w:w w:val="93"/>
              </w:rPr>
              <w:t>Delaware</w:t>
            </w:r>
          </w:p>
        </w:tc>
        <w:tc>
          <w:tcPr>
            <w:tcW w:w="6380" w:type="dxa"/>
            <w:vAlign w:val="bottom"/>
            <w:gridSpan w:val="3"/>
          </w:tcPr>
          <w:p>
            <w:pPr>
              <w:jc w:val="right"/>
              <w:ind w:right="2208"/>
              <w:spacing w:after="0"/>
              <w:rPr>
                <w:sz w:val="20"/>
                <w:szCs w:val="20"/>
                <w:color w:val="auto"/>
              </w:rPr>
            </w:pPr>
            <w:r>
              <w:rPr>
                <w:rFonts w:ascii="Arial" w:cs="Arial" w:eastAsia="Arial" w:hAnsi="Arial"/>
                <w:sz w:val="18"/>
                <w:szCs w:val="18"/>
                <w:b w:val="1"/>
                <w:bCs w:val="1"/>
                <w:color w:val="auto"/>
              </w:rPr>
              <w:t>35-2318913</w:t>
            </w:r>
          </w:p>
        </w:tc>
      </w:tr>
      <w:tr>
        <w:trPr>
          <w:trHeight w:val="27"/>
        </w:trPr>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jc w:val="center"/>
              <w:ind w:left="75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7"/>
        </w:trPr>
        <w:tc>
          <w:tcPr>
            <w:tcW w:w="4900" w:type="dxa"/>
            <w:vAlign w:val="bottom"/>
          </w:tcPr>
          <w:p>
            <w:pPr>
              <w:jc w:val="center"/>
              <w:ind w:left="759"/>
              <w:spacing w:after="0"/>
              <w:rPr>
                <w:sz w:val="20"/>
                <w:szCs w:val="20"/>
                <w:color w:val="auto"/>
              </w:rPr>
            </w:pPr>
            <w:r>
              <w:rPr>
                <w:rFonts w:ascii="Arial" w:cs="Arial" w:eastAsia="Arial" w:hAnsi="Arial"/>
                <w:sz w:val="18"/>
                <w:szCs w:val="18"/>
                <w:b w:val="1"/>
                <w:bCs w:val="1"/>
                <w:color w:val="auto"/>
                <w:w w:val="92"/>
              </w:rPr>
              <w:t>331 Treble Cove Road, North Billerica, MA</w:t>
            </w:r>
          </w:p>
        </w:tc>
        <w:tc>
          <w:tcPr>
            <w:tcW w:w="6380" w:type="dxa"/>
            <w:vAlign w:val="bottom"/>
            <w:gridSpan w:val="3"/>
          </w:tcPr>
          <w:p>
            <w:pPr>
              <w:jc w:val="right"/>
              <w:ind w:right="2408"/>
              <w:spacing w:after="0"/>
              <w:rPr>
                <w:sz w:val="20"/>
                <w:szCs w:val="20"/>
                <w:color w:val="auto"/>
              </w:rPr>
            </w:pPr>
            <w:r>
              <w:rPr>
                <w:rFonts w:ascii="Arial" w:cs="Arial" w:eastAsia="Arial" w:hAnsi="Arial"/>
                <w:sz w:val="18"/>
                <w:szCs w:val="18"/>
                <w:b w:val="1"/>
                <w:bCs w:val="1"/>
                <w:color w:val="auto"/>
              </w:rPr>
              <w:t>01862</w:t>
            </w:r>
          </w:p>
        </w:tc>
      </w:tr>
      <w:tr>
        <w:trPr>
          <w:trHeight w:val="27"/>
        </w:trPr>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4900" w:type="dxa"/>
            <w:vAlign w:val="bottom"/>
          </w:tcPr>
          <w:p>
            <w:pPr>
              <w:spacing w:after="0"/>
              <w:rPr>
                <w:sz w:val="24"/>
                <w:szCs w:val="24"/>
                <w:color w:val="auto"/>
              </w:rPr>
            </w:pPr>
          </w:p>
        </w:tc>
        <w:tc>
          <w:tcPr>
            <w:tcW w:w="6380" w:type="dxa"/>
            <w:vAlign w:val="bottom"/>
            <w:gridSpan w:val="3"/>
          </w:tcPr>
          <w:p>
            <w:pPr>
              <w:jc w:val="right"/>
              <w:ind w:right="5008"/>
              <w:spacing w:after="0"/>
              <w:rPr>
                <w:sz w:val="20"/>
                <w:szCs w:val="20"/>
                <w:color w:val="auto"/>
              </w:rPr>
            </w:pPr>
            <w:r>
              <w:rPr>
                <w:rFonts w:ascii="Arial" w:cs="Arial" w:eastAsia="Arial" w:hAnsi="Arial"/>
                <w:sz w:val="18"/>
                <w:szCs w:val="18"/>
                <w:b w:val="1"/>
                <w:bCs w:val="1"/>
                <w:color w:val="auto"/>
              </w:rPr>
              <w:t>(978) 671-8001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154305</wp:posOffset>
            </wp:positionV>
            <wp:extent cx="4133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172085</wp:posOffset>
            </wp:positionV>
            <wp:extent cx="4133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109220</wp:posOffset>
            </wp:positionV>
            <wp:extent cx="1689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390" w:lineRule="exact"/>
        <w:rPr>
          <w:sz w:val="24"/>
          <w:szCs w:val="24"/>
          <w:color w:val="auto"/>
        </w:rPr>
      </w:pPr>
    </w:p>
    <w:p>
      <w:pPr>
        <w:jc w:val="both"/>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3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tcPr>
          <w:p>
            <w:pPr>
              <w:ind w:left="4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80" w:type="dxa"/>
            <w:vAlign w:val="bottom"/>
          </w:tcPr>
          <w:p>
            <w:pPr>
              <w:ind w:left="4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tcPr>
          <w:p>
            <w:pPr>
              <w:ind w:left="4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right="406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38,280,637 shares of common stock, $0.01 par value, outstanding as of April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6989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6989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262890</wp:posOffset>
            </wp:positionV>
            <wp:extent cx="687768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803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p>
      <w:pPr>
        <w:spacing w:after="0" w:line="77"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3">
        <w:r>
          <w:rPr>
            <w:rFonts w:ascii="Arial" w:cs="Arial" w:eastAsia="Arial" w:hAnsi="Arial"/>
            <w:sz w:val="16"/>
            <w:szCs w:val="16"/>
            <w:u w:val="single" w:color="auto"/>
            <w:color w:val="0000EE"/>
          </w:rPr>
          <w:t>Item 1.</w:t>
        </w:r>
      </w:hyperlink>
      <w:r>
        <w:rPr>
          <w:rFonts w:ascii="Arial" w:cs="Arial" w:eastAsia="Arial" w:hAnsi="Arial"/>
          <w:sz w:val="16"/>
          <w:szCs w:val="16"/>
          <w:u w:val="single" w:color="auto"/>
          <w:color w:val="0000EE"/>
        </w:rPr>
        <w:tab/>
      </w:r>
      <w:hyperlink w:anchor="page3">
        <w:r>
          <w:rPr>
            <w:rFonts w:ascii="Arial" w:cs="Arial" w:eastAsia="Arial" w:hAnsi="Arial"/>
            <w:sz w:val="14"/>
            <w:szCs w:val="14"/>
            <w:u w:val="single" w:color="auto"/>
            <w:color w:val="0000EE"/>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 as of March 31, 2018 and December 31, 2017</w:t>
        </w:r>
      </w:hyperlink>
    </w:p>
    <w:p>
      <w:pPr>
        <w:spacing w:after="0" w:line="86" w:lineRule="exact"/>
        <w:rPr>
          <w:sz w:val="20"/>
          <w:szCs w:val="20"/>
          <w:color w:val="auto"/>
        </w:rPr>
      </w:pPr>
    </w:p>
    <w:p>
      <w:pPr>
        <w:ind w:left="15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Operations for the Three Months Ended March 31,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Condensed Consolidated Statements of Comprehensive Income for the Three Months Ended March 31, 2018 and 2017</w:t>
        </w:r>
      </w:hyperlink>
    </w:p>
    <w:p>
      <w:pPr>
        <w:spacing w:after="0" w:line="109" w:lineRule="exact"/>
        <w:rPr>
          <w:sz w:val="20"/>
          <w:szCs w:val="20"/>
          <w:color w:val="auto"/>
        </w:rPr>
      </w:pPr>
    </w:p>
    <w:p>
      <w:pPr>
        <w:ind w:left="15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for the Three Months Ended March 31,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18">
        <w:r>
          <w:rPr>
            <w:rFonts w:ascii="Arial" w:cs="Arial" w:eastAsia="Arial" w:hAnsi="Arial"/>
            <w:sz w:val="16"/>
            <w:szCs w:val="16"/>
            <w:u w:val="single" w:color="auto"/>
            <w:color w:val="0000EE"/>
          </w:rPr>
          <w:t>Item 2.</w:t>
        </w:r>
      </w:hyperlink>
      <w:r>
        <w:rPr>
          <w:rFonts w:ascii="Arial" w:cs="Arial" w:eastAsia="Arial" w:hAnsi="Arial"/>
          <w:sz w:val="16"/>
          <w:szCs w:val="16"/>
          <w:u w:val="single" w:color="auto"/>
          <w:color w:val="0000EE"/>
        </w:rPr>
        <w:tab/>
      </w:r>
      <w:hyperlink w:anchor="page18">
        <w:r>
          <w:rPr>
            <w:rFonts w:ascii="Arial" w:cs="Arial" w:eastAsia="Arial" w:hAnsi="Arial"/>
            <w:sz w:val="14"/>
            <w:szCs w:val="14"/>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34925</wp:posOffset>
            </wp:positionV>
            <wp:extent cx="687768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53" w:lineRule="exact"/>
        <w:rPr>
          <w:sz w:val="20"/>
          <w:szCs w:val="20"/>
          <w:color w:val="auto"/>
        </w:rPr>
      </w:pPr>
    </w:p>
    <w:p>
      <w:pPr>
        <w:ind w:left="320"/>
        <w:spacing w:after="0"/>
        <w:tabs>
          <w:tab w:leader="none" w:pos="1500" w:val="left"/>
        </w:tabs>
        <w:rPr>
          <w:rFonts w:ascii="Arial" w:cs="Arial" w:eastAsia="Arial" w:hAnsi="Arial"/>
          <w:sz w:val="15"/>
          <w:szCs w:val="15"/>
          <w:u w:val="single" w:color="auto"/>
          <w:color w:val="0000EE"/>
        </w:rPr>
      </w:pPr>
      <w:hyperlink w:anchor="page30">
        <w:r>
          <w:rPr>
            <w:rFonts w:ascii="Arial" w:cs="Arial" w:eastAsia="Arial" w:hAnsi="Arial"/>
            <w:sz w:val="16"/>
            <w:szCs w:val="16"/>
            <w:u w:val="single" w:color="auto"/>
            <w:color w:val="0000EE"/>
          </w:rPr>
          <w:t>Item 3.</w:t>
        </w:r>
      </w:hyperlink>
      <w:r>
        <w:rPr>
          <w:rFonts w:ascii="Arial" w:cs="Arial" w:eastAsia="Arial" w:hAnsi="Arial"/>
          <w:sz w:val="16"/>
          <w:szCs w:val="16"/>
          <w:u w:val="single" w:color="auto"/>
          <w:color w:val="0000EE"/>
        </w:rPr>
        <w:tab/>
      </w:r>
      <w:hyperlink w:anchor="page30">
        <w:r>
          <w:rPr>
            <w:rFonts w:ascii="Arial" w:cs="Arial" w:eastAsia="Arial" w:hAnsi="Arial"/>
            <w:sz w:val="15"/>
            <w:szCs w:val="15"/>
            <w:u w:val="single" w:color="auto"/>
            <w:color w:val="0000EE"/>
          </w:rPr>
          <w:t>Quantitative and Qualitative Disclosures About Market Risk</w:t>
        </w:r>
      </w:hyperlink>
    </w:p>
    <w:p>
      <w:pPr>
        <w:spacing w:after="0" w:line="73"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30">
        <w:r>
          <w:rPr>
            <w:rFonts w:ascii="Arial" w:cs="Arial" w:eastAsia="Arial" w:hAnsi="Arial"/>
            <w:sz w:val="16"/>
            <w:szCs w:val="16"/>
            <w:u w:val="single" w:color="auto"/>
            <w:color w:val="0000EE"/>
          </w:rPr>
          <w:t>Item 4.</w:t>
        </w:r>
      </w:hyperlink>
      <w:r>
        <w:rPr>
          <w:rFonts w:ascii="Arial" w:cs="Arial" w:eastAsia="Arial" w:hAnsi="Arial"/>
          <w:sz w:val="16"/>
          <w:szCs w:val="16"/>
          <w:u w:val="single" w:color="auto"/>
          <w:color w:val="0000EE"/>
        </w:rPr>
        <w:tab/>
      </w:r>
      <w:hyperlink w:anchor="page30">
        <w:r>
          <w:rPr>
            <w:rFonts w:ascii="Arial" w:cs="Arial" w:eastAsia="Arial" w:hAnsi="Arial"/>
            <w:sz w:val="14"/>
            <w:szCs w:val="14"/>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34925</wp:posOffset>
            </wp:positionV>
            <wp:extent cx="68776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2" w:lineRule="exact"/>
        <w:rPr>
          <w:sz w:val="20"/>
          <w:szCs w:val="20"/>
          <w:color w:val="auto"/>
        </w:rPr>
      </w:pPr>
    </w:p>
    <w:p>
      <w:pPr>
        <w:ind w:left="320"/>
        <w:spacing w:after="0"/>
        <w:rPr>
          <w:rFonts w:ascii="Arial" w:cs="Arial" w:eastAsia="Arial" w:hAnsi="Arial"/>
          <w:sz w:val="16"/>
          <w:szCs w:val="16"/>
          <w:b w:val="1"/>
          <w:bCs w:val="1"/>
          <w:u w:val="single" w:color="auto"/>
          <w:color w:val="0000EE"/>
        </w:rPr>
      </w:pPr>
      <w:hyperlink w:anchor="page31">
        <w:r>
          <w:rPr>
            <w:rFonts w:ascii="Arial" w:cs="Arial" w:eastAsia="Arial" w:hAnsi="Arial"/>
            <w:sz w:val="16"/>
            <w:szCs w:val="16"/>
            <w:b w:val="1"/>
            <w:bCs w:val="1"/>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18">
        <w:r>
          <w:rPr>
            <w:rFonts w:ascii="Arial" w:cs="Arial" w:eastAsia="Arial" w:hAnsi="Arial"/>
            <w:sz w:val="16"/>
            <w:szCs w:val="16"/>
            <w:color w:val="auto"/>
          </w:rPr>
          <w:t>16</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p>
      <w:pPr>
        <w:spacing w:after="0" w:line="331" w:lineRule="exact"/>
        <w:rPr>
          <w:sz w:val="20"/>
          <w:szCs w:val="20"/>
          <w:color w:val="auto"/>
        </w:rPr>
      </w:pPr>
    </w:p>
    <w:p>
      <w:pPr>
        <w:sectPr>
          <w:pgSz w:w="11900" w:h="16838" w:orient="portrait"/>
          <w:cols w:equalWidth="0" w:num="2">
            <w:col w:w="9980" w:space="720"/>
            <w:col w:w="440"/>
          </w:cols>
          <w:pgMar w:left="240" w:top="175" w:right="519" w:bottom="1440" w:gutter="0" w:footer="0" w:header="0"/>
        </w:sectPr>
      </w:pPr>
    </w:p>
    <w:tbl>
      <w:tblPr>
        <w:tblLayout w:type="fixed"/>
        <w:tblInd w:w="300" w:type="dxa"/>
        <w:tblCellMar>
          <w:top w:w="0" w:type="dxa"/>
          <w:left w:w="0" w:type="dxa"/>
          <w:bottom w:w="0" w:type="dxa"/>
          <w:right w:w="0" w:type="dxa"/>
        </w:tblCellMar>
      </w:tblPr>
      <w:tr>
        <w:trPr>
          <w:trHeight w:val="184"/>
        </w:trPr>
        <w:tc>
          <w:tcPr>
            <w:tcW w:w="1220" w:type="dxa"/>
            <w:vAlign w:val="bottom"/>
            <w:gridSpan w:val="5"/>
          </w:tcPr>
          <w:p>
            <w:pPr>
              <w:ind w:left="20"/>
              <w:spacing w:after="0"/>
              <w:rPr>
                <w:rFonts w:ascii="Arial" w:cs="Arial" w:eastAsia="Arial" w:hAnsi="Arial"/>
                <w:sz w:val="16"/>
                <w:szCs w:val="16"/>
                <w:color w:val="0000EE"/>
              </w:rPr>
            </w:pPr>
            <w:hyperlink w:anchor="page31">
              <w:r>
                <w:rPr>
                  <w:rFonts w:ascii="Arial" w:cs="Arial" w:eastAsia="Arial" w:hAnsi="Arial"/>
                  <w:sz w:val="16"/>
                  <w:szCs w:val="16"/>
                  <w:color w:val="0000EE"/>
                </w:rPr>
                <w:t>Item 1.</w:t>
              </w:r>
            </w:hyperlink>
          </w:p>
        </w:tc>
        <w:tc>
          <w:tcPr>
            <w:tcW w:w="660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Legal Proceedings</w:t>
              </w:r>
            </w:hyperlink>
          </w:p>
        </w:tc>
        <w:tc>
          <w:tcPr>
            <w:tcW w:w="3020" w:type="dxa"/>
            <w:vAlign w:val="bottom"/>
          </w:tcPr>
          <w:p>
            <w:pPr>
              <w:jc w:val="right"/>
              <w:ind w:right="119"/>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1A.</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Risk Factors</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580" w:type="dxa"/>
            <w:vAlign w:val="bottom"/>
            <w:gridSpan w:val="2"/>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2.</w:t>
              </w:r>
            </w:hyperlink>
          </w:p>
        </w:tc>
        <w:tc>
          <w:tcPr>
            <w:tcW w:w="620" w:type="dxa"/>
            <w:vAlign w:val="bottom"/>
            <w:gridSpan w:val="2"/>
          </w:tcPr>
          <w:p>
            <w:pPr>
              <w:spacing w:after="0"/>
              <w:rPr>
                <w:sz w:val="16"/>
                <w:szCs w:val="16"/>
                <w:color w:val="auto"/>
              </w:rPr>
            </w:pPr>
          </w:p>
        </w:tc>
        <w:tc>
          <w:tcPr>
            <w:tcW w:w="660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Unregistered Sales of Equity Securities and Use of Proceeds</w:t>
              </w:r>
            </w:hyperlink>
          </w:p>
        </w:tc>
        <w:tc>
          <w:tcPr>
            <w:tcW w:w="3020" w:type="dxa"/>
            <w:vAlign w:val="bottom"/>
          </w:tcPr>
          <w:p>
            <w:pPr>
              <w:jc w:val="right"/>
              <w:ind w:right="119"/>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3.</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Defaults Upon Senior Securities</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4.</w:t>
              </w:r>
            </w:hyperlink>
          </w:p>
        </w:tc>
        <w:tc>
          <w:tcPr>
            <w:tcW w:w="6600" w:type="dxa"/>
            <w:vAlign w:val="bottom"/>
            <w:gridSpan w:val="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Mine Safety Disclosures</w:t>
              </w:r>
            </w:hyperlink>
          </w:p>
        </w:tc>
        <w:tc>
          <w:tcPr>
            <w:tcW w:w="3020" w:type="dxa"/>
            <w:vAlign w:val="bottom"/>
          </w:tcPr>
          <w:p>
            <w:pPr>
              <w:jc w:val="right"/>
              <w:ind w:right="119"/>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5.</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Other Information</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6.</w:t>
              </w:r>
            </w:hyperlink>
          </w:p>
        </w:tc>
        <w:tc>
          <w:tcPr>
            <w:tcW w:w="6600" w:type="dxa"/>
            <w:vAlign w:val="bottom"/>
            <w:gridSpan w:val="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Exhibits</w:t>
              </w:r>
            </w:hyperlink>
          </w:p>
        </w:tc>
        <w:tc>
          <w:tcPr>
            <w:tcW w:w="3020" w:type="dxa"/>
            <w:vAlign w:val="bottom"/>
          </w:tcPr>
          <w:p>
            <w:pPr>
              <w:jc w:val="right"/>
              <w:ind w:right="119"/>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1220" w:type="dxa"/>
            <w:vAlign w:val="bottom"/>
            <w:gridSpan w:val="5"/>
            <w:shd w:val="clear" w:color="auto" w:fill="CCEEFF"/>
          </w:tcPr>
          <w:p>
            <w:pPr>
              <w:ind w:left="20"/>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SIGNATURES</w:t>
              </w:r>
            </w:hyperlink>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140"/>
          </w:cols>
          <w:pgMar w:left="240" w:top="175" w:right="51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jc w:val="center"/>
              <w:ind w:left="2390"/>
              <w:spacing w:after="0"/>
              <w:rPr>
                <w:sz w:val="20"/>
                <w:szCs w:val="20"/>
                <w:color w:val="auto"/>
              </w:rPr>
            </w:pPr>
            <w:r>
              <w:rPr>
                <w:rFonts w:ascii="Arial" w:cs="Arial" w:eastAsia="Arial" w:hAnsi="Arial"/>
                <w:sz w:val="18"/>
                <w:szCs w:val="18"/>
                <w:b w:val="1"/>
                <w:bCs w:val="1"/>
                <w:color w:val="auto"/>
                <w:w w:val="90"/>
              </w:rPr>
              <w:t>Lantheus Holdings, Inc.</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color w:val="auto"/>
                <w:w w:val="89"/>
              </w:rPr>
              <w:t>(in thousands, except par value)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47,834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Property, plant &amp; equipment, net</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92,999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Revolving line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265,393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38,012</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360,567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13)</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Preferred stock ($0.01 par value, 25,000 shares authorized; no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w w:val="91"/>
              </w:rPr>
              <w:t>Common stock ($0.01 par value, 250,000 shares authorized; 37,997 and 37,765 shares issued</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and outstanding, respectively)</w:t>
            </w: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232,960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(200,447)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(209,013)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60"/>
          </w:cols>
          <w:pgMar w:left="240" w:top="162" w:right="8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(in thousands, except per share data)</w:t>
      </w:r>
    </w:p>
    <w:p>
      <w:pPr>
        <w:spacing w:after="0" w:line="153"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22860</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82,630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81,359</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83"/>
              </w:rPr>
              <w:t>40,321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41,597</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42,309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10,640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83"/>
              </w:rPr>
              <w:t>12,543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37"/>
        </w:trPr>
        <w:tc>
          <w:tcPr>
            <w:tcW w:w="63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3"/>
              </w:rPr>
              <w:t>27,172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27,835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income</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15,137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12,007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vMerge w:val="continue"/>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7"/>
        </w:trPr>
        <w:tc>
          <w:tcPr>
            <w:tcW w:w="63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83"/>
              </w:rPr>
              <w:t>37,886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67"/>
        </w:trPr>
        <w:tc>
          <w:tcPr>
            <w:tcW w:w="63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39,493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38,601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240" w:top="175" w:right="11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22860</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720" w:type="dxa"/>
            <w:vAlign w:val="bottom"/>
          </w:tcPr>
          <w:p>
            <w:pPr>
              <w:ind w:left="480"/>
              <w:spacing w:after="0"/>
              <w:rPr>
                <w:sz w:val="20"/>
                <w:szCs w:val="20"/>
                <w:color w:val="auto"/>
              </w:rPr>
            </w:pPr>
            <w:r>
              <w:rPr>
                <w:rFonts w:ascii="Arial" w:cs="Arial" w:eastAsia="Arial" w:hAnsi="Arial"/>
                <w:sz w:val="18"/>
                <w:szCs w:val="18"/>
                <w:color w:val="auto"/>
              </w:rPr>
              <w:t>Total other comprehensive loss</w:t>
            </w: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240" w:top="175" w:right="10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Lantheus Holdings, Inc.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4,138</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6,160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debt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Provision for bad debt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excess and obsolete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945</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 and debt retirement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Long-term income tax payable and other long-term liabilities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Increases (decreases) in cash from operating assets and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5,524</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(4,564)</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274,313</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(284,551)</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for public offering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632</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Payments for minimum statutory tax withholding related to net share settlement of equity awards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(11,254)</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51,178</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40,882</w:t>
            </w: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300"/>
          </w:cols>
          <w:pgMar w:left="240" w:top="162"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240" w:top="162"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References and Trademarks</w:t>
      </w:r>
    </w:p>
    <w:p>
      <w:pPr>
        <w:spacing w:after="0" w:line="121" w:lineRule="exact"/>
        <w:rPr>
          <w:sz w:val="20"/>
          <w:szCs w:val="20"/>
          <w:color w:val="auto"/>
        </w:rPr>
      </w:pPr>
    </w:p>
    <w:p>
      <w:pPr>
        <w:ind w:right="140" w:firstLine="405"/>
        <w:spacing w:after="0" w:line="235" w:lineRule="auto"/>
        <w:rPr>
          <w:sz w:val="20"/>
          <w:szCs w:val="20"/>
          <w:color w:val="auto"/>
        </w:rPr>
      </w:pPr>
      <w:r>
        <w:rPr>
          <w:rFonts w:ascii="Arial" w:cs="Arial" w:eastAsia="Arial" w:hAnsi="Arial"/>
          <w:sz w:val="18"/>
          <w:szCs w:val="18"/>
          <w:color w:val="auto"/>
        </w:rPr>
        <w:t xml:space="preserve">Unless the context otherwise requires, references to the “Company” and “Lantheus” refer to Lantheus Holdings, Inc. and its direct and indirect wholly-owned subsidiaries, references to “Holdings” refer to Lantheus Holdings, Inc. and not to any of its subsidiaries, and references to “LMI” refer to Lantheus Medical Imaging, Inc., the direct subsidiary of Holdings. Solely for convenience, the Company refers to trademarks, service marks and trade names without the ™, </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symbols. Those references are not intended to indicate, in any way, that the Company will not assert, to the fullest extent permitted under applicable law, its rights to its trademarks, service marks and trade names.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Lantheus Holdings, Inc. and its direct and indirect wholly-owned subsidiaries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months ended March 31, 2018 are not necessarily indicative of the results that may be expected for the year ended December 31, 2018 or any future period.</w:t>
      </w:r>
    </w:p>
    <w:p>
      <w:pPr>
        <w:spacing w:after="0" w:line="189"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condensed consolidated balance sheet at December 31, 2017 has been derived from the audited consolidated financial statements at that date but does not include all of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2017 filed with the Securities Exchange Commission (“SEC”) on February 26, 2018. Certain immaterial amounts in the prior period condensed consolidated statement of cash flows have been reclassified to conform to the current period financial statement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condensed consolidated financial statements:</w:t>
      </w:r>
    </w:p>
    <w:p>
      <w:pPr>
        <w:spacing w:after="0" w:line="84" w:lineRule="exact"/>
        <w:rPr>
          <w:sz w:val="20"/>
          <w:szCs w:val="20"/>
          <w:color w:val="auto"/>
        </w:rPr>
      </w:pPr>
    </w:p>
    <w:tbl>
      <w:tblPr>
        <w:tblLayout w:type="fixed"/>
        <w:tblInd w:w="450" w:type="dxa"/>
        <w:tblCellMar>
          <w:top w:w="0" w:type="dxa"/>
          <w:left w:w="0" w:type="dxa"/>
          <w:bottom w:w="0" w:type="dxa"/>
          <w:right w:w="0" w:type="dxa"/>
        </w:tblCellMar>
      </w:tblPr>
      <w:tr>
        <w:trPr>
          <w:trHeight w:val="315"/>
        </w:trPr>
        <w:tc>
          <w:tcPr>
            <w:tcW w:w="1800" w:type="dxa"/>
            <w:vAlign w:val="bottom"/>
            <w:tcBorders>
              <w:top w:val="single" w:sz="8" w:color="CCCCCC"/>
              <w:left w:val="single" w:sz="8" w:color="CCCCCC"/>
            </w:tcBorders>
            <w:vMerge w:val="restart"/>
          </w:tcPr>
          <w:p>
            <w:pPr>
              <w:ind w:left="620"/>
              <w:spacing w:after="0"/>
              <w:rPr>
                <w:sz w:val="20"/>
                <w:szCs w:val="20"/>
                <w:color w:val="auto"/>
              </w:rPr>
            </w:pPr>
            <w:r>
              <w:rPr>
                <w:rFonts w:ascii="Arial" w:cs="Arial" w:eastAsia="Arial" w:hAnsi="Arial"/>
                <w:sz w:val="14"/>
                <w:szCs w:val="14"/>
                <w:b w:val="1"/>
                <w:bCs w:val="1"/>
                <w:color w:val="auto"/>
              </w:rPr>
              <w:t>Standard</w:t>
            </w:r>
          </w:p>
        </w:tc>
        <w:tc>
          <w:tcPr>
            <w:tcW w:w="4240" w:type="dxa"/>
            <w:vAlign w:val="bottom"/>
            <w:tcBorders>
              <w:top w:val="single" w:sz="8" w:color="CCCCCC"/>
              <w:right w:val="single" w:sz="8" w:color="CCCCCC"/>
            </w:tcBorders>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060" w:type="dxa"/>
            <w:vAlign w:val="bottom"/>
            <w:tcBorders>
              <w:top w:val="single" w:sz="8" w:color="CCCCCC"/>
              <w:right w:val="single" w:sz="8" w:color="CCCCCC"/>
            </w:tcBorders>
          </w:tcPr>
          <w:p>
            <w:pPr>
              <w:ind w:left="20"/>
              <w:spacing w:after="0"/>
              <w:rPr>
                <w:sz w:val="20"/>
                <w:szCs w:val="20"/>
                <w:color w:val="auto"/>
              </w:rPr>
            </w:pPr>
            <w:r>
              <w:rPr>
                <w:rFonts w:ascii="Arial" w:cs="Arial" w:eastAsia="Arial" w:hAnsi="Arial"/>
                <w:sz w:val="14"/>
                <w:szCs w:val="14"/>
                <w:b w:val="1"/>
                <w:bCs w:val="1"/>
                <w:color w:val="auto"/>
                <w:w w:val="93"/>
              </w:rPr>
              <w:t>Effect on the Condensed Consolidated Financial</w:t>
            </w:r>
          </w:p>
        </w:tc>
        <w:tc>
          <w:tcPr>
            <w:tcW w:w="0" w:type="dxa"/>
            <w:vAlign w:val="bottom"/>
          </w:tcPr>
          <w:p>
            <w:pPr>
              <w:spacing w:after="0"/>
              <w:rPr>
                <w:sz w:val="1"/>
                <w:szCs w:val="1"/>
                <w:color w:val="auto"/>
              </w:rPr>
            </w:pPr>
          </w:p>
        </w:tc>
      </w:tr>
      <w:tr>
        <w:trPr>
          <w:trHeight w:val="105"/>
        </w:trPr>
        <w:tc>
          <w:tcPr>
            <w:tcW w:w="1800" w:type="dxa"/>
            <w:vAlign w:val="bottom"/>
            <w:tcBorders>
              <w:left w:val="single" w:sz="8" w:color="CCCCCC"/>
            </w:tcBorders>
            <w:vMerge w:val="continue"/>
          </w:tcPr>
          <w:p>
            <w:pPr>
              <w:spacing w:after="0"/>
              <w:rPr>
                <w:sz w:val="9"/>
                <w:szCs w:val="9"/>
                <w:color w:val="auto"/>
              </w:rPr>
            </w:pPr>
          </w:p>
        </w:tc>
        <w:tc>
          <w:tcPr>
            <w:tcW w:w="4240" w:type="dxa"/>
            <w:vAlign w:val="bottom"/>
            <w:tcBorders>
              <w:right w:val="single" w:sz="8" w:color="CCCCCC"/>
            </w:tcBorders>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60" w:type="dxa"/>
            <w:vAlign w:val="bottom"/>
            <w:tcBorders>
              <w:right w:val="single" w:sz="8" w:color="CCCCCC"/>
            </w:tcBorders>
            <w:vMerge w:val="restart"/>
          </w:tcPr>
          <w:p>
            <w:pPr>
              <w:ind w:left="11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81"/>
        </w:trPr>
        <w:tc>
          <w:tcPr>
            <w:tcW w:w="1800" w:type="dxa"/>
            <w:vAlign w:val="bottom"/>
            <w:tcBorders>
              <w:left w:val="single" w:sz="8" w:color="CCCCCC"/>
            </w:tcBorders>
          </w:tcPr>
          <w:p>
            <w:pPr>
              <w:spacing w:after="0"/>
              <w:rPr>
                <w:sz w:val="7"/>
                <w:szCs w:val="7"/>
                <w:color w:val="auto"/>
              </w:rPr>
            </w:pPr>
          </w:p>
        </w:tc>
        <w:tc>
          <w:tcPr>
            <w:tcW w:w="4240" w:type="dxa"/>
            <w:vAlign w:val="bottom"/>
            <w:tcBorders>
              <w:right w:val="single" w:sz="8" w:color="CCCCCC"/>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306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40" w:type="dxa"/>
            <w:vAlign w:val="bottom"/>
            <w:tcBorders>
              <w:left w:val="single" w:sz="8" w:color="CCCCCC"/>
              <w:bottom w:val="single" w:sz="8" w:color="7F7F7F"/>
              <w:right w:val="single" w:sz="8" w:color="CCCCCC"/>
            </w:tcBorders>
            <w:gridSpan w:val="2"/>
          </w:tcPr>
          <w:p>
            <w:pPr>
              <w:spacing w:after="0"/>
              <w:rPr>
                <w:sz w:val="14"/>
                <w:szCs w:val="14"/>
                <w:color w:val="auto"/>
              </w:rPr>
            </w:pPr>
          </w:p>
        </w:tc>
        <w:tc>
          <w:tcPr>
            <w:tcW w:w="1480" w:type="dxa"/>
            <w:vAlign w:val="bottom"/>
            <w:tcBorders>
              <w:bottom w:val="single" w:sz="8" w:color="7F7F7F"/>
            </w:tcBorders>
          </w:tcPr>
          <w:p>
            <w:pPr>
              <w:spacing w:after="0"/>
              <w:rPr>
                <w:sz w:val="14"/>
                <w:szCs w:val="14"/>
                <w:color w:val="auto"/>
              </w:rPr>
            </w:pPr>
          </w:p>
        </w:tc>
        <w:tc>
          <w:tcPr>
            <w:tcW w:w="306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40" w:type="dxa"/>
            <w:vAlign w:val="bottom"/>
            <w:tcBorders>
              <w:left w:val="single" w:sz="8" w:color="CCCCCC"/>
              <w:bottom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Recently Issued Accounting Standards Not Yet Adopted</w:t>
            </w:r>
          </w:p>
        </w:tc>
        <w:tc>
          <w:tcPr>
            <w:tcW w:w="1480" w:type="dxa"/>
            <w:vAlign w:val="bottom"/>
            <w:tcBorders>
              <w:bottom w:val="single" w:sz="8" w:color="CCCCCC"/>
            </w:tcBorders>
          </w:tcPr>
          <w:p>
            <w:pPr>
              <w:spacing w:after="0"/>
              <w:rPr>
                <w:sz w:val="17"/>
                <w:szCs w:val="17"/>
                <w:color w:val="auto"/>
              </w:rPr>
            </w:pPr>
          </w:p>
        </w:tc>
        <w:tc>
          <w:tcPr>
            <w:tcW w:w="306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00" w:type="dxa"/>
            <w:vAlign w:val="bottom"/>
            <w:tcBorders>
              <w:left w:val="single" w:sz="8" w:color="CCCCCC"/>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ASU 2016-02, Leases (Topic</w:t>
            </w:r>
          </w:p>
        </w:tc>
        <w:tc>
          <w:tcPr>
            <w:tcW w:w="4240" w:type="dxa"/>
            <w:vAlign w:val="bottom"/>
            <w:tcBorders>
              <w:right w:val="single" w:sz="8" w:color="CCCCCC"/>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This ASU supersedes existing guidance on accounting for leases in</w:t>
            </w:r>
          </w:p>
        </w:tc>
        <w:tc>
          <w:tcPr>
            <w:tcW w:w="1480" w:type="dxa"/>
            <w:vAlign w:val="bottom"/>
            <w:tcBorders>
              <w:right w:val="single" w:sz="8" w:color="CCCCCC"/>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January 1, 2019</w:t>
            </w:r>
          </w:p>
        </w:tc>
        <w:tc>
          <w:tcPr>
            <w:tcW w:w="3060" w:type="dxa"/>
            <w:vAlign w:val="bottom"/>
            <w:tcBorders>
              <w:right w:val="single" w:sz="8" w:color="CCCCCC"/>
            </w:tcBorders>
            <w:shd w:val="clear" w:color="auto" w:fill="CCEEFF"/>
          </w:tcPr>
          <w:p>
            <w:pPr>
              <w:ind w:left="20"/>
              <w:spacing w:after="0" w:line="157" w:lineRule="exact"/>
              <w:rPr>
                <w:sz w:val="20"/>
                <w:szCs w:val="20"/>
                <w:color w:val="auto"/>
              </w:rPr>
            </w:pPr>
            <w:r>
              <w:rPr>
                <w:rFonts w:ascii="Arial" w:cs="Arial" w:eastAsia="Arial" w:hAnsi="Arial"/>
                <w:sz w:val="14"/>
                <w:szCs w:val="14"/>
                <w:color w:val="auto"/>
                <w:w w:val="93"/>
              </w:rPr>
              <w:t>The Company is currently assessing the impact that</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842)</w:t>
            </w: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“Leases (Topic 840)” and generally requires all leases to be recognized</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this standard will have on its consolidated financial</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in the statement of financial position. The provisions of ASU 2016-02</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are effective for annual reporting periods beginning after December 15,</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2018; early adoption is permitted. The provisions of this ASU are to be</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CCCCCC"/>
            </w:tcBorders>
            <w:shd w:val="clear" w:color="auto" w:fill="CCEEFF"/>
          </w:tcPr>
          <w:p>
            <w:pPr>
              <w:spacing w:after="0"/>
              <w:rPr>
                <w:sz w:val="16"/>
                <w:szCs w:val="16"/>
                <w:color w:val="auto"/>
              </w:rPr>
            </w:pPr>
          </w:p>
        </w:tc>
        <w:tc>
          <w:tcPr>
            <w:tcW w:w="4240" w:type="dxa"/>
            <w:vAlign w:val="bottom"/>
            <w:tcBorders>
              <w:bottom w:val="single" w:sz="8" w:color="CCCCCC"/>
              <w:right w:val="single" w:sz="8" w:color="CCCCCC"/>
            </w:tcBorders>
            <w:shd w:val="clear" w:color="auto" w:fill="CCEEFF"/>
          </w:tcPr>
          <w:p>
            <w:pPr>
              <w:ind w:left="20"/>
              <w:spacing w:after="0"/>
              <w:rPr>
                <w:sz w:val="20"/>
                <w:szCs w:val="20"/>
                <w:color w:val="auto"/>
              </w:rPr>
            </w:pPr>
            <w:r>
              <w:rPr>
                <w:rFonts w:ascii="Arial" w:cs="Arial" w:eastAsia="Arial" w:hAnsi="Arial"/>
                <w:sz w:val="14"/>
                <w:szCs w:val="14"/>
                <w:color w:val="auto"/>
              </w:rPr>
              <w:t>applied using a modified retrospective approach.</w:t>
            </w:r>
          </w:p>
        </w:tc>
        <w:tc>
          <w:tcPr>
            <w:tcW w:w="1480" w:type="dxa"/>
            <w:vAlign w:val="bottom"/>
            <w:tcBorders>
              <w:right w:val="single" w:sz="8" w:color="CCCCCC"/>
            </w:tcBorders>
            <w:shd w:val="clear" w:color="auto" w:fill="CCEEFF"/>
          </w:tcPr>
          <w:p>
            <w:pPr>
              <w:spacing w:after="0"/>
              <w:rPr>
                <w:sz w:val="16"/>
                <w:szCs w:val="16"/>
                <w:color w:val="auto"/>
              </w:rPr>
            </w:pPr>
          </w:p>
        </w:tc>
        <w:tc>
          <w:tcPr>
            <w:tcW w:w="3060" w:type="dxa"/>
            <w:vAlign w:val="bottom"/>
            <w:tcBorders>
              <w:right w:val="single" w:sz="8" w:color="CCCCCC"/>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450" w:type="dxa"/>
        <w:tblCellMar>
          <w:top w:w="0" w:type="dxa"/>
          <w:left w:w="0" w:type="dxa"/>
          <w:bottom w:w="0" w:type="dxa"/>
          <w:right w:w="0" w:type="dxa"/>
        </w:tblCellMar>
      </w:tblPr>
      <w:tr>
        <w:trPr>
          <w:trHeight w:val="315"/>
        </w:trPr>
        <w:tc>
          <w:tcPr>
            <w:tcW w:w="1780" w:type="dxa"/>
            <w:vAlign w:val="bottom"/>
            <w:tcBorders>
              <w:top w:val="single" w:sz="8" w:color="CCCCCC"/>
              <w:left w:val="single" w:sz="8" w:color="CCCCCC"/>
            </w:tcBorders>
            <w:vMerge w:val="restart"/>
          </w:tcPr>
          <w:p>
            <w:pPr>
              <w:ind w:left="620"/>
              <w:spacing w:after="0"/>
              <w:rPr>
                <w:sz w:val="20"/>
                <w:szCs w:val="20"/>
                <w:color w:val="auto"/>
              </w:rPr>
            </w:pPr>
            <w:r>
              <w:rPr>
                <w:rFonts w:ascii="Arial" w:cs="Arial" w:eastAsia="Arial" w:hAnsi="Arial"/>
                <w:sz w:val="14"/>
                <w:szCs w:val="14"/>
                <w:b w:val="1"/>
                <w:bCs w:val="1"/>
                <w:color w:val="auto"/>
              </w:rPr>
              <w:t>Standard</w:t>
            </w:r>
          </w:p>
        </w:tc>
        <w:tc>
          <w:tcPr>
            <w:tcW w:w="4260" w:type="dxa"/>
            <w:vAlign w:val="bottom"/>
            <w:tcBorders>
              <w:top w:val="single" w:sz="8" w:color="CCCCCC"/>
              <w:right w:val="single" w:sz="8" w:color="CCCCCC"/>
            </w:tcBorders>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080" w:type="dxa"/>
            <w:vAlign w:val="bottom"/>
            <w:tcBorders>
              <w:top w:val="single" w:sz="8" w:color="CCCCCC"/>
              <w:right w:val="single" w:sz="8" w:color="CCCCCC"/>
            </w:tcBorders>
          </w:tcPr>
          <w:p>
            <w:pPr>
              <w:ind w:left="20"/>
              <w:spacing w:after="0"/>
              <w:rPr>
                <w:sz w:val="20"/>
                <w:szCs w:val="20"/>
                <w:color w:val="auto"/>
              </w:rPr>
            </w:pPr>
            <w:r>
              <w:rPr>
                <w:rFonts w:ascii="Arial" w:cs="Arial" w:eastAsia="Arial" w:hAnsi="Arial"/>
                <w:sz w:val="14"/>
                <w:szCs w:val="14"/>
                <w:b w:val="1"/>
                <w:bCs w:val="1"/>
                <w:color w:val="auto"/>
                <w:w w:val="93"/>
              </w:rPr>
              <w:t>Effect on the Condensed Consolidated Financial</w:t>
            </w:r>
          </w:p>
        </w:tc>
        <w:tc>
          <w:tcPr>
            <w:tcW w:w="0" w:type="dxa"/>
            <w:vAlign w:val="bottom"/>
          </w:tcPr>
          <w:p>
            <w:pPr>
              <w:spacing w:after="0"/>
              <w:rPr>
                <w:sz w:val="1"/>
                <w:szCs w:val="1"/>
                <w:color w:val="auto"/>
              </w:rPr>
            </w:pPr>
          </w:p>
        </w:tc>
      </w:tr>
      <w:tr>
        <w:trPr>
          <w:trHeight w:val="105"/>
        </w:trPr>
        <w:tc>
          <w:tcPr>
            <w:tcW w:w="1780" w:type="dxa"/>
            <w:vAlign w:val="bottom"/>
            <w:tcBorders>
              <w:left w:val="single" w:sz="8" w:color="CCCCCC"/>
            </w:tcBorders>
            <w:vMerge w:val="continue"/>
          </w:tcPr>
          <w:p>
            <w:pPr>
              <w:spacing w:after="0"/>
              <w:rPr>
                <w:sz w:val="9"/>
                <w:szCs w:val="9"/>
                <w:color w:val="auto"/>
              </w:rPr>
            </w:pPr>
          </w:p>
        </w:tc>
        <w:tc>
          <w:tcPr>
            <w:tcW w:w="4260" w:type="dxa"/>
            <w:vAlign w:val="bottom"/>
            <w:tcBorders>
              <w:right w:val="single" w:sz="8" w:color="CCCCCC"/>
            </w:tcBorders>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80" w:type="dxa"/>
            <w:vAlign w:val="bottom"/>
            <w:tcBorders>
              <w:right w:val="single" w:sz="8" w:color="CCCCCC"/>
            </w:tcBorders>
            <w:vMerge w:val="restart"/>
          </w:tcPr>
          <w:p>
            <w:pPr>
              <w:ind w:left="11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81"/>
        </w:trPr>
        <w:tc>
          <w:tcPr>
            <w:tcW w:w="1780" w:type="dxa"/>
            <w:vAlign w:val="bottom"/>
            <w:tcBorders>
              <w:left w:val="single" w:sz="8" w:color="CCCCCC"/>
            </w:tcBorders>
          </w:tcPr>
          <w:p>
            <w:pPr>
              <w:spacing w:after="0"/>
              <w:rPr>
                <w:sz w:val="7"/>
                <w:szCs w:val="7"/>
                <w:color w:val="auto"/>
              </w:rPr>
            </w:pPr>
          </w:p>
        </w:tc>
        <w:tc>
          <w:tcPr>
            <w:tcW w:w="4260" w:type="dxa"/>
            <w:vAlign w:val="bottom"/>
            <w:tcBorders>
              <w:right w:val="single" w:sz="8" w:color="CCCCCC"/>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308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40" w:type="dxa"/>
            <w:vAlign w:val="bottom"/>
            <w:tcBorders>
              <w:left w:val="single" w:sz="8" w:color="CCCCCC"/>
              <w:bottom w:val="single" w:sz="8" w:color="7F7F7F"/>
              <w:right w:val="single" w:sz="8" w:color="CCCCCC"/>
            </w:tcBorders>
            <w:gridSpan w:val="2"/>
          </w:tcPr>
          <w:p>
            <w:pPr>
              <w:spacing w:after="0"/>
              <w:rPr>
                <w:sz w:val="14"/>
                <w:szCs w:val="14"/>
                <w:color w:val="auto"/>
              </w:rPr>
            </w:pPr>
          </w:p>
        </w:tc>
        <w:tc>
          <w:tcPr>
            <w:tcW w:w="1480" w:type="dxa"/>
            <w:vAlign w:val="bottom"/>
            <w:tcBorders>
              <w:bottom w:val="single" w:sz="8" w:color="7F7F7F"/>
            </w:tcBorders>
          </w:tcPr>
          <w:p>
            <w:pPr>
              <w:spacing w:after="0"/>
              <w:rPr>
                <w:sz w:val="14"/>
                <w:szCs w:val="14"/>
                <w:color w:val="auto"/>
              </w:rPr>
            </w:pPr>
          </w:p>
        </w:tc>
        <w:tc>
          <w:tcPr>
            <w:tcW w:w="308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40" w:type="dxa"/>
            <w:vAlign w:val="bottom"/>
            <w:tcBorders>
              <w:left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Accounting Standards Adopted During the Three Months Ended March 31, 2018</w:t>
            </w:r>
          </w:p>
        </w:tc>
        <w:tc>
          <w:tcPr>
            <w:tcW w:w="1480" w:type="dxa"/>
            <w:vAlign w:val="bottom"/>
          </w:tcPr>
          <w:p>
            <w:pPr>
              <w:spacing w:after="0"/>
              <w:rPr>
                <w:sz w:val="17"/>
                <w:szCs w:val="17"/>
                <w:color w:val="auto"/>
              </w:rPr>
            </w:pPr>
          </w:p>
        </w:tc>
        <w:tc>
          <w:tcPr>
            <w:tcW w:w="308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780" w:type="dxa"/>
            <w:vAlign w:val="bottom"/>
            <w:tcBorders>
              <w:left w:val="single" w:sz="8" w:color="CCCCCC"/>
            </w:tcBorders>
            <w:shd w:val="clear" w:color="auto" w:fill="CCEEFF"/>
          </w:tcPr>
          <w:p>
            <w:pPr>
              <w:ind w:left="40"/>
              <w:spacing w:after="0"/>
              <w:rPr>
                <w:sz w:val="20"/>
                <w:szCs w:val="20"/>
                <w:color w:val="auto"/>
              </w:rPr>
            </w:pPr>
            <w:r>
              <w:rPr>
                <w:rFonts w:ascii="Arial" w:cs="Arial" w:eastAsia="Arial" w:hAnsi="Arial"/>
                <w:sz w:val="14"/>
                <w:szCs w:val="14"/>
                <w:color w:val="auto"/>
                <w:w w:val="94"/>
              </w:rPr>
              <w:t>ASU 2017-09, Compensation</w:t>
            </w:r>
          </w:p>
        </w:tc>
        <w:tc>
          <w:tcPr>
            <w:tcW w:w="4260" w:type="dxa"/>
            <w:vAlign w:val="bottom"/>
            <w:tcBorders>
              <w:right w:val="single" w:sz="8" w:color="CCCCCC"/>
            </w:tcBorders>
            <w:shd w:val="clear" w:color="auto" w:fill="CCEEFF"/>
          </w:tcPr>
          <w:p>
            <w:pPr>
              <w:ind w:left="40"/>
              <w:spacing w:after="0"/>
              <w:rPr>
                <w:sz w:val="20"/>
                <w:szCs w:val="20"/>
                <w:color w:val="auto"/>
              </w:rPr>
            </w:pPr>
            <w:r>
              <w:rPr>
                <w:rFonts w:ascii="Arial" w:cs="Arial" w:eastAsia="Arial" w:hAnsi="Arial"/>
                <w:sz w:val="14"/>
                <w:szCs w:val="14"/>
                <w:color w:val="auto"/>
              </w:rPr>
              <w:t>This ASU clarifies when to account for a change to the terms or</w:t>
            </w:r>
          </w:p>
        </w:tc>
        <w:tc>
          <w:tcPr>
            <w:tcW w:w="1480" w:type="dxa"/>
            <w:vAlign w:val="bottom"/>
            <w:tcBorders>
              <w:right w:val="single" w:sz="8" w:color="CCCCCC"/>
            </w:tcBorders>
            <w:shd w:val="clear" w:color="auto" w:fill="CCEEFF"/>
          </w:tcPr>
          <w:p>
            <w:pPr>
              <w:jc w:val="center"/>
              <w:spacing w:after="0"/>
              <w:rPr>
                <w:sz w:val="20"/>
                <w:szCs w:val="20"/>
                <w:color w:val="auto"/>
              </w:rPr>
            </w:pPr>
            <w:r>
              <w:rPr>
                <w:rFonts w:ascii="Arial" w:cs="Arial" w:eastAsia="Arial" w:hAnsi="Arial"/>
                <w:sz w:val="14"/>
                <w:szCs w:val="14"/>
                <w:color w:val="auto"/>
                <w:w w:val="91"/>
              </w:rPr>
              <w:t>January 1, 2018</w:t>
            </w:r>
          </w:p>
        </w:tc>
        <w:tc>
          <w:tcPr>
            <w:tcW w:w="3080" w:type="dxa"/>
            <w:vAlign w:val="bottom"/>
            <w:tcBorders>
              <w:right w:val="single" w:sz="8" w:color="CCCCCC"/>
            </w:tcBorders>
            <w:shd w:val="clear" w:color="auto" w:fill="CCEEFF"/>
          </w:tcPr>
          <w:p>
            <w:pPr>
              <w:ind w:left="20"/>
              <w:spacing w:after="0"/>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—Stock Compensation</w:t>
            </w:r>
          </w:p>
        </w:tc>
        <w:tc>
          <w:tcPr>
            <w:tcW w:w="4260" w:type="dxa"/>
            <w:vAlign w:val="bottom"/>
            <w:tcBorders>
              <w:righ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conditions of a share–based payment award as a modification. Under</w:t>
            </w:r>
          </w:p>
        </w:tc>
        <w:tc>
          <w:tcPr>
            <w:tcW w:w="1480" w:type="dxa"/>
            <w:vAlign w:val="bottom"/>
            <w:tcBorders>
              <w:right w:val="single" w:sz="8" w:color="CCCCCC"/>
            </w:tcBorders>
            <w:shd w:val="clear" w:color="auto" w:fill="CCEEFF"/>
          </w:tcPr>
          <w:p>
            <w:pPr>
              <w:spacing w:after="0"/>
              <w:rPr>
                <w:sz w:val="12"/>
                <w:szCs w:val="12"/>
                <w:color w:val="auto"/>
              </w:rPr>
            </w:pPr>
          </w:p>
        </w:tc>
        <w:tc>
          <w:tcPr>
            <w:tcW w:w="308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(Topic 718): Scope of</w:t>
            </w:r>
          </w:p>
        </w:tc>
        <w:tc>
          <w:tcPr>
            <w:tcW w:w="4260" w:type="dxa"/>
            <w:vAlign w:val="bottom"/>
            <w:tcBorders>
              <w:righ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the new guidance, modification accounting is required only if the fair</w:t>
            </w:r>
          </w:p>
        </w:tc>
        <w:tc>
          <w:tcPr>
            <w:tcW w:w="1480" w:type="dxa"/>
            <w:vAlign w:val="bottom"/>
            <w:tcBorders>
              <w:right w:val="single" w:sz="8" w:color="CCCCCC"/>
            </w:tcBorders>
            <w:shd w:val="clear" w:color="auto" w:fill="CCEEFF"/>
          </w:tcPr>
          <w:p>
            <w:pPr>
              <w:spacing w:after="0"/>
              <w:rPr>
                <w:sz w:val="12"/>
                <w:szCs w:val="12"/>
                <w:color w:val="auto"/>
              </w:rPr>
            </w:pPr>
          </w:p>
        </w:tc>
        <w:tc>
          <w:tcPr>
            <w:tcW w:w="308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Modification Accounting</w:t>
            </w:r>
          </w:p>
        </w:tc>
        <w:tc>
          <w:tcPr>
            <w:tcW w:w="4260" w:type="dxa"/>
            <w:vAlign w:val="bottom"/>
            <w:tcBorders>
              <w:righ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value, vesting conditions or classification of the award (as equity or</w:t>
            </w:r>
          </w:p>
        </w:tc>
        <w:tc>
          <w:tcPr>
            <w:tcW w:w="1480" w:type="dxa"/>
            <w:vAlign w:val="bottom"/>
            <w:tcBorders>
              <w:right w:val="single" w:sz="8" w:color="CCCCCC"/>
            </w:tcBorders>
            <w:shd w:val="clear" w:color="auto" w:fill="CCEEFF"/>
          </w:tcPr>
          <w:p>
            <w:pPr>
              <w:spacing w:after="0"/>
              <w:rPr>
                <w:sz w:val="12"/>
                <w:szCs w:val="12"/>
                <w:color w:val="auto"/>
              </w:rPr>
            </w:pPr>
          </w:p>
        </w:tc>
        <w:tc>
          <w:tcPr>
            <w:tcW w:w="3080" w:type="dxa"/>
            <w:vAlign w:val="bottom"/>
            <w:tcBorders>
              <w:right w:val="single" w:sz="8" w:color="CCCCCC"/>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CCCCCC"/>
            </w:tcBorders>
            <w:shd w:val="clear" w:color="auto" w:fill="CCEEFF"/>
          </w:tcPr>
          <w:p>
            <w:pPr>
              <w:spacing w:after="0"/>
              <w:rPr>
                <w:sz w:val="15"/>
                <w:szCs w:val="15"/>
                <w:color w:val="auto"/>
              </w:rPr>
            </w:pPr>
          </w:p>
        </w:tc>
        <w:tc>
          <w:tcPr>
            <w:tcW w:w="4260" w:type="dxa"/>
            <w:vAlign w:val="bottom"/>
            <w:tcBorders>
              <w:right w:val="single" w:sz="8" w:color="CCCCCC"/>
            </w:tcBorders>
            <w:shd w:val="clear" w:color="auto" w:fill="CCEEFF"/>
          </w:tcPr>
          <w:p>
            <w:pPr>
              <w:ind w:left="40"/>
              <w:spacing w:after="0"/>
              <w:rPr>
                <w:sz w:val="20"/>
                <w:szCs w:val="20"/>
                <w:color w:val="auto"/>
              </w:rPr>
            </w:pPr>
            <w:r>
              <w:rPr>
                <w:rFonts w:ascii="Arial" w:cs="Arial" w:eastAsia="Arial" w:hAnsi="Arial"/>
                <w:sz w:val="14"/>
                <w:szCs w:val="14"/>
                <w:color w:val="auto"/>
              </w:rPr>
              <w:t>liability) changes as a result of the change in terms or conditions.</w:t>
            </w:r>
          </w:p>
        </w:tc>
        <w:tc>
          <w:tcPr>
            <w:tcW w:w="1480" w:type="dxa"/>
            <w:vAlign w:val="bottom"/>
            <w:tcBorders>
              <w:right w:val="single" w:sz="8" w:color="CCCCCC"/>
            </w:tcBorders>
            <w:shd w:val="clear" w:color="auto" w:fill="CCEEFF"/>
          </w:tcPr>
          <w:p>
            <w:pPr>
              <w:spacing w:after="0"/>
              <w:rPr>
                <w:sz w:val="15"/>
                <w:szCs w:val="15"/>
                <w:color w:val="auto"/>
              </w:rPr>
            </w:pPr>
          </w:p>
        </w:tc>
        <w:tc>
          <w:tcPr>
            <w:tcW w:w="3080" w:type="dxa"/>
            <w:vAlign w:val="bottom"/>
            <w:tcBorders>
              <w:right w:val="single" w:sz="8" w:color="CCCCCC"/>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780" w:type="dxa"/>
            <w:vAlign w:val="bottom"/>
            <w:tcBorders>
              <w:left w:val="single" w:sz="8" w:color="CCCCCC"/>
            </w:tcBorders>
            <w:shd w:val="clear" w:color="auto" w:fill="CCEEFF"/>
          </w:tcPr>
          <w:p>
            <w:pPr>
              <w:spacing w:after="0"/>
              <w:rPr>
                <w:sz w:val="22"/>
                <w:szCs w:val="22"/>
                <w:color w:val="auto"/>
              </w:rPr>
            </w:pPr>
          </w:p>
        </w:tc>
        <w:tc>
          <w:tcPr>
            <w:tcW w:w="4260" w:type="dxa"/>
            <w:vAlign w:val="bottom"/>
            <w:tcBorders>
              <w:right w:val="single" w:sz="8" w:color="CCCCCC"/>
            </w:tcBorders>
            <w:shd w:val="clear" w:color="auto" w:fill="CCEEFF"/>
          </w:tcPr>
          <w:p>
            <w:pPr>
              <w:ind w:left="40"/>
              <w:spacing w:after="0"/>
              <w:rPr>
                <w:sz w:val="20"/>
                <w:szCs w:val="20"/>
                <w:color w:val="auto"/>
              </w:rPr>
            </w:pPr>
            <w:r>
              <w:rPr>
                <w:rFonts w:ascii="Arial" w:cs="Arial" w:eastAsia="Arial" w:hAnsi="Arial"/>
                <w:sz w:val="14"/>
                <w:szCs w:val="14"/>
                <w:color w:val="auto"/>
                <w:w w:val="96"/>
              </w:rPr>
              <w:t>The new guidance will be applied prospectively to awards modified on</w:t>
            </w:r>
          </w:p>
        </w:tc>
        <w:tc>
          <w:tcPr>
            <w:tcW w:w="1480" w:type="dxa"/>
            <w:vAlign w:val="bottom"/>
            <w:tcBorders>
              <w:right w:val="single" w:sz="8" w:color="CCCCCC"/>
            </w:tcBorders>
            <w:shd w:val="clear" w:color="auto" w:fill="CCEEFF"/>
          </w:tcPr>
          <w:p>
            <w:pPr>
              <w:spacing w:after="0"/>
              <w:rPr>
                <w:sz w:val="22"/>
                <w:szCs w:val="22"/>
                <w:color w:val="auto"/>
              </w:rPr>
            </w:pPr>
          </w:p>
        </w:tc>
        <w:tc>
          <w:tcPr>
            <w:tcW w:w="3080" w:type="dxa"/>
            <w:vAlign w:val="bottom"/>
            <w:tcBorders>
              <w:right w:val="single" w:sz="8" w:color="CCCCCC"/>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shd w:val="clear" w:color="auto" w:fill="CCEEFF"/>
          </w:tcPr>
          <w:p>
            <w:pPr>
              <w:spacing w:after="0"/>
              <w:rPr>
                <w:sz w:val="12"/>
                <w:szCs w:val="12"/>
                <w:color w:val="auto"/>
              </w:rPr>
            </w:pPr>
          </w:p>
        </w:tc>
        <w:tc>
          <w:tcPr>
            <w:tcW w:w="4260" w:type="dxa"/>
            <w:vAlign w:val="bottom"/>
            <w:tcBorders>
              <w:righ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or after the adoption date. The guidance is effective for annual periods,</w:t>
            </w:r>
          </w:p>
        </w:tc>
        <w:tc>
          <w:tcPr>
            <w:tcW w:w="1480" w:type="dxa"/>
            <w:vAlign w:val="bottom"/>
            <w:tcBorders>
              <w:right w:val="single" w:sz="8" w:color="CCCCCC"/>
            </w:tcBorders>
            <w:shd w:val="clear" w:color="auto" w:fill="CCEEFF"/>
          </w:tcPr>
          <w:p>
            <w:pPr>
              <w:spacing w:after="0"/>
              <w:rPr>
                <w:sz w:val="12"/>
                <w:szCs w:val="12"/>
                <w:color w:val="auto"/>
              </w:rPr>
            </w:pPr>
          </w:p>
        </w:tc>
        <w:tc>
          <w:tcPr>
            <w:tcW w:w="3080" w:type="dxa"/>
            <w:vAlign w:val="bottom"/>
            <w:tcBorders>
              <w:right w:val="single" w:sz="8" w:color="CCCCCC"/>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shd w:val="clear" w:color="auto" w:fill="CCEEFF"/>
          </w:tcPr>
          <w:p>
            <w:pPr>
              <w:spacing w:after="0"/>
              <w:rPr>
                <w:sz w:val="12"/>
                <w:szCs w:val="12"/>
                <w:color w:val="auto"/>
              </w:rPr>
            </w:pPr>
          </w:p>
        </w:tc>
        <w:tc>
          <w:tcPr>
            <w:tcW w:w="4260" w:type="dxa"/>
            <w:vAlign w:val="bottom"/>
            <w:tcBorders>
              <w:righ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and interim periods within those annual periods, beginning after</w:t>
            </w:r>
          </w:p>
        </w:tc>
        <w:tc>
          <w:tcPr>
            <w:tcW w:w="1480" w:type="dxa"/>
            <w:vAlign w:val="bottom"/>
            <w:tcBorders>
              <w:right w:val="single" w:sz="8" w:color="CCCCCC"/>
            </w:tcBorders>
            <w:shd w:val="clear" w:color="auto" w:fill="CCEEFF"/>
          </w:tcPr>
          <w:p>
            <w:pPr>
              <w:spacing w:after="0"/>
              <w:rPr>
                <w:sz w:val="12"/>
                <w:szCs w:val="12"/>
                <w:color w:val="auto"/>
              </w:rPr>
            </w:pPr>
          </w:p>
        </w:tc>
        <w:tc>
          <w:tcPr>
            <w:tcW w:w="3080" w:type="dxa"/>
            <w:vAlign w:val="bottom"/>
            <w:tcBorders>
              <w:right w:val="single" w:sz="8" w:color="CCCCCC"/>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80" w:type="dxa"/>
            <w:vAlign w:val="bottom"/>
            <w:tcBorders>
              <w:left w:val="single" w:sz="8" w:color="CCCCCC"/>
              <w:bottom w:val="single" w:sz="8" w:color="CCCCCC"/>
            </w:tcBorders>
            <w:shd w:val="clear" w:color="auto" w:fill="CCEEFF"/>
          </w:tcPr>
          <w:p>
            <w:pPr>
              <w:spacing w:after="0"/>
              <w:rPr>
                <w:sz w:val="16"/>
                <w:szCs w:val="16"/>
                <w:color w:val="auto"/>
              </w:rPr>
            </w:pPr>
          </w:p>
        </w:tc>
        <w:tc>
          <w:tcPr>
            <w:tcW w:w="4260" w:type="dxa"/>
            <w:vAlign w:val="bottom"/>
            <w:tcBorders>
              <w:bottom w:val="single" w:sz="8" w:color="CCCCCC"/>
              <w:right w:val="single" w:sz="8" w:color="CCCCCC"/>
            </w:tcBorders>
            <w:shd w:val="clear" w:color="auto" w:fill="CCEEFF"/>
          </w:tcPr>
          <w:p>
            <w:pPr>
              <w:ind w:left="40"/>
              <w:spacing w:after="0"/>
              <w:rPr>
                <w:sz w:val="20"/>
                <w:szCs w:val="20"/>
                <w:color w:val="auto"/>
              </w:rPr>
            </w:pPr>
            <w:r>
              <w:rPr>
                <w:rFonts w:ascii="Arial" w:cs="Arial" w:eastAsia="Arial" w:hAnsi="Arial"/>
                <w:sz w:val="14"/>
                <w:szCs w:val="14"/>
                <w:color w:val="auto"/>
              </w:rPr>
              <w:t>December 15, 2017 for all entities.</w:t>
            </w:r>
          </w:p>
        </w:tc>
        <w:tc>
          <w:tcPr>
            <w:tcW w:w="1480" w:type="dxa"/>
            <w:vAlign w:val="bottom"/>
            <w:tcBorders>
              <w:bottom w:val="single" w:sz="8" w:color="CCCCCC"/>
              <w:right w:val="single" w:sz="8" w:color="CCCCCC"/>
            </w:tcBorders>
            <w:shd w:val="clear" w:color="auto" w:fill="CCEEFF"/>
          </w:tcPr>
          <w:p>
            <w:pPr>
              <w:spacing w:after="0"/>
              <w:rPr>
                <w:sz w:val="16"/>
                <w:szCs w:val="16"/>
                <w:color w:val="auto"/>
              </w:rPr>
            </w:pPr>
          </w:p>
        </w:tc>
        <w:tc>
          <w:tcPr>
            <w:tcW w:w="3080" w:type="dxa"/>
            <w:vAlign w:val="bottom"/>
            <w:tcBorders>
              <w:bottom w:val="single" w:sz="8" w:color="CCCCCC"/>
              <w:right w:val="single" w:sz="8" w:color="CCCCCC"/>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80" w:type="dxa"/>
            <w:vAlign w:val="bottom"/>
            <w:tcBorders>
              <w:left w:val="single" w:sz="8" w:color="CCCCCC"/>
            </w:tcBorders>
          </w:tcPr>
          <w:p>
            <w:pPr>
              <w:ind w:left="40"/>
              <w:spacing w:after="0" w:line="157" w:lineRule="exact"/>
              <w:rPr>
                <w:sz w:val="20"/>
                <w:szCs w:val="20"/>
                <w:color w:val="auto"/>
              </w:rPr>
            </w:pPr>
            <w:r>
              <w:rPr>
                <w:rFonts w:ascii="Arial" w:cs="Arial" w:eastAsia="Arial" w:hAnsi="Arial"/>
                <w:sz w:val="14"/>
                <w:szCs w:val="14"/>
                <w:color w:val="auto"/>
                <w:w w:val="95"/>
              </w:rPr>
              <w:t>ASU 2014-09, Revenue from</w:t>
            </w:r>
          </w:p>
        </w:tc>
        <w:tc>
          <w:tcPr>
            <w:tcW w:w="4260" w:type="dxa"/>
            <w:vAlign w:val="bottom"/>
            <w:tcBorders>
              <w:right w:val="single" w:sz="8" w:color="CCCCCC"/>
            </w:tcBorders>
          </w:tcPr>
          <w:p>
            <w:pPr>
              <w:ind w:left="40"/>
              <w:spacing w:after="0" w:line="157" w:lineRule="exact"/>
              <w:rPr>
                <w:sz w:val="20"/>
                <w:szCs w:val="20"/>
                <w:color w:val="auto"/>
              </w:rPr>
            </w:pPr>
            <w:r>
              <w:rPr>
                <w:rFonts w:ascii="Arial" w:cs="Arial" w:eastAsia="Arial" w:hAnsi="Arial"/>
                <w:sz w:val="14"/>
                <w:szCs w:val="14"/>
                <w:color w:val="auto"/>
                <w:w w:val="97"/>
              </w:rPr>
              <w:t>This ASU and related amendments affect any entity that either enters</w:t>
            </w:r>
          </w:p>
        </w:tc>
        <w:tc>
          <w:tcPr>
            <w:tcW w:w="1480" w:type="dxa"/>
            <w:vAlign w:val="bottom"/>
            <w:tcBorders>
              <w:right w:val="single" w:sz="8" w:color="CCCCCC"/>
            </w:tcBorders>
          </w:tcPr>
          <w:p>
            <w:pPr>
              <w:jc w:val="center"/>
              <w:spacing w:after="0" w:line="157" w:lineRule="exact"/>
              <w:rPr>
                <w:sz w:val="20"/>
                <w:szCs w:val="20"/>
                <w:color w:val="auto"/>
              </w:rPr>
            </w:pPr>
            <w:r>
              <w:rPr>
                <w:rFonts w:ascii="Arial" w:cs="Arial" w:eastAsia="Arial" w:hAnsi="Arial"/>
                <w:sz w:val="14"/>
                <w:szCs w:val="14"/>
                <w:color w:val="auto"/>
                <w:w w:val="91"/>
              </w:rPr>
              <w:t>January 1, 2018</w:t>
            </w:r>
          </w:p>
        </w:tc>
        <w:tc>
          <w:tcPr>
            <w:tcW w:w="3080" w:type="dxa"/>
            <w:vAlign w:val="bottom"/>
            <w:tcBorders>
              <w:right w:val="single" w:sz="8" w:color="CCCCCC"/>
            </w:tcBorders>
          </w:tcPr>
          <w:p>
            <w:pPr>
              <w:ind w:left="20"/>
              <w:spacing w:after="0" w:line="157" w:lineRule="exact"/>
              <w:rPr>
                <w:sz w:val="20"/>
                <w:szCs w:val="20"/>
                <w:color w:val="auto"/>
              </w:rPr>
            </w:pPr>
            <w:r>
              <w:rPr>
                <w:rFonts w:ascii="Arial" w:cs="Arial" w:eastAsia="Arial" w:hAnsi="Arial"/>
                <w:sz w:val="14"/>
                <w:szCs w:val="14"/>
                <w:color w:val="auto"/>
              </w:rPr>
              <w:t>See Note 3, "Revenue from Contracts with</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Contracts with Customers</w:t>
            </w: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3"/>
              </w:rPr>
              <w:t>into contracts with customers to transfer goods or services or enters into</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8"/>
              </w:rPr>
              <w:t>Customers" for the required disclosures related to</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(Topic 606) and related</w:t>
            </w: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5"/>
              </w:rPr>
              <w:t>contracts for the transfer of nonfinancial assets, unless those contracts</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the impact of adopting this standard.</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amendments</w:t>
            </w: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rPr>
              <w:t>are within the scope of other standards. The guidance in this ASU</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2"/>
              </w:rPr>
              <w:t>supersedes the revenue recognition requirements in Topic 605, Revenue</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6"/>
              </w:rPr>
              <w:t>Recognition and most industry-specific guidance. The core principle of</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2"/>
              </w:rPr>
              <w:t>the guidance is that an entity should recognize revenue upon the transfer</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consolidated balance sheets and statements of</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6"/>
              </w:rPr>
              <w:t>of promised goods or services to customers in an amount that reflects</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149"/>
        </w:trPr>
        <w:tc>
          <w:tcPr>
            <w:tcW w:w="178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40"/>
              <w:spacing w:after="0" w:line="149" w:lineRule="exact"/>
              <w:rPr>
                <w:sz w:val="20"/>
                <w:szCs w:val="20"/>
                <w:color w:val="auto"/>
              </w:rPr>
            </w:pPr>
            <w:r>
              <w:rPr>
                <w:rFonts w:ascii="Arial" w:cs="Arial" w:eastAsia="Arial" w:hAnsi="Arial"/>
                <w:sz w:val="14"/>
                <w:szCs w:val="14"/>
                <w:color w:val="auto"/>
                <w:w w:val="95"/>
              </w:rPr>
              <w:t>the consideration to which the entity expects to be entitled in exchange</w:t>
            </w:r>
          </w:p>
        </w:tc>
        <w:tc>
          <w:tcPr>
            <w:tcW w:w="148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80" w:type="dxa"/>
            <w:vAlign w:val="bottom"/>
            <w:tcBorders>
              <w:left w:val="single" w:sz="8" w:color="CCCCCC"/>
              <w:bottom w:val="single" w:sz="8" w:color="CCCCCC"/>
            </w:tcBorders>
          </w:tcPr>
          <w:p>
            <w:pPr>
              <w:spacing w:after="0"/>
              <w:rPr>
                <w:sz w:val="16"/>
                <w:szCs w:val="16"/>
                <w:color w:val="auto"/>
              </w:rPr>
            </w:pPr>
          </w:p>
        </w:tc>
        <w:tc>
          <w:tcPr>
            <w:tcW w:w="4260" w:type="dxa"/>
            <w:vAlign w:val="bottom"/>
            <w:tcBorders>
              <w:bottom w:val="single" w:sz="8" w:color="CCCCCC"/>
              <w:right w:val="single" w:sz="8" w:color="CCCCCC"/>
            </w:tcBorders>
          </w:tcPr>
          <w:p>
            <w:pPr>
              <w:ind w:left="40"/>
              <w:spacing w:after="0"/>
              <w:rPr>
                <w:sz w:val="20"/>
                <w:szCs w:val="20"/>
                <w:color w:val="auto"/>
              </w:rPr>
            </w:pPr>
            <w:r>
              <w:rPr>
                <w:rFonts w:ascii="Arial" w:cs="Arial" w:eastAsia="Arial" w:hAnsi="Arial"/>
                <w:sz w:val="14"/>
                <w:szCs w:val="14"/>
                <w:color w:val="auto"/>
              </w:rPr>
              <w:t>for those goods or services.</w:t>
            </w:r>
          </w:p>
        </w:tc>
        <w:tc>
          <w:tcPr>
            <w:tcW w:w="1480" w:type="dxa"/>
            <w:vAlign w:val="bottom"/>
            <w:tcBorders>
              <w:bottom w:val="single" w:sz="8" w:color="CCCCCC"/>
              <w:right w:val="single" w:sz="8" w:color="CCCCCC"/>
            </w:tcBorders>
          </w:tcPr>
          <w:p>
            <w:pPr>
              <w:spacing w:after="0"/>
              <w:rPr>
                <w:sz w:val="16"/>
                <w:szCs w:val="16"/>
                <w:color w:val="auto"/>
              </w:rPr>
            </w:pPr>
          </w:p>
        </w:tc>
        <w:tc>
          <w:tcPr>
            <w:tcW w:w="308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For the Company’s accounting policy for revenue recognition under ASC 605, refer to Item 8 of the Annual Report on Form 10-K for the year ended December 31, 2017. The adoption of ASC 606 did not have a material impact on the Company’s consolidated financial position, results of operations, equity or cash flows as of the adoption date or for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revenue by revenue source for the three months ended March 31, 2018:</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Reportable Segments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ind w:left="1100"/>
              <w:spacing w:after="0"/>
              <w:rPr>
                <w:sz w:val="20"/>
                <w:szCs w:val="20"/>
                <w:color w:val="auto"/>
              </w:rPr>
            </w:pPr>
            <w:r>
              <w:rPr>
                <w:rFonts w:ascii="Arial" w:cs="Arial" w:eastAsia="Arial" w:hAnsi="Arial"/>
                <w:sz w:val="18"/>
                <w:szCs w:val="18"/>
                <w:b w:val="1"/>
                <w:bCs w:val="1"/>
                <w:color w:val="auto"/>
              </w:rPr>
              <w:t>Major Products/Service Lines (in thousands)</w:t>
            </w:r>
          </w:p>
        </w:tc>
        <w:tc>
          <w:tcPr>
            <w:tcW w:w="3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International</w:t>
            </w: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6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Product revenue, net</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82,068</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License and royalty revenues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71,488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300" w:right="380" w:hanging="644"/>
        <w:spacing w:after="0" w:line="255" w:lineRule="auto"/>
        <w:tabs>
          <w:tab w:leader="none" w:pos="1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principal products include DEFINITY, TechneLite and Xenon and are categorized within product revenue, net. The Company applies the same revenue recognition policies and judgments for all of its principal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The Company sells its products principally to distributors, radiopharmacies and directly to hospitals and clinics. The Company considers customer purchase orders, which in some cases are governed by master sales or group purchasing organization agreements, to be the contracts with a customer.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75"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18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Company typically invoices customers upon satisfaction of identified performance obligations. As the Company’s standard payment terms are 30 to 60 days from invoicing, the Company has elected to use the significant financing component practical expedient under ASC 606-10-32-18.</w:t>
      </w:r>
    </w:p>
    <w:p>
      <w:pPr>
        <w:spacing w:after="0" w:line="1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Company allocates the transaction price to each distinct product based on their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Frequently, the Company receives orders for products to be delivered over multiple dates that may extend across several reporting periods. The</w:t>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Company invoices for each delivery upon shipment and recognizes revenues for each distinct product delivered, assuming transfer of control has occurred.</w:t>
      </w:r>
    </w:p>
    <w:p>
      <w:pPr>
        <w:spacing w:after="0" w:line="234" w:lineRule="exact"/>
        <w:rPr>
          <w:sz w:val="20"/>
          <w:szCs w:val="20"/>
          <w:color w:val="auto"/>
        </w:rPr>
      </w:pPr>
    </w:p>
    <w:p>
      <w:pPr>
        <w:ind w:right="660" w:firstLine="405"/>
        <w:spacing w:after="0" w:line="264" w:lineRule="auto"/>
        <w:rPr>
          <w:sz w:val="20"/>
          <w:szCs w:val="20"/>
          <w:color w:val="auto"/>
        </w:rPr>
      </w:pPr>
      <w:r>
        <w:rPr>
          <w:rFonts w:ascii="Arial" w:cs="Arial" w:eastAsia="Arial" w:hAnsi="Arial"/>
          <w:sz w:val="18"/>
          <w:szCs w:val="18"/>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product revenue and earnings in the period such variances become known.</w:t>
      </w:r>
    </w:p>
    <w:p>
      <w:pPr>
        <w:spacing w:after="0" w:line="16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i w:val="1"/>
          <w:iCs w:val="1"/>
          <w:color w:val="auto"/>
        </w:rPr>
        <w:t xml:space="preserve">Rebates and Allowances: </w:t>
      </w:r>
      <w:r>
        <w:rPr>
          <w:rFonts w:ascii="Arial" w:cs="Arial" w:eastAsia="Arial" w:hAnsi="Arial"/>
          <w:sz w:val="17"/>
          <w:szCs w:val="17"/>
          <w:color w:val="auto"/>
        </w:rPr>
        <w:t>The Company provides certain customers with rebates and allowances that are explicitly stated in the Company’s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recorded as a reduction of revenue in the period the related product revenue is recognized. The Company establishes a liability for such amounts, which is included in accrued expenses in the accompanying condensed consolidated balance sheets. These rebates and allowances result from performance-based offers that are primarily based on attaining contractually specified sales volumes and administrative fees the Company is required to pay to group purchasing organizations. The Company estimates the amount of rebates and allowances that are explicitly stated in the Company’s contracts based on a combination of actual purchases and an estimate of the customer’s buying patterns.</w:t>
      </w:r>
    </w:p>
    <w:p>
      <w:pPr>
        <w:spacing w:after="0" w:line="17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 generally offers customers a limited right of return due to non-conforming product. The Company estimates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summarizes activity for reserves relating to rebate and allowances (including group purchasing organization administrative fees and returns) for the three months ended March 31, 2018:</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Rebates and</w:t>
            </w:r>
          </w:p>
        </w:tc>
      </w:tr>
      <w:tr>
        <w:trPr>
          <w:trHeight w:val="194"/>
        </w:trPr>
        <w:tc>
          <w:tcPr>
            <w:tcW w:w="67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6"/>
                <w:szCs w:val="16"/>
                <w:color w:val="auto"/>
              </w:rPr>
            </w:pPr>
          </w:p>
        </w:tc>
        <w:tc>
          <w:tcPr>
            <w:tcW w:w="17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Allowances</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56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Balance, January 1,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460"/>
              <w:spacing w:after="0"/>
              <w:rPr>
                <w:sz w:val="20"/>
                <w:szCs w:val="20"/>
                <w:color w:val="auto"/>
              </w:rPr>
            </w:pPr>
            <w:r>
              <w:rPr>
                <w:rFonts w:ascii="Arial" w:cs="Arial" w:eastAsia="Arial" w:hAnsi="Arial"/>
                <w:sz w:val="18"/>
                <w:szCs w:val="18"/>
                <w:color w:val="auto"/>
              </w:rPr>
              <w:t>Provision related to current period revenues</w:t>
            </w:r>
          </w:p>
        </w:tc>
        <w:tc>
          <w:tcPr>
            <w:tcW w:w="38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3,027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Adjustments relating to prior period revenues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460"/>
              <w:spacing w:after="0"/>
              <w:rPr>
                <w:sz w:val="20"/>
                <w:szCs w:val="20"/>
                <w:color w:val="auto"/>
              </w:rPr>
            </w:pPr>
            <w:r>
              <w:rPr>
                <w:rFonts w:ascii="Arial" w:cs="Arial" w:eastAsia="Arial" w:hAnsi="Arial"/>
                <w:sz w:val="18"/>
                <w:szCs w:val="18"/>
                <w:color w:val="auto"/>
              </w:rPr>
              <w:t>Payments or credits made during the period</w:t>
            </w:r>
          </w:p>
        </w:tc>
        <w:tc>
          <w:tcPr>
            <w:tcW w:w="3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(2,776)</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Balance, March 31,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Revenues</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The Company has entered into licensing agreements, which are within the scope of ASC 606,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and royalty revenues and earnings in the period of adjustment. At March 31, 2018, the Company is constraining variable consideration related to milestone payments requiring regulatory approvals.</w:t>
      </w:r>
    </w:p>
    <w:p>
      <w:pPr>
        <w:spacing w:after="0" w:line="16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Royalty Revenues: </w:t>
      </w:r>
      <w:r>
        <w:rPr>
          <w:rFonts w:ascii="Arial" w:cs="Arial" w:eastAsia="Arial" w:hAnsi="Arial"/>
          <w:sz w:val="17"/>
          <w:szCs w:val="17"/>
          <w:color w:val="auto"/>
        </w:rPr>
        <w:t>For arrangements that include sales-based royalties, including milestone payments based on the level of sales, and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75"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7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0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50"/>
        </w:trPr>
        <w:tc>
          <w:tcPr>
            <w:tcW w:w="8780" w:type="dxa"/>
            <w:vAlign w:val="bottom"/>
            <w:gridSpan w:val="4"/>
          </w:tcPr>
          <w:p>
            <w:pPr>
              <w:ind w:left="420"/>
              <w:spacing w:after="0"/>
              <w:rPr>
                <w:sz w:val="20"/>
                <w:szCs w:val="20"/>
                <w:color w:val="auto"/>
              </w:rPr>
            </w:pPr>
            <w:r>
              <w:rPr>
                <w:rFonts w:ascii="Arial" w:cs="Arial" w:eastAsia="Arial" w:hAnsi="Arial"/>
                <w:sz w:val="18"/>
                <w:szCs w:val="18"/>
                <w:color w:val="auto"/>
              </w:rPr>
              <w:t>During the three months ended March 31, 2018, the Company recognized the following revenues: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8"/>
        </w:trPr>
        <w:tc>
          <w:tcPr>
            <w:tcW w:w="108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48"/>
        </w:trPr>
        <w:tc>
          <w:tcPr>
            <w:tcW w:w="1080" w:type="dxa"/>
            <w:vAlign w:val="bottom"/>
          </w:tcPr>
          <w:p>
            <w:pPr>
              <w:spacing w:after="0"/>
              <w:rPr>
                <w:sz w:val="4"/>
                <w:szCs w:val="4"/>
                <w:color w:val="auto"/>
              </w:rPr>
            </w:pPr>
          </w:p>
        </w:tc>
        <w:tc>
          <w:tcPr>
            <w:tcW w:w="280" w:type="dxa"/>
            <w:vAlign w:val="bottom"/>
            <w:tcBorders>
              <w:top w:val="single" w:sz="8" w:color="auto"/>
              <w:bottom w:val="single" w:sz="8" w:color="CCEEFF"/>
            </w:tcBorders>
          </w:tcPr>
          <w:p>
            <w:pPr>
              <w:spacing w:after="0"/>
              <w:rPr>
                <w:sz w:val="4"/>
                <w:szCs w:val="4"/>
                <w:color w:val="auto"/>
              </w:rPr>
            </w:pPr>
          </w:p>
        </w:tc>
        <w:tc>
          <w:tcPr>
            <w:tcW w:w="820" w:type="dxa"/>
            <w:vAlign w:val="bottom"/>
            <w:tcBorders>
              <w:top w:val="single" w:sz="8" w:color="auto"/>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1080" w:type="dxa"/>
            <w:vAlign w:val="bottom"/>
            <w:tcBorders>
              <w:right w:val="single" w:sz="8" w:color="CCEEFF"/>
            </w:tcBorders>
          </w:tcPr>
          <w:p>
            <w:pPr>
              <w:spacing w:after="0"/>
              <w:rPr>
                <w:sz w:val="21"/>
                <w:szCs w:val="21"/>
                <w:color w:val="auto"/>
              </w:rPr>
            </w:pPr>
          </w:p>
        </w:tc>
        <w:tc>
          <w:tcPr>
            <w:tcW w:w="7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Remainder of amounts included in the contract liability at the beginning of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080" w:type="dxa"/>
            <w:vAlign w:val="bottom"/>
          </w:tcPr>
          <w:p>
            <w:pPr>
              <w:spacing w:after="0"/>
              <w:rPr>
                <w:sz w:val="21"/>
                <w:szCs w:val="21"/>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Performance obligations satisfied (or partially satisfied) in previous periods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Company’s performance obligations are typically part of contracts that have an original expected duration of one year or less. As such, under the optional exemption provided by ASC 606-10-50-14, the Company is not disclosing the aggregate amount of the transaction price allocated to performance obligations that are unsatisfied (or partially satisfied) as of the end of the reporting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147" w:lineRule="exact"/>
        <w:rPr>
          <w:sz w:val="20"/>
          <w:szCs w:val="20"/>
          <w:color w:val="auto"/>
        </w:rPr>
      </w:pPr>
    </w:p>
    <w:p>
      <w:pPr>
        <w:ind w:left="660" w:right="32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rFonts w:ascii="Arial" w:cs="Arial" w:eastAsia="Arial" w:hAnsi="Arial"/>
          <w:sz w:val="18"/>
          <w:szCs w:val="18"/>
          <w:color w:val="auto"/>
        </w:rPr>
      </w:pPr>
    </w:p>
    <w:p>
      <w:pPr>
        <w:ind w:left="660" w:right="80" w:hanging="166"/>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660" w:right="18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reflect a Company’s estimates about the assumptions that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develops these inputs based on the best information available, including its own data.</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Company’s financial assets measured at fair value on a recurring basis consist of money market funds. 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information about the Company’s assets and liabilities measured at fair value on a recurring basis:</w:t>
      </w:r>
    </w:p>
    <w:p>
      <w:pPr>
        <w:spacing w:after="0" w:line="167"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March 31, 2018</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Total 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3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6"/>
                <w:szCs w:val="16"/>
                <w:color w:val="auto"/>
              </w:rPr>
            </w:pPr>
          </w:p>
        </w:tc>
        <w:tc>
          <w:tcPr>
            <w:tcW w:w="11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116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6"/>
                <w:szCs w:val="16"/>
                <w:color w:val="auto"/>
              </w:rPr>
            </w:pPr>
          </w:p>
        </w:tc>
        <w:tc>
          <w:tcPr>
            <w:tcW w:w="10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Level 3</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Total 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3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6"/>
                <w:szCs w:val="16"/>
                <w:color w:val="auto"/>
              </w:rPr>
            </w:pPr>
          </w:p>
        </w:tc>
        <w:tc>
          <w:tcPr>
            <w:tcW w:w="11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116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6"/>
                <w:szCs w:val="16"/>
                <w:color w:val="auto"/>
              </w:rPr>
            </w:pPr>
          </w:p>
        </w:tc>
        <w:tc>
          <w:tcPr>
            <w:tcW w:w="10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Level 3</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As of December 31, 2017, the Company wrote down the value of land held for sale in the U.S. segment to its fair value, less estimated costs to sell, using level 3 inputs. See Note 7, “Property, Plant &amp; Equipment, Net” for further discussion regarding land held for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provides for income taxes at the end of each interim period based on the estimated effective tax rate for the full year, adjusted for any discrete events which are recorded in the period they occur. The Company’s effective tax rate in fiscal 2018 differs from the U.S. federal statutory rate of 21% principally due to the impact of state taxes, uncertain tax positions, and losses in certain foreign jurisdictions for which no tax benefit is recorded. The Company’s effective rate in fiscal 2017 was impacted by the valuation allowance the Company had on all its U.S. deferred tax assets until the fourth quarter of fiscal 2017. Cumulative adjustments</w:t>
      </w:r>
    </w:p>
    <w:p>
      <w:pPr>
        <w:sectPr>
          <w:pgSz w:w="11900" w:h="16838" w:orient="portrait"/>
          <w:cols w:equalWidth="0" w:num="1">
            <w:col w:w="11400"/>
          </w:cols>
          <w:pgMar w:left="240" w:top="162"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62"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the tax provision are recorded in the interim period in which a change in the estimated annual effective tax rate is determined. The Company’s income tax expense was $3.8 million and $0.8 million for the three months ended March 31, 2018 and 2017,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December 22, 2017, the United States enacted the Tax Cuts and Jobs Act of 2017 (the “Act”). The Act is significant and has wide-ranging effects.</w:t>
      </w:r>
    </w:p>
    <w:p>
      <w:pPr>
        <w:spacing w:after="0" w:line="248"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color w:val="auto"/>
        </w:rPr>
        <w:t>The Company is still studying all of the ramifications of the Act, but expects the primary material impact of the Act to be the remeasurement of the Company’s deferred tax assets which was recorded in fiscal 2017 as a result of the reduction in U.S. corporate tax rates from 35% to 21%. As</w:t>
      </w:r>
    </w:p>
    <w:p>
      <w:pPr>
        <w:ind w:right="600"/>
        <w:spacing w:after="0" w:line="261" w:lineRule="auto"/>
        <w:rPr>
          <w:sz w:val="20"/>
          <w:szCs w:val="20"/>
          <w:color w:val="auto"/>
        </w:rPr>
      </w:pPr>
      <w:r>
        <w:rPr>
          <w:rFonts w:ascii="Arial" w:cs="Arial" w:eastAsia="Arial" w:hAnsi="Arial"/>
          <w:sz w:val="18"/>
          <w:szCs w:val="18"/>
          <w:color w:val="auto"/>
        </w:rPr>
        <w:t>of December 31, 2017, the Company determined it had no accumulated unrepatriated foreign earnings, and therefore had recorded no liability for the repatriation transition tax. No changes have been made to these estimates.</w:t>
      </w:r>
    </w:p>
    <w:p>
      <w:pPr>
        <w:spacing w:after="0" w:line="18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is continuing to evaluate other changes resulting from the Act, including the impact of Global Intangible Low Tax Income, Base Erosion and Anti-abuse Tax and revisions to Section 162(m). The Company has incorporated estimates of these items in its fiscal 2018 effective tax rate and expects to complete its accounting for these items within the prescribed measurement period.</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impact.The Company released its full valuation allowance recorded against its domestic deferred tax assets during the year ended December 31, 2017. The Company continues to record a partial valuation allowance against its foreign net deferred tax assets.</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connection with the Company’s acquisition of the medical imaging business from Bristol Myers Squibb (“BMS”) in 2008, the Company entered into a tax indemnification agreement with BMS related to certain tax obligations arising prior to the acquisition of the Company, for which the Company has the primary legal obligation. A long-term receivable is recorded to account for the expected value to the Company of future indemnification payments, net of actual U.S. federal tax benefits. The tax indemnification receivable is recognized within other long-term assets. The changes in the tax indemnification asset are recognized within other income in the condensed consolidated statement of operations. In accordance with the Company’s accounting policy, the change in the tax liability and penalties and interest associated with these obligations (net of any offsetting federal or state benefit) is recognized within income tax expense. Accordingly, as these reserves change, adjustments are included in income tax expense while the offsetting adjustment is included in other income. Assuming that the receivable from BMS continues to be considered recoverable by the Company, there will be minimal net effect on earnings and net cash outflows related to these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6. Inventory</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5840" w:type="dxa"/>
            <w:vAlign w:val="bottom"/>
            <w:gridSpan w:val="4"/>
          </w:tcPr>
          <w:p>
            <w:pPr>
              <w:ind w:left="420"/>
              <w:spacing w:after="0"/>
              <w:rPr>
                <w:sz w:val="20"/>
                <w:szCs w:val="20"/>
                <w:color w:val="auto"/>
              </w:rPr>
            </w:pPr>
            <w:r>
              <w:rPr>
                <w:rFonts w:ascii="Arial" w:cs="Arial" w:eastAsia="Arial" w:hAnsi="Arial"/>
                <w:sz w:val="18"/>
                <w:szCs w:val="18"/>
                <w:color w:val="auto"/>
              </w:rPr>
              <w:t>Inventory consisted of the following:</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0"/>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194"/>
        </w:trPr>
        <w:tc>
          <w:tcPr>
            <w:tcW w:w="2060" w:type="dxa"/>
            <w:vAlign w:val="bottom"/>
          </w:tcPr>
          <w:p>
            <w:pPr>
              <w:spacing w:after="0"/>
              <w:rPr>
                <w:sz w:val="16"/>
                <w:szCs w:val="16"/>
                <w:color w:val="auto"/>
              </w:rPr>
            </w:pPr>
          </w:p>
        </w:tc>
        <w:tc>
          <w:tcPr>
            <w:tcW w:w="37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1420" w:type="dxa"/>
            <w:vAlign w:val="bottom"/>
          </w:tcPr>
          <w:p>
            <w:pPr>
              <w:jc w:val="right"/>
              <w:ind w:right="5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9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20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2060" w:type="dxa"/>
            <w:vAlign w:val="bottom"/>
          </w:tcPr>
          <w:p>
            <w:pPr>
              <w:spacing w:after="0"/>
              <w:rPr>
                <w:sz w:val="21"/>
                <w:szCs w:val="21"/>
                <w:color w:val="auto"/>
              </w:rPr>
            </w:pPr>
          </w:p>
        </w:tc>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43"/>
        </w:trPr>
        <w:tc>
          <w:tcPr>
            <w:tcW w:w="2060" w:type="dxa"/>
            <w:vAlign w:val="bottom"/>
          </w:tcPr>
          <w:p>
            <w:pPr>
              <w:spacing w:after="0"/>
              <w:rPr>
                <w:sz w:val="21"/>
                <w:szCs w:val="21"/>
                <w:color w:val="auto"/>
              </w:rPr>
            </w:pPr>
          </w:p>
        </w:tc>
        <w:tc>
          <w:tcPr>
            <w:tcW w:w="3780" w:type="dxa"/>
            <w:vAlign w:val="bottom"/>
            <w:gridSpan w:val="3"/>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7"/>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60" w:type="dxa"/>
            <w:vAlign w:val="bottom"/>
          </w:tcPr>
          <w:p>
            <w:pPr>
              <w:spacing w:after="0"/>
              <w:rPr>
                <w:sz w:val="23"/>
                <w:szCs w:val="23"/>
                <w:color w:val="auto"/>
              </w:rPr>
            </w:pPr>
          </w:p>
        </w:tc>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7"/>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gridSpan w:val="2"/>
          </w:tcPr>
          <w:p>
            <w:pPr>
              <w:ind w:left="360"/>
              <w:spacing w:after="0"/>
              <w:rPr>
                <w:sz w:val="20"/>
                <w:szCs w:val="20"/>
                <w:color w:val="auto"/>
              </w:rPr>
            </w:pPr>
            <w:r>
              <w:rPr>
                <w:rFonts w:ascii="Arial" w:cs="Arial" w:eastAsia="Arial" w:hAnsi="Arial"/>
                <w:sz w:val="18"/>
                <w:szCs w:val="18"/>
                <w:color w:val="auto"/>
              </w:rPr>
              <w:t>Total inventory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26,080</w:t>
            </w:r>
          </w:p>
        </w:tc>
      </w:tr>
      <w:tr>
        <w:trPr>
          <w:trHeight w:val="27"/>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March 31, 2018 and December 31, 2017, the Company had $0.5 million and $1.1 million, respectively, of inventory classified within other long-term assets, which represent raw materials not expected to be used by the Company during the next twelve months.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75"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2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750"/>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7. Property, Plant &amp; Equipment, Net</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4"/>
        </w:trPr>
        <w:tc>
          <w:tcPr>
            <w:tcW w:w="6200" w:type="dxa"/>
            <w:vAlign w:val="bottom"/>
            <w:gridSpan w:val="4"/>
          </w:tcPr>
          <w:p>
            <w:pPr>
              <w:jc w:val="right"/>
              <w:ind w:right="1420"/>
              <w:spacing w:after="0"/>
              <w:rPr>
                <w:sz w:val="20"/>
                <w:szCs w:val="20"/>
                <w:color w:val="auto"/>
              </w:rPr>
            </w:pPr>
            <w:r>
              <w:rPr>
                <w:rFonts w:ascii="Arial" w:cs="Arial" w:eastAsia="Arial" w:hAnsi="Arial"/>
                <w:sz w:val="18"/>
                <w:szCs w:val="18"/>
                <w:color w:val="auto"/>
              </w:rPr>
              <w:t>Property, plant &amp; equipment, net, consisted of the following:</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r>
      <w:tr>
        <w:trPr>
          <w:trHeight w:val="194"/>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1460" w:type="dxa"/>
            <w:vAlign w:val="bottom"/>
          </w:tcPr>
          <w:p>
            <w:pPr>
              <w:jc w:val="right"/>
              <w:ind w:right="61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61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136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r>
      <w:tr>
        <w:trPr>
          <w:trHeight w:val="243"/>
        </w:trPr>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76,059</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71,870</w:t>
            </w:r>
          </w:p>
        </w:tc>
      </w:tr>
      <w:tr>
        <w:trPr>
          <w:trHeight w:val="243"/>
        </w:trPr>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20,271</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320" w:type="dxa"/>
            <w:vAlign w:val="bottom"/>
            <w:tcBorders>
              <w:right w:val="single" w:sz="8" w:color="CCEEFF"/>
            </w:tcBorders>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7,622</w:t>
            </w:r>
          </w:p>
        </w:tc>
      </w:tr>
      <w:tr>
        <w:trPr>
          <w:trHeight w:val="237"/>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176,565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189,272</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320" w:type="dxa"/>
            <w:vAlign w:val="bottom"/>
            <w:tcBorders>
              <w:right w:val="single" w:sz="8" w:color="CCEEFF"/>
            </w:tcBorders>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(96,273)</w:t>
            </w:r>
          </w:p>
        </w:tc>
      </w:tr>
      <w:tr>
        <w:trPr>
          <w:trHeight w:val="237"/>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gridSpan w:val="2"/>
          </w:tcPr>
          <w:p>
            <w:pPr>
              <w:jc w:val="right"/>
              <w:ind w:right="1420"/>
              <w:spacing w:after="0"/>
              <w:rPr>
                <w:sz w:val="20"/>
                <w:szCs w:val="20"/>
                <w:color w:val="auto"/>
              </w:rPr>
            </w:pPr>
            <w:r>
              <w:rPr>
                <w:rFonts w:ascii="Arial" w:cs="Arial" w:eastAsia="Arial" w:hAnsi="Arial"/>
                <w:sz w:val="18"/>
                <w:szCs w:val="18"/>
                <w:color w:val="auto"/>
              </w:rPr>
              <w:t>Total property, plant &amp; equipment, net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92,999</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Depreciation and amortization expense related to property, plant &amp; equipment, net, was $2.6 million and $5.1 million for the three months ended March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117"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During the fourth quarter of 2017, the Company committed to a plan to sell a portion of its land in the U.S. segment. This event qualified for held for sale accounting and the land was written down to its fair value, less estimated costs to sell, which is classified in other current assets at December 31, 2017. During the three months ended March 31, 2018, the Company completed the sale of the land for proceeds of $1.0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San Juan, Puerto Rico sites.</w:t>
      </w:r>
    </w:p>
    <w:p>
      <w:pPr>
        <w:spacing w:after="0" w:line="181"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4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fair value of a liability for asset retirement obligations is recognized in the period in which the liability is incurred. As of March 31, 2018,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the changes in the Company’s asset retirement obligations:</w:t>
      </w:r>
    </w:p>
    <w:p>
      <w:pPr>
        <w:spacing w:after="0" w:line="154"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250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Balance at December 31, 2017</w:t>
            </w: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Accretion expense</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62"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Arrangements</w:t>
      </w:r>
    </w:p>
    <w:p>
      <w:pPr>
        <w:spacing w:after="0" w:line="121"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On March 30, 2017, the Company refinanced its previous $365 million seven-year term loan agreement (the facility thereunder, the “2015 Term Facility”) with a new five-year $275 million term loan facility (the “2017 Term Facility” and the loans thereunder, the “Term Loans”). In addition, the Company replaced its previous $50 million five-year asset based loan facility (the “ABL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66"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16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November 29, 2017, the Company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 The Company accounted for the Repricing Amendment as both a debt extinguishment and debt modification by evaluating the refinancing on a creditor by creditor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Facility</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Term Loans under the 2017 Term Facility bear interest, with pricing based from time to time at the Company’s election at (i) LIBOR plus a spread of 3.75% or (ii) the Base Rate (as defined in the Credit Agreement) plus a spread of 2.75%. Interest is payable (i) with respect to LIBOR Term Loans, at the end of each Interest Period (as defined in the Credit Agreement) and (ii) with respect to Base Rate Term Loans, at the end of each quarter. At March 31, 2018, the Company’s interest rate under the 2017 Term Facility was 5.6%.</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is permitted to voluntarily prepay the Term Loans, in whole or in part. The 2017 Term Facility requires the Company to make mandatory prepayments of the outstanding Term Loans in certain circumstances. The 2017 Term Facility amortizes at 1.00% per year until its June 30, 2022 maturity date.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2017 Term Facility are as follows as of March 31, 2018:</w:t>
      </w:r>
    </w:p>
    <w:p>
      <w:pPr>
        <w:spacing w:after="0" w:line="154" w:lineRule="exact"/>
        <w:rPr>
          <w:sz w:val="20"/>
          <w:szCs w:val="20"/>
          <w:color w:val="auto"/>
        </w:rPr>
      </w:pPr>
    </w:p>
    <w:tbl>
      <w:tblPr>
        <w:tblLayout w:type="fixed"/>
        <w:tblInd w:w="270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Total principal outstanding</w:t>
            </w:r>
          </w:p>
        </w:tc>
        <w:tc>
          <w:tcPr>
            <w:tcW w:w="17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w w:val="98"/>
              </w:rPr>
              <w:t>Unamortized debt issuance costs</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267,722</w:t>
            </w:r>
          </w:p>
        </w:tc>
        <w:tc>
          <w:tcPr>
            <w:tcW w:w="0" w:type="dxa"/>
            <w:vAlign w:val="bottom"/>
          </w:tcPr>
          <w:p>
            <w:pPr>
              <w:spacing w:after="0"/>
              <w:rPr>
                <w:sz w:val="1"/>
                <w:szCs w:val="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75"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Revolving Facility</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the Company’s election at (i) LIBOR plus a spread of 3.00% or (ii) the Base Rate (as defined in the Credit Agreement) plus a spread of 2.00%. The 2017 Revolving Facility also includes an unused line fee, which is set at 0.38% while the Company’s secured leverage ratio (as defined in the Credit Agreement) is greater than 3.00 to 1.00 and 0.25% when the Company’s secured leverage ratio is less than or equal to 3.00 to 1.00.</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March 31, 2018, there were no outstanding borrowings under the 2017 Revolving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Facility Covenants</w:t>
      </w:r>
    </w:p>
    <w:p>
      <w:pPr>
        <w:spacing w:after="0" w:line="11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107" w:lineRule="exact"/>
        <w:rPr>
          <w:sz w:val="20"/>
          <w:szCs w:val="20"/>
          <w:color w:val="auto"/>
        </w:rPr>
      </w:pPr>
    </w:p>
    <w:tbl>
      <w:tblPr>
        <w:tblLayout w:type="fixed"/>
        <w:tblInd w:w="35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800" w:type="dxa"/>
            <w:vAlign w:val="bottom"/>
          </w:tcPr>
          <w:p>
            <w:pPr>
              <w:jc w:val="center"/>
              <w:ind w:left="25"/>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500" w:type="dxa"/>
            <w:vAlign w:val="bottom"/>
          </w:tcPr>
          <w:p>
            <w:pPr>
              <w:ind w:left="1060"/>
              <w:spacing w:after="0"/>
              <w:rPr>
                <w:sz w:val="20"/>
                <w:szCs w:val="20"/>
                <w:color w:val="auto"/>
              </w:rPr>
            </w:pPr>
            <w:r>
              <w:rPr>
                <w:rFonts w:ascii="Arial" w:cs="Arial" w:eastAsia="Arial" w:hAnsi="Arial"/>
                <w:sz w:val="18"/>
                <w:szCs w:val="18"/>
                <w:b w:val="1"/>
                <w:bCs w:val="1"/>
                <w:color w:val="auto"/>
              </w:rPr>
              <w:t>Period</w:t>
            </w:r>
          </w:p>
        </w:tc>
        <w:tc>
          <w:tcPr>
            <w:tcW w:w="1800" w:type="dxa"/>
            <w:vAlign w:val="bottom"/>
          </w:tcPr>
          <w:p>
            <w:pPr>
              <w:jc w:val="center"/>
              <w:ind w:left="45"/>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Q2 2018 through Q1 2019</w:t>
            </w:r>
          </w:p>
        </w:tc>
        <w:tc>
          <w:tcPr>
            <w:tcW w:w="1800" w:type="dxa"/>
            <w:vAlign w:val="bottom"/>
            <w:tcBorders>
              <w:bottom w:val="single" w:sz="8" w:color="CCEEFF"/>
            </w:tcBorders>
            <w:shd w:val="clear" w:color="auto" w:fill="CCEEFF"/>
          </w:tcPr>
          <w:p>
            <w:pPr>
              <w:jc w:val="center"/>
              <w:ind w:left="45"/>
              <w:spacing w:after="0"/>
              <w:rPr>
                <w:sz w:val="20"/>
                <w:szCs w:val="20"/>
                <w:color w:val="auto"/>
              </w:rPr>
            </w:pPr>
            <w:r>
              <w:rPr>
                <w:rFonts w:ascii="Arial" w:cs="Arial" w:eastAsia="Arial" w:hAnsi="Arial"/>
                <w:sz w:val="20"/>
                <w:szCs w:val="20"/>
                <w:color w:val="auto"/>
                <w:w w:val="88"/>
              </w:rPr>
              <w:t>4.75 to 1.00</w:t>
            </w:r>
          </w:p>
        </w:tc>
      </w:tr>
      <w:tr>
        <w:trPr>
          <w:trHeight w:val="261"/>
        </w:trPr>
        <w:tc>
          <w:tcPr>
            <w:tcW w:w="2500" w:type="dxa"/>
            <w:vAlign w:val="bottom"/>
          </w:tcPr>
          <w:p>
            <w:pPr>
              <w:ind w:left="20"/>
              <w:spacing w:after="0"/>
              <w:rPr>
                <w:sz w:val="20"/>
                <w:szCs w:val="20"/>
                <w:color w:val="auto"/>
              </w:rPr>
            </w:pPr>
            <w:r>
              <w:rPr>
                <w:rFonts w:ascii="Arial" w:cs="Arial" w:eastAsia="Arial" w:hAnsi="Arial"/>
                <w:sz w:val="20"/>
                <w:szCs w:val="20"/>
                <w:color w:val="auto"/>
              </w:rPr>
              <w:t>Thereafter</w:t>
            </w:r>
          </w:p>
        </w:tc>
        <w:tc>
          <w:tcPr>
            <w:tcW w:w="1800" w:type="dxa"/>
            <w:vAlign w:val="bottom"/>
          </w:tcPr>
          <w:p>
            <w:pPr>
              <w:jc w:val="center"/>
              <w:ind w:left="45"/>
              <w:spacing w:after="0"/>
              <w:rPr>
                <w:sz w:val="20"/>
                <w:szCs w:val="20"/>
                <w:color w:val="auto"/>
              </w:rPr>
            </w:pPr>
            <w:r>
              <w:rPr>
                <w:rFonts w:ascii="Arial" w:cs="Arial" w:eastAsia="Arial" w:hAnsi="Arial"/>
                <w:sz w:val="20"/>
                <w:szCs w:val="20"/>
                <w:color w:val="auto"/>
                <w:w w:val="88"/>
              </w:rPr>
              <w:t>4.50 to 1.00</w:t>
            </w: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2017 Facility contains usual and customary restrictions on the ability of the Company and its subsidiaries to: (i) incur additional indebtedness</w:t>
      </w:r>
    </w:p>
    <w:p>
      <w:pPr>
        <w:spacing w:after="0" w:line="35" w:lineRule="exact"/>
        <w:rPr>
          <w:sz w:val="20"/>
          <w:szCs w:val="20"/>
          <w:color w:val="auto"/>
        </w:rPr>
      </w:pPr>
    </w:p>
    <w:p>
      <w:pPr>
        <w:ind w:right="60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stock-based compensation expense recognized in the Company’s accompanying condensed consolidated statements of operations: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Sales and marketing</w:t>
            </w: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13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75"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first quarter of 2018, the Company granted approximately 207,000 total stockholder return restricted stock awards (“TSR Awards”) that include a three-year market condition where the performance measurement period is three years. Vesting of the TSR Awards is based on the Company’s level of attainment of specified TSR targets relative to a specified index of companies for the respective three-year period and is also subject to the continued employment of the grantees. The number of shares that can be earned over the performance period ranges from 0% to 200% of the initial award. The fair value of these awards are based on a Monte Carlo simulation valuation model.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6"/>
          </w:tcPr>
          <w:p>
            <w:pPr>
              <w:spacing w:after="0"/>
              <w:rPr>
                <w:sz w:val="20"/>
                <w:szCs w:val="20"/>
                <w:color w:val="auto"/>
              </w:rPr>
            </w:pPr>
            <w:r>
              <w:rPr>
                <w:rFonts w:ascii="Arial" w:cs="Arial" w:eastAsia="Arial" w:hAnsi="Arial"/>
                <w:sz w:val="18"/>
                <w:szCs w:val="18"/>
                <w:b w:val="1"/>
                <w:bCs w:val="1"/>
                <w:color w:val="auto"/>
              </w:rPr>
              <w:t>11. Net Income Per Common Share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540" w:type="dxa"/>
            <w:vAlign w:val="bottom"/>
            <w:gridSpan w:val="6"/>
          </w:tcPr>
          <w:p>
            <w:pPr>
              <w:ind w:left="420"/>
              <w:spacing w:after="0"/>
              <w:rPr>
                <w:sz w:val="20"/>
                <w:szCs w:val="20"/>
                <w:color w:val="auto"/>
              </w:rPr>
            </w:pPr>
            <w:r>
              <w:rPr>
                <w:rFonts w:ascii="Arial" w:cs="Arial" w:eastAsia="Arial" w:hAnsi="Arial"/>
                <w:sz w:val="18"/>
                <w:szCs w:val="18"/>
                <w:color w:val="auto"/>
              </w:rPr>
              <w:t>A summary of net income per common share is presented below:</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60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(in thousands, except per share amounts)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12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780" w:type="dxa"/>
            <w:vAlign w:val="bottom"/>
            <w:tcBorders>
              <w:top w:val="single" w:sz="8" w:color="auto"/>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940" w:type="dxa"/>
            <w:vAlign w:val="bottom"/>
            <w:tcBorders>
              <w:right w:val="single" w:sz="8" w:color="CCEEFF"/>
            </w:tcBorders>
          </w:tcPr>
          <w:p>
            <w:pPr>
              <w:spacing w:after="0"/>
              <w:rPr>
                <w:sz w:val="22"/>
                <w:szCs w:val="22"/>
                <w:color w:val="auto"/>
              </w:rPr>
            </w:pPr>
          </w:p>
        </w:tc>
        <w:tc>
          <w:tcPr>
            <w:tcW w:w="5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6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CCEEFF"/>
            </w:tcBorders>
          </w:tcPr>
          <w:p>
            <w:pPr>
              <w:spacing w:after="0"/>
              <w:rPr>
                <w:sz w:val="21"/>
                <w:szCs w:val="21"/>
                <w:color w:val="auto"/>
              </w:rPr>
            </w:pPr>
          </w:p>
        </w:tc>
        <w:tc>
          <w:tcPr>
            <w:tcW w:w="5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5600" w:type="dxa"/>
            <w:vAlign w:val="bottom"/>
            <w:gridSpan w:val="5"/>
          </w:tcPr>
          <w:p>
            <w:pPr>
              <w:ind w:left="140"/>
              <w:spacing w:after="0"/>
              <w:rPr>
                <w:sz w:val="20"/>
                <w:szCs w:val="20"/>
                <w:color w:val="auto"/>
              </w:rPr>
            </w:pPr>
            <w:r>
              <w:rPr>
                <w:rFonts w:ascii="Arial" w:cs="Arial" w:eastAsia="Arial" w:hAnsi="Arial"/>
                <w:sz w:val="18"/>
                <w:szCs w:val="18"/>
                <w:color w:val="auto"/>
              </w:rPr>
              <w:t>Effect of dilutive stock options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0" w:type="dxa"/>
            <w:vAlign w:val="bottom"/>
            <w:tcBorders>
              <w:right w:val="single" w:sz="8" w:color="CCEEFF"/>
            </w:tcBorders>
          </w:tcPr>
          <w:p>
            <w:pPr>
              <w:spacing w:after="0"/>
              <w:rPr>
                <w:sz w:val="23"/>
                <w:szCs w:val="23"/>
                <w:color w:val="auto"/>
              </w:rPr>
            </w:pPr>
          </w:p>
        </w:tc>
        <w:tc>
          <w:tcPr>
            <w:tcW w:w="560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Effect of dilutive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5600" w:type="dxa"/>
            <w:vAlign w:val="bottom"/>
            <w:gridSpan w:val="5"/>
          </w:tcPr>
          <w:p>
            <w:pPr>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38,601</w:t>
            </w: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24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940" w:type="dxa"/>
            <w:vAlign w:val="bottom"/>
            <w:tcBorders>
              <w:right w:val="single" w:sz="8" w:color="CCEEFF"/>
            </w:tcBorders>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5600" w:type="dxa"/>
            <w:vAlign w:val="bottom"/>
            <w:gridSpan w:val="5"/>
          </w:tcPr>
          <w:p>
            <w:pPr>
              <w:spacing w:after="0"/>
              <w:rPr>
                <w:sz w:val="20"/>
                <w:szCs w:val="20"/>
                <w:color w:val="auto"/>
              </w:rPr>
            </w:pPr>
            <w:r>
              <w:rPr>
                <w:rFonts w:ascii="Arial" w:cs="Arial" w:eastAsia="Arial" w:hAnsi="Arial"/>
                <w:sz w:val="18"/>
                <w:szCs w:val="18"/>
                <w:color w:val="auto"/>
              </w:rPr>
              <w:t>Basic income per common share</w:t>
            </w:r>
          </w:p>
        </w:tc>
        <w:tc>
          <w:tcPr>
            <w:tcW w:w="2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0.22</w:t>
            </w: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24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40" w:type="dxa"/>
            <w:vAlign w:val="bottom"/>
            <w:tcBorders>
              <w:right w:val="single" w:sz="8" w:color="CCEEFF"/>
            </w:tcBorders>
          </w:tcPr>
          <w:p>
            <w:pPr>
              <w:spacing w:after="0"/>
              <w:rPr>
                <w:sz w:val="21"/>
                <w:szCs w:val="21"/>
                <w:color w:val="auto"/>
              </w:rPr>
            </w:pPr>
          </w:p>
        </w:tc>
        <w:tc>
          <w:tcPr>
            <w:tcW w:w="5600" w:type="dxa"/>
            <w:vAlign w:val="bottom"/>
            <w:tcBorders>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Diluted income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tcBorders>
              <w:right w:val="single" w:sz="8" w:color="CCEEFF"/>
            </w:tcBorders>
          </w:tcPr>
          <w:p>
            <w:pPr>
              <w:spacing w:after="0"/>
              <w:rPr>
                <w:sz w:val="21"/>
                <w:szCs w:val="21"/>
                <w:color w:val="auto"/>
              </w:rPr>
            </w:pPr>
          </w:p>
        </w:tc>
        <w:tc>
          <w:tcPr>
            <w:tcW w:w="5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4"/>
              </w:rPr>
              <w:t>Antidilutive securities excluded from diluted net income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12. Other Income</w:t>
            </w: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6"/>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6"/>
          </w:tcPr>
          <w:p>
            <w:pPr>
              <w:ind w:left="420"/>
              <w:spacing w:after="0"/>
              <w:rPr>
                <w:sz w:val="20"/>
                <w:szCs w:val="20"/>
                <w:color w:val="auto"/>
              </w:rPr>
            </w:pPr>
            <w:r>
              <w:rPr>
                <w:rFonts w:ascii="Arial" w:cs="Arial" w:eastAsia="Arial" w:hAnsi="Arial"/>
                <w:sz w:val="18"/>
                <w:szCs w:val="18"/>
                <w:color w:val="auto"/>
              </w:rPr>
              <w:t>Other income consisted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3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7"/>
                <w:szCs w:val="17"/>
                <w:color w:val="auto"/>
              </w:rPr>
            </w:pPr>
          </w:p>
        </w:tc>
        <w:tc>
          <w:tcPr>
            <w:tcW w:w="86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Foreign currency gains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85</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gridSpan w:val="4"/>
          </w:tcPr>
          <w:p>
            <w:pPr>
              <w:ind w:left="20"/>
              <w:spacing w:after="0"/>
              <w:rPr>
                <w:sz w:val="20"/>
                <w:szCs w:val="20"/>
                <w:color w:val="auto"/>
              </w:rPr>
            </w:pPr>
            <w:r>
              <w:rPr>
                <w:rFonts w:ascii="Arial" w:cs="Arial" w:eastAsia="Arial" w:hAnsi="Arial"/>
                <w:sz w:val="18"/>
                <w:szCs w:val="18"/>
                <w:color w:val="auto"/>
              </w:rPr>
              <w:t>Tax indemnification income</w:t>
            </w:r>
          </w:p>
        </w:tc>
        <w:tc>
          <w:tcPr>
            <w:tcW w:w="2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Total other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 and Contingencies</w:t>
      </w:r>
    </w:p>
    <w:p>
      <w:pPr>
        <w:spacing w:after="0" w:line="12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7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March 31, 2018,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75"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is currently in arbitration with Pharmalucence in connection with a Manufacturing and Supply Agreement, dated November 12, 2013, under which Pharmalucence agreed to manufacture and supply DEFINITY for the Company. The commercial arrangement contemplated by that agreement was repeatedly delayed and ultimately never successfully realized. After extended settlement discussions between Sun Pharma, the ultimate parent of Pharmalucence, and the Company, which did not lead to a mutually acceptable outcome, on November 10, 2017, the Company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The Company is seeking monetary damages but cannot predict the outcome of this dispute resolution proceeding and whether the Company will be able to obtain any financial recovery as a result of this proceeding.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information regarding the Company’s segments is provided as follows:</w:t>
      </w:r>
    </w:p>
    <w:p>
      <w:pPr>
        <w:spacing w:after="0" w:line="167"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6"/>
              </w:rPr>
              <w:t>March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from external customers</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71,488</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11,142</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10,332</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3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w w:val="93"/>
              </w:rPr>
              <w:t>Total revenues from external customers</w:t>
            </w:r>
          </w:p>
        </w:tc>
        <w:tc>
          <w:tcPr>
            <w:tcW w:w="10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82,630</w:t>
            </w:r>
          </w:p>
        </w:tc>
        <w:tc>
          <w:tcPr>
            <w:tcW w:w="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81,359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Operating income</w:t>
            </w: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14,156</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gridSpan w:val="2"/>
          </w:tcPr>
          <w:p>
            <w:pPr>
              <w:ind w:left="360"/>
              <w:spacing w:after="0"/>
              <w:rPr>
                <w:sz w:val="20"/>
                <w:szCs w:val="20"/>
                <w:color w:val="auto"/>
              </w:rPr>
            </w:pPr>
            <w:r>
              <w:rPr>
                <w:rFonts w:ascii="Arial" w:cs="Arial" w:eastAsia="Arial" w:hAnsi="Arial"/>
                <w:sz w:val="18"/>
                <w:szCs w:val="18"/>
                <w:color w:val="auto"/>
              </w:rPr>
              <w:t>Total operating income</w:t>
            </w:r>
          </w:p>
        </w:tc>
        <w:tc>
          <w:tcPr>
            <w:tcW w:w="1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15,137</w:t>
            </w: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12,007</w:t>
            </w:r>
          </w:p>
        </w:tc>
        <w:tc>
          <w:tcPr>
            <w:tcW w:w="2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vMerge w:val="restart"/>
          </w:tcPr>
          <w:p>
            <w:pPr>
              <w:jc w:val="right"/>
              <w:ind w:right="65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75"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Some of the statements contained in this Quarterly Report on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w:t>
      </w:r>
    </w:p>
    <w:p>
      <w:pPr>
        <w:spacing w:after="0" w:line="2" w:lineRule="exact"/>
        <w:rPr>
          <w:sz w:val="20"/>
          <w:szCs w:val="20"/>
          <w:color w:val="auto"/>
        </w:rPr>
      </w:pPr>
    </w:p>
    <w:p>
      <w:pPr>
        <w:ind w:right="120" w:firstLine="8"/>
        <w:spacing w:after="0" w:line="267"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outlook and expectations including, without limitation, in connection with continued market expansion and penetration for our commercial products, particularly DEFINITY in the face of increased segment competition and potential generic competition as a result of future patent and regulatory exclusivity expirations; (ii) our outlook and expectations in connection with future performance of Xenon in the face of increased competition; and (iii) our outlook and expectations related to products manufactured at Jubilant HollisterStier (“JHS”) and global isotope supply.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8" w:lineRule="exact"/>
        <w:rPr>
          <w:rFonts w:ascii="Arial" w:cs="Arial" w:eastAsia="Arial" w:hAnsi="Arial"/>
          <w:sz w:val="17"/>
          <w:szCs w:val="17"/>
          <w:color w:val="auto"/>
        </w:rPr>
      </w:pPr>
    </w:p>
    <w:p>
      <w:pPr>
        <w:ind w:left="660" w:right="80" w:hanging="166"/>
        <w:spacing w:after="0" w:line="286"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ability to continue to grow the appropriate use of DEFINITY in suboptimal echocardiograms in the face of increased segment competition from other echocardiography contrast agents, including Optison from GE Healthcare Limited (“GE Healthcare”) and Lumason from Bracco Diagnostics Inc. (“Bracco”), and potential generic competition as a result of future patent and regulatory exclusivity expirations;</w:t>
      </w:r>
    </w:p>
    <w:p>
      <w:pPr>
        <w:spacing w:after="0" w:line="57" w:lineRule="exact"/>
        <w:rPr>
          <w:rFonts w:ascii="Arial" w:cs="Arial" w:eastAsia="Arial" w:hAnsi="Arial"/>
          <w:sz w:val="17"/>
          <w:szCs w:val="17"/>
          <w:color w:val="auto"/>
        </w:rPr>
      </w:pPr>
    </w:p>
    <w:p>
      <w:pPr>
        <w:ind w:left="660" w:hanging="166"/>
        <w:spacing w:after="0"/>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Risks associated with revenues and unit volumes for Xenon in pulmonary studies as a result of competition from Curium and potentially others;</w:t>
      </w:r>
    </w:p>
    <w:p>
      <w:pPr>
        <w:spacing w:after="0" w:line="128" w:lineRule="exact"/>
        <w:rPr>
          <w:rFonts w:ascii="Arial" w:cs="Arial" w:eastAsia="Arial" w:hAnsi="Arial"/>
          <w:sz w:val="17"/>
          <w:szCs w:val="17"/>
          <w:color w:val="auto"/>
        </w:rPr>
      </w:pPr>
    </w:p>
    <w:p>
      <w:pPr>
        <w:ind w:left="660" w:right="220" w:hanging="166"/>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dependence on key customers for our medical imaging products, and our ability to maintain and profitably renew our contracts with those key customers, including Cardinal Health (“Cardinal”), United Pharmacy Partners (“UPPI”), GE Healthcare and Jubilant Drax Image Radiopharmaceuticals (“JDI”) d/b/a Triad Isotopes, Inc. (“Triad”);</w:t>
      </w:r>
    </w:p>
    <w:p>
      <w:pPr>
        <w:spacing w:after="0" w:line="73"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 including DEFINITY at JHS;</w:t>
      </w:r>
    </w:p>
    <w:p>
      <w:pPr>
        <w:spacing w:after="0" w:line="117" w:lineRule="exact"/>
        <w:rPr>
          <w:rFonts w:ascii="Arial" w:cs="Arial" w:eastAsia="Arial" w:hAnsi="Arial"/>
          <w:sz w:val="18"/>
          <w:szCs w:val="18"/>
          <w:color w:val="auto"/>
        </w:rPr>
      </w:pPr>
    </w:p>
    <w:p>
      <w:pPr>
        <w:ind w:left="660" w:right="2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additional contract manufacturer sites, including an alternative microbubble formulation at Samsung BioLogics (“SBL”) in South Korea;</w:t>
      </w:r>
    </w:p>
    <w:p>
      <w:pPr>
        <w:spacing w:after="0" w:line="62" w:lineRule="exact"/>
        <w:rPr>
          <w:rFonts w:ascii="Arial" w:cs="Arial" w:eastAsia="Arial" w:hAnsi="Arial"/>
          <w:sz w:val="18"/>
          <w:szCs w:val="18"/>
          <w:color w:val="auto"/>
        </w:rPr>
      </w:pPr>
    </w:p>
    <w:p>
      <w:pPr>
        <w:ind w:left="660" w:right="400" w:hanging="166"/>
        <w:spacing w:after="0" w:line="342"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instability of the global Molybdenum-99 (“Moly”) supply, including recent regulatory issues at the NTP Radioisotopes (“NTP”) processing facility in South Africa, resulting in our inability to fill all of the demand for our TechneLite generators on certain manufacturing days;</w:t>
      </w:r>
    </w:p>
    <w:p>
      <w:pPr>
        <w:spacing w:after="0" w:line="15" w:lineRule="exact"/>
        <w:rPr>
          <w:rFonts w:ascii="Arial" w:cs="Arial" w:eastAsia="Arial" w:hAnsi="Arial"/>
          <w:sz w:val="16"/>
          <w:szCs w:val="16"/>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of GE Healthcare to successfully complete the Phase 3 development program;</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to obtain Food and Drug Administration (“FDA”) approval;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to gain post-approval market acceptance and adequate reimbursement;</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two new internal clinical development programs - DEFINITY for an ejection fraction (“EF”) indication and LMI 1195 for heart failure patient risk stratification;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investment in, and construction of, additional specialized manufacturing capabilities at our North Billerica, Massachusetts facility;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third-party healthcare payors and the uncertainty of third-party coverage and reimbursement rates;</w:t>
      </w:r>
    </w:p>
    <w:p>
      <w:pPr>
        <w:spacing w:after="0" w:line="140" w:lineRule="exact"/>
        <w:rPr>
          <w:rFonts w:ascii="Arial" w:cs="Arial" w:eastAsia="Arial" w:hAnsi="Arial"/>
          <w:sz w:val="16"/>
          <w:szCs w:val="16"/>
          <w:color w:val="auto"/>
        </w:rPr>
      </w:pPr>
    </w:p>
    <w:p>
      <w:pPr>
        <w:ind w:left="660" w:right="2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Uncertainties regarding the impact of on-going U.S. healthcare reform proposals on our business, including related reimbursements for our current and potential future products;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serious or unanticipated side effects with our products;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17" w:lineRule="exact"/>
        <w:rPr>
          <w:rFonts w:ascii="Arial" w:cs="Arial" w:eastAsia="Arial" w:hAnsi="Arial"/>
          <w:sz w:val="18"/>
          <w:szCs w:val="18"/>
          <w:color w:val="auto"/>
        </w:rPr>
      </w:pPr>
    </w:p>
    <w:p>
      <w:pPr>
        <w:ind w:left="660" w:right="44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 or potentially developed internally;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identify and in-license or acquire additional products to grow our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prevailing economic or political conditions and events and financial, business and other factors beyond our control;</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adequately protect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utilize, or limitations in our ability to utilize, net operating loss carryforwards to reduce our future tax liability;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17" w:lineRule="exact"/>
        <w:rPr>
          <w:rFonts w:ascii="Arial" w:cs="Arial" w:eastAsia="Arial" w:hAnsi="Arial"/>
          <w:sz w:val="18"/>
          <w:szCs w:val="18"/>
          <w:color w:val="auto"/>
        </w:rPr>
      </w:pPr>
    </w:p>
    <w:p>
      <w:pPr>
        <w:ind w:left="660" w:right="30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Act, including in connection with potentially becoming a large accelerated filer;</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ownership of our common stock;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factors that are described in Part I, Item 1A. “Risk Factors” in our Annual Report on Form 10-K for the year ended December 31, 2017.</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Factors that could cause or contribute to such differences include, but are not limited to, those that are discussed in other documents we file with the Securities and Exchange Commission (“SEC”). 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Securities Exchange Act of 1934, as soon as reasonably practicable after such reports are electronically filed with, or furnished to, the SEC, free of charge on our website at 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public may read and copy any materials we file with the SEC at the SEC’s Public Reference Room at 100 F Street, N.E., Washington, D.C. 20549. The public may obtain information on the operation of the Public Reference Room by calling the SEC at 1-800-SEC-0330. Our reports filed with, or furnished to, the SEC are also available on the SEC’s website at www.sec.gov, and for Annual Reports on Form 10-K and Quarterly Reports on Form 10-Q, in an XBRL (Extensible Business Reporting Language) format. XBRL is an electronic coding language used to create interactive financial statement data over the Internet. The information on our website is neither part of nor incorporated by reference in this Quarterly Report on Form 10-Q.</w:t>
      </w:r>
    </w:p>
    <w:p>
      <w:pPr>
        <w:spacing w:after="0" w:line="173"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88"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12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sell our products globally and have operations in the U.S., Puerto Rico and Canada and third party distribution relationships in Europe, Canada, Australia, Asia-Pacific and Latin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portfolio includes an ultrasound contrast agent and nuclear imaging products. Our principal products include the following:</w:t>
      </w:r>
    </w:p>
    <w:p>
      <w:pPr>
        <w:spacing w:after="0" w:line="117" w:lineRule="exact"/>
        <w:rPr>
          <w:sz w:val="20"/>
          <w:szCs w:val="20"/>
          <w:color w:val="auto"/>
        </w:rPr>
      </w:pPr>
    </w:p>
    <w:p>
      <w:pPr>
        <w:ind w:left="660" w:right="20" w:hanging="166"/>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DEFINITY is an ultrasound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 We launched DEFINITY in 2001, and in the U.S., an Orange Book-listed composition of matter patent will expire in 2019, a manufacturing patent will expire in 2021, a new Orange Book-listed method of use patent will expire in 2037 and another manufacturing patent will expire in 2037. In numerous foreign jurisdictions, patent protection or regulatory exclusivity will currently expire in 2019.</w:t>
      </w:r>
    </w:p>
    <w:p>
      <w:pPr>
        <w:spacing w:after="0" w:line="193" w:lineRule="exact"/>
        <w:rPr>
          <w:rFonts w:ascii="Arial" w:cs="Arial" w:eastAsia="Arial" w:hAnsi="Arial"/>
          <w:sz w:val="18"/>
          <w:szCs w:val="18"/>
          <w:color w:val="auto"/>
        </w:rPr>
      </w:pPr>
    </w:p>
    <w:p>
      <w:pPr>
        <w:ind w:left="660" w:right="260" w:hanging="16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TechneLite is a Technetium generator that provides the essential nuclear material used by radiopharmacies to radiolabel Cardiolite, Neurolite and other Technetium-based radiopharmaceuticals used in nuclear medicine procedures. TechneLite uses Moly as its active ingredient.</w:t>
      </w:r>
    </w:p>
    <w:p>
      <w:pPr>
        <w:spacing w:after="0" w:line="123" w:lineRule="exact"/>
        <w:rPr>
          <w:rFonts w:ascii="Arial" w:cs="Arial" w:eastAsia="Arial" w:hAnsi="Arial"/>
          <w:sz w:val="16"/>
          <w:szCs w:val="16"/>
          <w:color w:val="auto"/>
        </w:rPr>
      </w:pPr>
    </w:p>
    <w:p>
      <w:pPr>
        <w:ind w:left="660" w:right="580" w:hanging="16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Xenon is a radiopharmaceutical gas that is inhaled and used to assess pulmonary function and also for imaging cerebral blood flow. Xenon is manufactured by a third party and is processed and finished by us.</w:t>
      </w:r>
    </w:p>
    <w:p>
      <w:pPr>
        <w:spacing w:after="0" w:line="17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Sales of our contrast agent, DEFINITY, are made in the U.S. and Canada through a DEFINITY direct sales team. In the U.S., our nuclear imaging products, including TechneLite, Xenon, Neurolite and Cardiolite, are primarily distributed through commercial radiopharmacies, the majority of which are controlled by or associated with Cardinal, UPPI, GE Healthcare and Triad. A small portion of our nuclear imaging product sales in the U.S. are made through our direct sales force to hospitals and clinics that maintain their own in-house radiopharmaceutical capabilities. Outside the U.S., we own one radiopharmacy in Puerto Rico, where we sell our own products as well as products of third parties to end-users.</w:t>
      </w:r>
    </w:p>
    <w:p>
      <w:pPr>
        <w:spacing w:after="0" w:line="1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maintain our own direct sales force in Canada so that we can control the importation, marketing, distribution and sale of our imaging agents in Canada. In Europe, Australia, Asia-Pacific and Latin America, we rely on third-party distributors to market, sell and distribute our nuclear imaging and contrast agent products, either on a country-by-country basis or on a multi-country regional basis.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revenues derived from our principal products:</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3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 of</w:t>
            </w:r>
          </w:p>
        </w:tc>
      </w:tr>
      <w:tr>
        <w:trPr>
          <w:trHeight w:val="194"/>
        </w:trPr>
        <w:tc>
          <w:tcPr>
            <w:tcW w:w="40" w:type="dxa"/>
            <w:vAlign w:val="bottom"/>
          </w:tcPr>
          <w:p>
            <w:pPr>
              <w:spacing w:after="0"/>
              <w:rPr>
                <w:sz w:val="16"/>
                <w:szCs w:val="16"/>
                <w:color w:val="auto"/>
              </w:rPr>
            </w:pPr>
          </w:p>
        </w:tc>
        <w:tc>
          <w:tcPr>
            <w:tcW w:w="24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94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44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4"/>
              </w:rPr>
              <w:t>Revenues</w:t>
            </w:r>
          </w:p>
        </w:tc>
        <w:tc>
          <w:tcPr>
            <w:tcW w:w="400" w:type="dxa"/>
            <w:vAlign w:val="bottom"/>
          </w:tcPr>
          <w:p>
            <w:pPr>
              <w:spacing w:after="0"/>
              <w:rPr>
                <w:sz w:val="16"/>
                <w:szCs w:val="16"/>
                <w:color w:val="auto"/>
              </w:rPr>
            </w:pPr>
          </w:p>
        </w:tc>
        <w:tc>
          <w:tcPr>
            <w:tcW w:w="84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6"/>
                <w:szCs w:val="16"/>
                <w:color w:val="auto"/>
              </w:rPr>
            </w:pPr>
          </w:p>
        </w:tc>
        <w:tc>
          <w:tcPr>
            <w:tcW w:w="13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Revenues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4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TechneLite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26,825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Xenon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9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40" w:top="175"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DEFINITY and Our Microbubble Franchise Strategy</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product mix. As we better educate the physician and healthcare provider community about the benefits and risks of this product, we believe we will be able to continue to grow the appropriate use of DEFINITY in suboptimal echocardiograms.</w:t>
      </w:r>
    </w:p>
    <w:p>
      <w:pPr>
        <w:spacing w:after="0" w:line="18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There are three echocardiography contrast agents approved by the FDA for sale in the U.S.—DEFINITY which we estimated as having over 80% of the U.S. market for contrast agents in echocardiography procedures as of December 31, 2017, Optison from GE Healthcare and Lumason from Bracco. As part of our microbubble franchise strategy, we continue to actively pursue additional patents in connection with DEFINITY, alternative microbubble formulations and related technology. We also plan to initiate additional clinical trials with DEFINITY in the second half of 2018 to pursue expansion of the current DEFINITY indication to include EF. However, we can give no assurance that our microbubble franchise strategy will be successful or that new patents or approvals will protect the agent or be defensible in the face of potential generic competition. See Part I,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 of our Annual Report on Form 10-K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Xenon</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Curium, sold packaged Xenon as a pulmonary imaging agent in the U.S., but from 2010 through the first quarter of 2016, we were the only supplier of this imaging agent in the U.S. In March 2016, Curium received regulatory approval from the FDA to again sell packaged Xenon in the U.S. and began to do so. Depending upon the pricing, extent of availability and market penetration of Curium’s offering, we believe we are at risk for volume loss and price erosion from those customers that are not subject to price or volume commitments with us. In addition to competition from Curium, other imaging agents and modalities could potentially compete with, or displace, packaged Xenon in pulmonary studies. If there is an increase in the use of other imaging agents or modalities in place of packaged Xenon, our current sales volumes would decrease, which could have a negative effect on our business, results of operations, financial condition and cash flows. See Part I, Item 1A. “Risk Factors—We face revenue and unit volume risk for Xenon in pulmonary studies as a result of competition from Curium and potentially others” of our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obtain a substantial portion of our imaging agents from third-party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18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addition to JHS, we are also currently working to secure additional alternative suppliers for our key products as part of our ongoing supply chain diversification strategy. We have ongoing development and technology transfer activities for an alternative microbubble formulation with SBL, which is located in South Korea, but we cannot give any assurances as to if and when those technology transfer activities will be completed and when we will begin to receive supply of an alternative microbubble formulation from SBL. We have also commenced an extensive, multi-year effort to add specialized manufacturing capabilities at our North Billerica, Massachusetts facility. This project is part of a larger strategy to create a competitive advantage in specialized manufacturing, which will also allow us to optimize our costs and reduce our supply chain risk. As part of this project, we plan to retrofit an underutilized manufacturing and storage building to house our proposed manufacturing facility. We can give no assurance that we will be successful in these efforts or that we will be able to successfully manufacture any additional commercial products at our North Billerica, Massachusetts facility.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2017.</w:t>
      </w:r>
    </w:p>
    <w:p>
      <w:pPr>
        <w:spacing w:after="0" w:line="18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75"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Isotope Supply</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currently have Moly supply agreements with NTP of South Africa, for itself and on behalf of its subcontractor ANSTO of Australia, running through December 31, 2020, and with IRE, running through December 31, 2018, renewable by us on a year-to-year basis thereafter. We also have a Xenon supply agreement with IRE which runs through June 30, 2019, also subject to extensions.</w:t>
      </w:r>
    </w:p>
    <w:p>
      <w:pPr>
        <w:spacing w:after="0" w:line="18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Historically, our largest supplier of Moly was Nordion, which relied on the National Research Universal (“NRU”) reactor in Canada for its supply of Moly. As a result of a decision by the Government of Canada, the NRU reactor exited the medical isotope business in November 2016. ANSTO has already significantly increased its Moly production capacity from its existing facility in August 2016 and has under construction, in cooperation with NTP, a new Moly processing facility that ANSTO believes will expand its production capacity, which is expected to be in commercial operation in the second half of 2018. In addition, IRE received approval from its regulator to expand its production capability by up to 50% of its former capacity. The combined ANSTO and IRE production capacity is expected to replace what was the NRU’s most recent routine production.</w:t>
      </w:r>
    </w:p>
    <w:p>
      <w:pPr>
        <w:spacing w:after="0" w:line="17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believe we are generally well-positioned with ANSTO, IRE and NTP to have a secure supply of Moly, including low-enriched uranium-based Moly produced from targets containing less than 20% of Uranium-235. However, we still have challenges from to time to time in our Moly supply chain. For example, due to regulatory issues, the NTP processing facility was off-line from late November 2017 until mid-February 2018, and we were forced to rely on Moly supply from only ANSTO and IRE during this period, resulting in our inability to fill all of the demand for our TechneLite generators on certain manufacturing days and consequently decreasing revenue and cash flow from this product line during this period as compared to prior periods.</w:t>
      </w:r>
    </w:p>
    <w:p>
      <w:pPr>
        <w:spacing w:after="0" w:line="1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receiving bulk unprocessed Xenon from IRE, which we are processing and finishing for our customers. We believe we are well-positioned to supply Xenon to our customers. See Part 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 and “—Our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On April 25, 2017, we announced entering into a definitive, exclusive Collaboration and License Agreement with GE Healthcare for the continued Phase 3 development and worldwide commercialization of flurpiridaz F 18. As part of our microbubble franchise strategy, in the second half of 2018, we plan to initiate additional clinical trials with DEFINITY to pursue expansion of the current DEFINITY indication to include EF. In addition, by year end 2018, we currently anticipate entering into a single Phase 3 clinical trial for LMI 1195 to demonstrate improved risk stratification of ischemic heart failure patients. Our investments in these additional clinical activities will increase our operating expenses and impact our results of operations and cash flow.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report our results of operations in two operating segments: U.S. and International. We generate a greater proportion of our revenues and net income in the U.S. segment, which consists of all regions of the U.S. with the exception of Puerto Rico.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results for the three months ended March 31, 2018 as compared to the corresponding period in 2017 reflect the following:</w:t>
      </w:r>
    </w:p>
    <w:p>
      <w:pPr>
        <w:spacing w:after="0" w:line="117"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revenues for DEFINITY in the suboptimal echocardiogram segment as a result of our continued focused sales efforts;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revenues for TechneLite primarily as a result of a temporary supplier disruption;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depreciation expense as a result of the scheduled decommissioning of certain long-lived assets during the prior year period;</w:t>
      </w:r>
    </w:p>
    <w:p>
      <w:pPr>
        <w:spacing w:after="0" w:line="117" w:lineRule="exact"/>
        <w:rPr>
          <w:rFonts w:ascii="Arial" w:cs="Arial" w:eastAsia="Arial" w:hAnsi="Arial"/>
          <w:sz w:val="18"/>
          <w:szCs w:val="18"/>
          <w:color w:val="auto"/>
        </w:rPr>
      </w:pPr>
    </w:p>
    <w:p>
      <w:pPr>
        <w:ind w:left="660" w:right="72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general and administrative expense of $1.7 million incurred in connection with the refinancing of our debt, as well as a related $2.2 million loss on the extinguishment of debt during the prior year period;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interest expense of $1.4 million due to the refinancing, and subsequent repricing, of our debt; and</w:t>
      </w:r>
    </w:p>
    <w:p>
      <w:pPr>
        <w:spacing w:after="0" w:line="117" w:lineRule="exact"/>
        <w:rPr>
          <w:rFonts w:ascii="Arial" w:cs="Arial" w:eastAsia="Arial" w:hAnsi="Arial"/>
          <w:sz w:val="18"/>
          <w:szCs w:val="18"/>
          <w:color w:val="auto"/>
        </w:rPr>
      </w:pPr>
    </w:p>
    <w:p>
      <w:pPr>
        <w:ind w:left="660" w:right="28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tax expense due to the profit generated during the three months ended March 31, 2018 and the fact that we no longer record a valuation allowance against our domestic deferred tax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7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20" w:type="dxa"/>
            <w:vAlign w:val="bottom"/>
            <w:gridSpan w:val="7"/>
          </w:tcPr>
          <w:p>
            <w:pPr>
              <w:jc w:val="center"/>
              <w:ind w:right="11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4"/>
          </w:tcPr>
          <w:p>
            <w:pPr>
              <w:jc w:val="right"/>
              <w:ind w:right="51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2017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Borders>
              <w:top w:val="single" w:sz="8" w:color="auto"/>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400" w:type="dxa"/>
            <w:vAlign w:val="bottom"/>
            <w:tcBorders>
              <w:right w:val="single" w:sz="8" w:color="CCEEFF"/>
            </w:tcBorders>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82,630</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40,321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41,597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2"/>
                <w:szCs w:val="22"/>
                <w:color w:val="auto"/>
              </w:rPr>
            </w:pPr>
          </w:p>
        </w:tc>
        <w:tc>
          <w:tcPr>
            <w:tcW w:w="400" w:type="dxa"/>
            <w:vAlign w:val="bottom"/>
            <w:tcBorders>
              <w:right w:val="single" w:sz="8" w:color="CCEEFF"/>
            </w:tcBorders>
          </w:tcPr>
          <w:p>
            <w:pPr>
              <w:spacing w:after="0"/>
              <w:rPr>
                <w:sz w:val="22"/>
                <w:szCs w:val="22"/>
                <w:color w:val="auto"/>
              </w:rPr>
            </w:pPr>
          </w:p>
        </w:tc>
        <w:tc>
          <w:tcPr>
            <w:tcW w:w="3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42,309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400" w:type="dxa"/>
            <w:vAlign w:val="bottom"/>
            <w:tcBorders>
              <w:right w:val="single" w:sz="8" w:color="CCEEFF"/>
            </w:tcBorders>
          </w:tcPr>
          <w:p>
            <w:pPr>
              <w:spacing w:after="0"/>
              <w:rPr>
                <w:sz w:val="21"/>
                <w:szCs w:val="21"/>
                <w:color w:val="auto"/>
              </w:rPr>
            </w:pPr>
          </w:p>
        </w:tc>
        <w:tc>
          <w:tcPr>
            <w:tcW w:w="3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3"/>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12,270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Pr>
          <w:p>
            <w:pPr>
              <w:spacing w:after="0"/>
              <w:rPr>
                <w:sz w:val="23"/>
                <w:szCs w:val="23"/>
                <w:color w:val="auto"/>
              </w:rPr>
            </w:pPr>
          </w:p>
        </w:tc>
        <w:tc>
          <w:tcPr>
            <w:tcW w:w="400" w:type="dxa"/>
            <w:vAlign w:val="bottom"/>
            <w:tcBorders>
              <w:right w:val="single" w:sz="8" w:color="CCEEFF"/>
            </w:tcBorders>
          </w:tcPr>
          <w:p>
            <w:pPr>
              <w:spacing w:after="0"/>
              <w:rPr>
                <w:sz w:val="23"/>
                <w:szCs w:val="23"/>
                <w:color w:val="auto"/>
              </w:rPr>
            </w:pPr>
          </w:p>
        </w:tc>
        <w:tc>
          <w:tcPr>
            <w:tcW w:w="3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3"/>
          </w:tcPr>
          <w:p>
            <w:pPr>
              <w:ind w:left="6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27,172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27,835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400" w:type="dxa"/>
            <w:vAlign w:val="bottom"/>
            <w:tcBorders>
              <w:right w:val="single" w:sz="8" w:color="CCEEFF"/>
            </w:tcBorders>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5,420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0" w:type="dxa"/>
            <w:vAlign w:val="bottom"/>
            <w:tcBorders>
              <w:right w:val="single" w:sz="8" w:color="CCEEFF"/>
            </w:tcBorders>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400" w:type="dxa"/>
            <w:vAlign w:val="bottom"/>
            <w:tcBorders>
              <w:right w:val="single" w:sz="8" w:color="CCEEFF"/>
            </w:tcBorders>
          </w:tcPr>
          <w:p>
            <w:pPr>
              <w:spacing w:after="0"/>
              <w:rPr>
                <w:sz w:val="21"/>
                <w:szCs w:val="21"/>
                <w:color w:val="auto"/>
              </w:rPr>
            </w:pPr>
          </w:p>
        </w:tc>
        <w:tc>
          <w:tcPr>
            <w:tcW w:w="32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400" w:type="dxa"/>
            <w:vAlign w:val="bottom"/>
            <w:tcBorders>
              <w:right w:val="single" w:sz="8" w:color="CCEEFF"/>
            </w:tcBorders>
          </w:tcPr>
          <w:p>
            <w:pPr>
              <w:spacing w:after="0"/>
              <w:rPr>
                <w:sz w:val="21"/>
                <w:szCs w:val="21"/>
                <w:color w:val="auto"/>
              </w:rPr>
            </w:pPr>
          </w:p>
        </w:tc>
        <w:tc>
          <w:tcPr>
            <w:tcW w:w="3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8,211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right w:val="single" w:sz="8" w:color="CCEEFF"/>
            </w:tcBorders>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3"/>
              </w:rPr>
              <w:t>Comparison of the Periods Ended March 31, 2018 and 2017</w:t>
            </w: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60" w:type="dxa"/>
            <w:vAlign w:val="bottom"/>
            <w:gridSpan w:val="5"/>
          </w:tcPr>
          <w:p>
            <w:pPr>
              <w:ind w:left="420"/>
              <w:spacing w:after="0"/>
              <w:rPr>
                <w:sz w:val="20"/>
                <w:szCs w:val="20"/>
                <w:color w:val="auto"/>
              </w:rPr>
            </w:pPr>
            <w:r>
              <w:rPr>
                <w:rFonts w:ascii="Arial" w:cs="Arial" w:eastAsia="Arial" w:hAnsi="Arial"/>
                <w:sz w:val="18"/>
                <w:szCs w:val="18"/>
                <w:color w:val="auto"/>
                <w:w w:val="93"/>
              </w:rPr>
              <w:t>Segment revenues are summarized by product as follows: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7"/>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ind w:left="360"/>
              <w:spacing w:after="0"/>
              <w:rPr>
                <w:sz w:val="20"/>
                <w:szCs w:val="20"/>
                <w:color w:val="auto"/>
              </w:rPr>
            </w:pPr>
            <w:r>
              <w:rPr>
                <w:rFonts w:ascii="Arial" w:cs="Arial" w:eastAsia="Arial" w:hAnsi="Arial"/>
                <w:sz w:val="18"/>
                <w:szCs w:val="18"/>
                <w:b w:val="1"/>
                <w:bCs w:val="1"/>
                <w:color w:val="auto"/>
              </w:rPr>
              <w:t>Change</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36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10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390"/>
              <w:spacing w:after="0" w:line="194" w:lineRule="exact"/>
              <w:rPr>
                <w:sz w:val="20"/>
                <w:szCs w:val="20"/>
                <w:color w:val="auto"/>
              </w:rPr>
            </w:pPr>
            <w:r>
              <w:rPr>
                <w:rFonts w:ascii="Arial" w:cs="Arial" w:eastAsia="Arial" w:hAnsi="Arial"/>
                <w:sz w:val="18"/>
                <w:szCs w:val="18"/>
                <w:b w:val="1"/>
                <w:bCs w:val="1"/>
                <w:color w:val="auto"/>
              </w:rPr>
              <w:t>2017</w:t>
            </w:r>
          </w:p>
        </w:tc>
        <w:tc>
          <w:tcPr>
            <w:tcW w:w="8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400" w:type="dxa"/>
            <w:vAlign w:val="bottom"/>
            <w:tcBorders>
              <w:top w:val="single" w:sz="8" w:color="auto"/>
              <w:bottom w:val="single" w:sz="8" w:color="CCEEFF"/>
            </w:tcBorders>
          </w:tcPr>
          <w:p>
            <w:pPr>
              <w:spacing w:after="0"/>
              <w:rPr>
                <w:sz w:val="4"/>
                <w:szCs w:val="4"/>
                <w:color w:val="auto"/>
              </w:rPr>
            </w:pPr>
          </w:p>
        </w:tc>
        <w:tc>
          <w:tcPr>
            <w:tcW w:w="700" w:type="dxa"/>
            <w:vAlign w:val="bottom"/>
            <w:tcBorders>
              <w:top w:val="single" w:sz="8" w:color="auto"/>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CCEEFF"/>
            </w:tcBorders>
          </w:tcPr>
          <w:p>
            <w:pPr>
              <w:spacing w:after="0"/>
              <w:rPr>
                <w:sz w:val="21"/>
                <w:szCs w:val="21"/>
                <w:color w:val="auto"/>
              </w:rPr>
            </w:pPr>
          </w:p>
        </w:tc>
        <w:tc>
          <w:tcPr>
            <w:tcW w:w="3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DEFINITY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36,923</w:t>
            </w:r>
          </w:p>
        </w:tc>
        <w:tc>
          <w:tcPr>
            <w:tcW w:w="8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6,583</w:t>
            </w: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right w:val="single" w:sz="8" w:color="CCEEFF"/>
            </w:tcBorders>
          </w:tcPr>
          <w:p>
            <w:pPr>
              <w:spacing w:after="0"/>
              <w:rPr>
                <w:sz w:val="21"/>
                <w:szCs w:val="21"/>
                <w:color w:val="auto"/>
              </w:rPr>
            </w:pPr>
          </w:p>
        </w:tc>
        <w:tc>
          <w:tcPr>
            <w:tcW w:w="36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TechneLite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23,308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Xenon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right w:val="single" w:sz="8" w:color="CCEEFF"/>
            </w:tcBorders>
          </w:tcPr>
          <w:p>
            <w:pPr>
              <w:spacing w:after="0"/>
              <w:rPr>
                <w:sz w:val="23"/>
                <w:szCs w:val="23"/>
                <w:color w:val="auto"/>
              </w:rPr>
            </w:pPr>
          </w:p>
        </w:tc>
        <w:tc>
          <w:tcPr>
            <w:tcW w:w="36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U.S.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71,027</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00" w:type="dxa"/>
            <w:vAlign w:val="bottom"/>
            <w:tcBorders>
              <w:right w:val="single" w:sz="8" w:color="CCEEFF"/>
            </w:tcBorders>
          </w:tcPr>
          <w:p>
            <w:pPr>
              <w:spacing w:after="0"/>
              <w:rPr>
                <w:sz w:val="21"/>
                <w:szCs w:val="21"/>
                <w:color w:val="auto"/>
              </w:rPr>
            </w:pPr>
          </w:p>
        </w:tc>
        <w:tc>
          <w:tcPr>
            <w:tcW w:w="3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DEFINITY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45.6 %</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right w:val="single" w:sz="8" w:color="CCEEFF"/>
            </w:tcBorders>
          </w:tcPr>
          <w:p>
            <w:pPr>
              <w:spacing w:after="0"/>
              <w:rPr>
                <w:sz w:val="21"/>
                <w:szCs w:val="21"/>
                <w:color w:val="auto"/>
              </w:rPr>
            </w:pPr>
          </w:p>
        </w:tc>
        <w:tc>
          <w:tcPr>
            <w:tcW w:w="36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TechneLite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660" w:type="dxa"/>
            <w:vAlign w:val="bottom"/>
            <w:gridSpan w:val="4"/>
          </w:tcPr>
          <w:p>
            <w:pPr>
              <w:ind w:left="340"/>
              <w:spacing w:after="0"/>
              <w:rPr>
                <w:sz w:val="20"/>
                <w:szCs w:val="20"/>
                <w:color w:val="auto"/>
              </w:rPr>
            </w:pPr>
            <w:r>
              <w:rPr>
                <w:rFonts w:ascii="Arial" w:cs="Arial" w:eastAsia="Arial" w:hAnsi="Arial"/>
                <w:sz w:val="18"/>
                <w:szCs w:val="18"/>
                <w:color w:val="auto"/>
              </w:rPr>
              <w:t>Xenon</w:t>
            </w:r>
          </w:p>
        </w:tc>
        <w:tc>
          <w:tcPr>
            <w:tcW w:w="2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right w:val="single" w:sz="8" w:color="CCEEFF"/>
            </w:tcBorders>
          </w:tcPr>
          <w:p>
            <w:pPr>
              <w:spacing w:after="0"/>
              <w:rPr>
                <w:sz w:val="23"/>
                <w:szCs w:val="23"/>
                <w:color w:val="auto"/>
              </w:rPr>
            </w:pPr>
          </w:p>
        </w:tc>
        <w:tc>
          <w:tcPr>
            <w:tcW w:w="36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International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100" w:type="dxa"/>
            <w:vAlign w:val="bottom"/>
            <w:tcBorders>
              <w:right w:val="single" w:sz="8" w:color="CCEEFF"/>
            </w:tcBorders>
          </w:tcPr>
          <w:p>
            <w:pPr>
              <w:spacing w:after="0"/>
              <w:rPr>
                <w:sz w:val="22"/>
                <w:szCs w:val="22"/>
                <w:color w:val="auto"/>
              </w:rPr>
            </w:pPr>
          </w:p>
        </w:tc>
        <w:tc>
          <w:tcPr>
            <w:tcW w:w="36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81,359</w:t>
            </w:r>
          </w:p>
        </w:tc>
        <w:tc>
          <w:tcPr>
            <w:tcW w:w="860" w:type="dxa"/>
            <w:vAlign w:val="bottom"/>
            <w:tcBorders>
              <w:bottom w:val="single" w:sz="8" w:color="CCEEFF"/>
              <w:right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the U.S. segment revenues for the three months ended March 31, 2018, as compared to the prior year period is primarily due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 million increase in DEFINITY revenues as a result of higher unit volumes. This was offset, in part by a $5.2 million decrease in TechneLite revenues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as a result of lower unit volumes due to a temporary supplier disruption and a $0.7 million increase in rebate and allowance provisions.</w:t>
      </w:r>
    </w:p>
    <w:p>
      <w:pPr>
        <w:spacing w:after="0" w:line="222"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increase in the International segment revenues for the three months ended March 31, 2018, as compared to the prior year period is primarily due to a $0.4 million increase in DEFINITY revenues as a result of higher unit volumes and $0.4 million as a result of higher Thallium volumes.</w:t>
      </w:r>
    </w:p>
    <w:p>
      <w:pPr>
        <w:sectPr>
          <w:pgSz w:w="11900" w:h="16838" w:orient="portrait"/>
          <w:cols w:equalWidth="0" w:num="1">
            <w:col w:w="11300"/>
          </w:cols>
          <w:pgMar w:left="240" w:top="175" w:right="359" w:bottom="1440" w:gutter="0" w:footer="0" w:header="0"/>
        </w:sectPr>
      </w:pP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00"/>
          </w:cols>
          <w:pgMar w:left="240" w:top="175" w:right="3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other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Rebates and</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35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540"/>
              <w:spacing w:after="0" w:line="194" w:lineRule="exact"/>
              <w:rPr>
                <w:sz w:val="20"/>
                <w:szCs w:val="20"/>
                <w:color w:val="auto"/>
              </w:rPr>
            </w:pPr>
            <w:r>
              <w:rPr>
                <w:rFonts w:ascii="Arial" w:cs="Arial" w:eastAsia="Arial" w:hAnsi="Arial"/>
                <w:sz w:val="18"/>
                <w:szCs w:val="18"/>
                <w:b w:val="1"/>
                <w:bCs w:val="1"/>
                <w:color w:val="auto"/>
              </w:rPr>
              <w:t>Allowances</w:t>
            </w: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520" w:type="dxa"/>
            <w:vAlign w:val="bottom"/>
            <w:tcBorders>
              <w:top w:val="single" w:sz="8" w:color="auto"/>
              <w:bottom w:val="single" w:sz="8" w:color="CCEEFF"/>
            </w:tcBorders>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80" w:type="dxa"/>
            <w:vAlign w:val="bottom"/>
            <w:tcBorders>
              <w:right w:val="single" w:sz="8" w:color="CCEEFF"/>
            </w:tcBorders>
          </w:tcPr>
          <w:p>
            <w:pPr>
              <w:spacing w:after="0"/>
              <w:rPr>
                <w:sz w:val="21"/>
                <w:szCs w:val="21"/>
                <w:color w:val="auto"/>
              </w:rPr>
            </w:pPr>
          </w:p>
        </w:tc>
        <w:tc>
          <w:tcPr>
            <w:tcW w:w="35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580" w:type="dxa"/>
            <w:vAlign w:val="bottom"/>
            <w:gridSpan w:val="4"/>
          </w:tcPr>
          <w:p>
            <w:pPr>
              <w:ind w:left="340"/>
              <w:spacing w:after="0"/>
              <w:rPr>
                <w:sz w:val="20"/>
                <w:szCs w:val="20"/>
                <w:color w:val="auto"/>
              </w:rPr>
            </w:pPr>
            <w:r>
              <w:rPr>
                <w:rFonts w:ascii="Arial" w:cs="Arial" w:eastAsia="Arial" w:hAnsi="Arial"/>
                <w:sz w:val="18"/>
                <w:szCs w:val="18"/>
                <w:color w:val="auto"/>
                <w:w w:val="92"/>
              </w:rPr>
              <w:t>Provision related to current period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right w:val="single" w:sz="8" w:color="CCEEFF"/>
            </w:tcBorders>
          </w:tcPr>
          <w:p>
            <w:pPr>
              <w:spacing w:after="0"/>
              <w:rPr>
                <w:sz w:val="21"/>
                <w:szCs w:val="21"/>
                <w:color w:val="auto"/>
              </w:rPr>
            </w:pPr>
          </w:p>
        </w:tc>
        <w:tc>
          <w:tcPr>
            <w:tcW w:w="3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98"/>
              </w:rPr>
              <w:t>Adjustments relating to prior period revenues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580" w:type="dxa"/>
            <w:vAlign w:val="bottom"/>
            <w:gridSpan w:val="4"/>
          </w:tcPr>
          <w:p>
            <w:pPr>
              <w:ind w:left="340"/>
              <w:spacing w:after="0"/>
              <w:rPr>
                <w:sz w:val="20"/>
                <w:szCs w:val="20"/>
                <w:color w:val="auto"/>
              </w:rPr>
            </w:pPr>
            <w:r>
              <w:rPr>
                <w:rFonts w:ascii="Arial" w:cs="Arial" w:eastAsia="Arial" w:hAnsi="Arial"/>
                <w:sz w:val="18"/>
                <w:szCs w:val="18"/>
                <w:color w:val="auto"/>
                <w:w w:val="92"/>
              </w:rPr>
              <w:t>Payments or credits made during the period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 w:type="dxa"/>
            <w:vAlign w:val="bottom"/>
            <w:tcBorders>
              <w:right w:val="single" w:sz="8" w:color="CCEEFF"/>
            </w:tcBorders>
          </w:tcPr>
          <w:p>
            <w:pPr>
              <w:spacing w:after="0"/>
              <w:rPr>
                <w:sz w:val="21"/>
                <w:szCs w:val="21"/>
                <w:color w:val="auto"/>
              </w:rPr>
            </w:pPr>
          </w:p>
        </w:tc>
        <w:tc>
          <w:tcPr>
            <w:tcW w:w="35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0"/>
        </w:trPr>
        <w:tc>
          <w:tcPr>
            <w:tcW w:w="880" w:type="dxa"/>
            <w:vAlign w:val="bottom"/>
            <w:tcBorders>
              <w:right w:val="single" w:sz="8" w:color="CCEEFF"/>
            </w:tcBorders>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gridSpan w:val="5"/>
          </w:tcPr>
          <w:p>
            <w:pPr>
              <w:ind w:left="420"/>
              <w:spacing w:after="0"/>
              <w:rPr>
                <w:sz w:val="20"/>
                <w:szCs w:val="20"/>
                <w:color w:val="auto"/>
              </w:rPr>
            </w:pPr>
            <w:r>
              <w:rPr>
                <w:rFonts w:ascii="Arial" w:cs="Arial" w:eastAsia="Arial" w:hAnsi="Arial"/>
                <w:sz w:val="18"/>
                <w:szCs w:val="18"/>
                <w:color w:val="auto"/>
              </w:rPr>
              <w:t>Gross profit is summarized by segment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630"/>
              <w:spacing w:after="0" w:line="194"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116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520" w:type="dxa"/>
            <w:vAlign w:val="bottom"/>
            <w:tcBorders>
              <w:right w:val="single" w:sz="8" w:color="CCEEFF"/>
            </w:tcBorders>
          </w:tcPr>
          <w:p>
            <w:pPr>
              <w:spacing w:after="0"/>
              <w:rPr>
                <w:sz w:val="21"/>
                <w:szCs w:val="21"/>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2"/>
                <w:szCs w:val="22"/>
                <w:color w:val="auto"/>
              </w:rPr>
            </w:pPr>
          </w:p>
        </w:tc>
        <w:tc>
          <w:tcPr>
            <w:tcW w:w="520" w:type="dxa"/>
            <w:vAlign w:val="bottom"/>
            <w:tcBorders>
              <w:right w:val="single" w:sz="8" w:color="CCEEFF"/>
            </w:tcBorders>
          </w:tcPr>
          <w:p>
            <w:pPr>
              <w:spacing w:after="0"/>
              <w:rPr>
                <w:sz w:val="22"/>
                <w:szCs w:val="22"/>
                <w:color w:val="auto"/>
              </w:rPr>
            </w:pPr>
          </w:p>
        </w:tc>
        <w:tc>
          <w:tcPr>
            <w:tcW w:w="30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2,547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The increase in the U.S. segment gross profit for the three months ended March 31, 2018 over the prior year period is primarily due to higher DEFINITY unit volumes. This was offset by lower TechneLite unit volumes as a result of a temporary supplier disruption and an increase in excess and obsolete inventory reserves of other materials.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increase in the International segment gross profit for the three months ended March 31, 2018 over the prior year period is primarily due to higher DEFINITY unit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 is summarized by segment as follows: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13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3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194"/>
        </w:trPr>
        <w:tc>
          <w:tcPr>
            <w:tcW w:w="20" w:type="dxa"/>
            <w:vAlign w:val="bottom"/>
          </w:tcPr>
          <w:p>
            <w:pPr>
              <w:spacing w:after="0"/>
              <w:rPr>
                <w:sz w:val="16"/>
                <w:szCs w:val="16"/>
                <w:color w:val="auto"/>
              </w:rPr>
            </w:pPr>
          </w:p>
        </w:tc>
        <w:tc>
          <w:tcPr>
            <w:tcW w:w="3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10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36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20" w:type="dxa"/>
            <w:vAlign w:val="bottom"/>
          </w:tcPr>
          <w:p>
            <w:pPr>
              <w:spacing w:after="0"/>
              <w:rPr>
                <w:sz w:val="21"/>
                <w:szCs w:val="21"/>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sales and marketing</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the U.S. segment sales and marketing expenses for the three months ended March 31, 2018 over the prior year period is primarily due to employee-related expenses.</w:t>
      </w:r>
    </w:p>
    <w:p>
      <w:pPr>
        <w:sectPr>
          <w:pgSz w:w="11900" w:h="16838" w:orient="portrait"/>
          <w:cols w:equalWidth="0" w:num="1">
            <w:col w:w="11380"/>
          </w:cols>
          <w:pgMar w:left="240" w:top="175" w:right="27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175"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 expense is summarized by segment as follows: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194"/>
        </w:trPr>
        <w:tc>
          <w:tcPr>
            <w:tcW w:w="20" w:type="dxa"/>
            <w:vAlign w:val="bottom"/>
          </w:tcPr>
          <w:p>
            <w:pPr>
              <w:spacing w:after="0"/>
              <w:rPr>
                <w:sz w:val="16"/>
                <w:szCs w:val="16"/>
                <w:color w:val="auto"/>
              </w:rPr>
            </w:pPr>
          </w:p>
        </w:tc>
        <w:tc>
          <w:tcPr>
            <w:tcW w:w="30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9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20" w:type="dxa"/>
            <w:vAlign w:val="bottom"/>
          </w:tcPr>
          <w:p>
            <w:pPr>
              <w:spacing w:after="0"/>
              <w:rPr>
                <w:sz w:val="21"/>
                <w:szCs w:val="21"/>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increase in the U.S. segment general and administrative expenses for the three months ended March 31, 2018 over the prior year period was primarily due to higher employee-related expenses, campus consolidation costs and higher information technology and legal costs, which were partially offset by non-recurrence of $1.7 million of debt refinancing costs incurred in the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Research and development expenses relate primarily to the development of new products to add to our portfolio and costs related to our medical affairs, medical information and regulatory functions. We do not allocate research and development expenses incurred in the U.S. to our International segment.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 is summarized by segment as follows:</w:t>
      </w:r>
    </w:p>
    <w:p>
      <w:pPr>
        <w:spacing w:after="0" w:line="167"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1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3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3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380" w:type="dxa"/>
            <w:vAlign w:val="bottom"/>
          </w:tcPr>
          <w:p>
            <w:pPr>
              <w:jc w:val="right"/>
              <w:ind w:right="5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191.0 %</w:t>
            </w:r>
          </w:p>
        </w:tc>
      </w:tr>
      <w:tr>
        <w:trPr>
          <w:trHeight w:val="27"/>
        </w:trPr>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decrease in the U.S. segment research and development expenses for the three months ended March 31, 2018 over the prior year period is primarily due to a decrease in depreciation expense resulting from the scheduled decommissioning of certain long-lived assets associated with research and development operations partially offset by higher employee-related expenses.</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increase in the International segment research and development expenses for the three months ended March 31, 2018 over the prior year period is driven by a European Phase 4 study for one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Interest expense decreased by approximately $1.4 million for the three months ended March 31, 2018 as compared to the prior year period due to comparatively lower outstanding principal balances and effective interest rates on our long-term debt during the period as a result of our March 2017 refinancing and November 2017 repricing.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For the three months ended March 31, 2017, we incurred a $2.2 million loss on extinguishment of debt in connection with the refinancing of our existing indebtedness with the new term loan and revolving credit facilities, see Note 9, “Financing Arrangements” to our condensed consolidated financial statements.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75"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for the periods presented is summarized as follows:</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6"/>
              </w:rPr>
              <w:t>March 31,</w:t>
            </w: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Change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194"/>
        </w:trPr>
        <w:tc>
          <w:tcPr>
            <w:tcW w:w="41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6"/>
                <w:szCs w:val="16"/>
                <w:color w:val="auto"/>
              </w:rPr>
            </w:pPr>
          </w:p>
        </w:tc>
        <w:tc>
          <w:tcPr>
            <w:tcW w:w="9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30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9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7"/>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recorded income tax expense of $3.8 million for the three months ended March 31, 2018, compared to $0.8 million as compared to the same period in 2017. We provide for income tax expense based on the estimated effective tax rate for the full year, adjusted for any discrete events which are recorded in the period they occur.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for the periods presented are as follows:</w:t>
      </w:r>
    </w:p>
    <w:p>
      <w:pPr>
        <w:spacing w:after="0" w:line="167"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22860</wp:posOffset>
            </wp:positionV>
            <wp:extent cx="1655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8"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3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15.9%</w:t>
            </w:r>
          </w:p>
        </w:tc>
      </w:tr>
      <w:tr>
        <w:trPr>
          <w:trHeight w:val="27"/>
        </w:trPr>
        <w:tc>
          <w:tcPr>
            <w:tcW w:w="3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effective tax rate in fiscal 2018 differs from the U.S. statutory rate of 21% principally due to the impact of U.S. state taxes, uncertain tax positions, and losses in certain jurisdictions for which no tax benefit can be recorded.</w:t>
      </w:r>
    </w:p>
    <w:p>
      <w:pPr>
        <w:spacing w:after="0" w:line="1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increase in effective income tax rate for the three months ended March 31, 2018 was due to the fact that we were maintaining a full valuation allowance on our domestic and most of our foreign net deferred tax assets prior to December 31, 2017, at which time the valuation allowance related to our domestic net deferred tax assets was released.</w:t>
      </w:r>
    </w:p>
    <w:p>
      <w:pPr>
        <w:spacing w:after="0" w:line="181"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As a result, the income tax provision for the three months ended March 31, 2018 was primarily due to the income generated in the period and interest associated with uncertain tax positions. The income tax provision for the three months ended March 31, 2017 was primarily from interest associated with uncertain tax positions and taxes due in certain foreign jurisdictions where we generated taxable income.</w:t>
      </w:r>
    </w:p>
    <w:p>
      <w:pPr>
        <w:spacing w:after="0" w:line="166"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regularly assess our ability to realize our deferred tax assets. Assessing the realizability of deferred tax assets requires significant management judgment. In determining whether our deferred tax assets are more-likely-than-not realizable, we evaluate all available positive and negative evidence, and weigh the objective evidence and expected impact. We released our full valuation allowance recorded against our domestic deferred tax assets during the year ended December 31, 2017. We continue to record a partial valuation allowance against our foreign net deferred tax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6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6940" w:type="dxa"/>
            <w:vAlign w:val="bottom"/>
            <w:gridSpan w:val="3"/>
          </w:tcPr>
          <w:p>
            <w:pPr>
              <w:ind w:left="420"/>
              <w:spacing w:after="0"/>
              <w:rPr>
                <w:sz w:val="20"/>
                <w:szCs w:val="20"/>
                <w:color w:val="auto"/>
              </w:rPr>
            </w:pPr>
            <w:r>
              <w:rPr>
                <w:rFonts w:ascii="Arial" w:cs="Arial" w:eastAsia="Arial" w:hAnsi="Arial"/>
                <w:sz w:val="18"/>
                <w:szCs w:val="18"/>
                <w:color w:val="auto"/>
              </w:rPr>
              <w:t>The following table provides information regarding our cash flows: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0"/>
        </w:trPr>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5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2017</w:t>
            </w:r>
          </w:p>
        </w:tc>
      </w:tr>
      <w:tr>
        <w:trPr>
          <w:trHeight w:val="48"/>
        </w:trPr>
        <w:tc>
          <w:tcPr>
            <w:tcW w:w="1800" w:type="dxa"/>
            <w:vAlign w:val="bottom"/>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4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r>
      <w:tr>
        <w:trPr>
          <w:trHeight w:val="243"/>
        </w:trPr>
        <w:tc>
          <w:tcPr>
            <w:tcW w:w="180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(4,564)</w:t>
            </w:r>
          </w:p>
        </w:tc>
      </w:tr>
      <w:tr>
        <w:trPr>
          <w:trHeight w:val="27"/>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1800" w:type="dxa"/>
            <w:vAlign w:val="bottom"/>
            <w:tcBorders>
              <w:right w:val="single" w:sz="8" w:color="CCEEFF"/>
            </w:tcBorders>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r>
      <w:tr>
        <w:trPr>
          <w:trHeight w:val="27"/>
        </w:trPr>
        <w:tc>
          <w:tcPr>
            <w:tcW w:w="1800" w:type="dxa"/>
            <w:vAlign w:val="bottom"/>
            <w:tcBorders>
              <w:right w:val="single" w:sz="8" w:color="CCEEFF"/>
            </w:tcBorders>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Net cash used in operating activities of $0.7 million in the three months ended March 31, 2018 was driven primarily by net decreases of $18.9 million related to movements in our working capital accounts during the period, which were primarily driven by higher accounts receivable related to increases in revenues to certain major customers, timing of inventory purchases during the period and the payment of prior year annual bonuses. Offsetting these net uses of cash were net income of $8.2 million, depreciation, amortization and accretion expense of $3.6 million, changes in deferred taxes of $2.9 million, stock-based compensation expense of $1.8 million, and provision for excess and obsolete inventory of $1.2 million.</w:t>
      </w:r>
    </w:p>
    <w:p>
      <w:pPr>
        <w:sectPr>
          <w:pgSz w:w="11900" w:h="16838" w:orient="portrait"/>
          <w:cols w:equalWidth="0" w:num="1">
            <w:col w:w="11380"/>
          </w:cols>
          <w:pgMar w:left="240" w:top="175" w:right="279" w:bottom="1440"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175" w:right="2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provided by operating activities of $5.5 million for the three months ended March 31, 2017 was driven primarily by net income of $4.1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plus $6.2 million of depreciation, amortization and accretion expense, $0.9 million of stock-based compensation expense and a $2.2 million loss on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These net sources of cash were offset by a decrease in cash from working capital. Our working capital decrease was driven primarily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 million decrease in accrued expenses and other liabilities due to the payment of prior year annual bonuses, a $3.1 million decrease in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increases in certain major customer balances, a $2.4 million decrease due to inventory movements during the period, offset by a $1.2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accounts payable as a result of the timing of payment runs.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2018 reflected $2.1 million in capital expenditures offset by the cash proceeds of $1.0 million received from the sale of land.</w:t>
      </w:r>
    </w:p>
    <w:p>
      <w:pPr>
        <w:spacing w:after="0" w:line="170"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Net cash used in investing activities during the three months ended March 31, 2017 reflected $4.9 million in capital expenditures offset by the cash proceeds of $0.3 million received from the sale of assets from our Australian radiopharmacy business during the third quarter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Net cash used in financing activities during the three months ended March 31, 2018 reflected payments on long-term debt of $0.7 million, payments for minimum statutory tax withholding related to net share settlement of equity awards of $0.7 million, offset by proceeds of $0.5 million from the exercise of stock options.</w:t>
      </w:r>
    </w:p>
    <w:p>
      <w:pPr>
        <w:spacing w:after="0" w:line="181"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Net cash used in financing activities during the three months ended March 31, 2017 was primarily related to the net outflow of $11.5 million in connection with our refinancing of our previous $365.0 million seven-year term loan agreement with a new five-year $275.0 million term loan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March 2017, we refinanced our 2015 $365 million seven-year term loan facility with a new five-year $275 million term loan facility (the “2017 Term Facility” and the loans thereunder, the “Term Loans”). In addition, we replaced our revolving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us, the lenders from time to time party thereto and JPMorgan Chase Bank, N.A., as administrative agent and collateral agent.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78"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On November 29, 2017, we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 Loans under the 2017 Term Facility bear interest, with pricing based from time to time at our election at (i) LIBOR plus a spread of 3.75% or</w:t>
      </w:r>
    </w:p>
    <w:p>
      <w:pPr>
        <w:spacing w:after="0" w:line="46" w:lineRule="exact"/>
        <w:rPr>
          <w:sz w:val="20"/>
          <w:szCs w:val="20"/>
          <w:color w:val="auto"/>
        </w:rPr>
      </w:pPr>
    </w:p>
    <w:p>
      <w:pPr>
        <w:ind w:firstLine="8"/>
        <w:spacing w:after="0" w:line="277"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Base Rate plus a spread of 2.75%. Interest is payable (i) with respect to LIBOR Term Loans, at the end of each Interest Period (as defined in the Credit Agreement) and (ii) with respect to Base Rate Term Loans, at the end of each quarter. At March 31, 2018, our interest rate under the 2017 Term Facility was 5.6%. As of March 31, 2018, the principal balance outstanding on our 2017 Term Facility was $272.3 million.</w:t>
      </w:r>
    </w:p>
    <w:p>
      <w:pPr>
        <w:spacing w:after="0" w:line="173"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are permitted to voluntarily prepay the Term Loans, in whole or in part. The 2017 Term Facility requires us to make mandatory prepayments of the outstanding Term Loans in certain circumstances. The 2017 Term Facility amortizes at 1.00% per year until its June 30, 2022 maturity date.</w:t>
      </w:r>
    </w:p>
    <w:p>
      <w:pPr>
        <w:spacing w:after="0" w:line="1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75"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our election at (i) LIBOR plus a spread of 3.00% or (ii) the Base Rate (as defined in the Credit Agreement) plus a spread of 2.00%. The 2017 Revolving Facility also includes an unused line fee, which is set at 0.38% while our secured leverage ratio (as defined in the Credit Agreement) is greater than 3.00 to 1.00 and 0.25% when our secured leverage ratio is less than or equal to 3.00 to 1.00.</w:t>
      </w:r>
    </w:p>
    <w:p>
      <w:pPr>
        <w:spacing w:after="0" w:line="187" w:lineRule="exact"/>
        <w:rPr>
          <w:sz w:val="20"/>
          <w:szCs w:val="20"/>
          <w:color w:val="auto"/>
        </w:rPr>
      </w:pPr>
    </w:p>
    <w:p>
      <w:pPr>
        <w:ind w:right="480" w:firstLine="405"/>
        <w:spacing w:after="0" w:line="255" w:lineRule="auto"/>
        <w:rPr>
          <w:sz w:val="20"/>
          <w:szCs w:val="20"/>
          <w:color w:val="auto"/>
        </w:rPr>
      </w:pPr>
      <w:r>
        <w:rPr>
          <w:rFonts w:ascii="Arial" w:cs="Arial" w:eastAsia="Arial" w:hAnsi="Arial"/>
          <w:sz w:val="18"/>
          <w:szCs w:val="18"/>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13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900" w:type="dxa"/>
            <w:vAlign w:val="bottom"/>
          </w:tcPr>
          <w:p>
            <w:pPr>
              <w:ind w:left="1540"/>
              <w:spacing w:after="0"/>
              <w:rPr>
                <w:sz w:val="20"/>
                <w:szCs w:val="20"/>
                <w:color w:val="auto"/>
              </w:rPr>
            </w:pPr>
            <w:r>
              <w:rPr>
                <w:rFonts w:ascii="Arial" w:cs="Arial" w:eastAsia="Arial" w:hAnsi="Arial"/>
                <w:sz w:val="18"/>
                <w:szCs w:val="18"/>
                <w:b w:val="1"/>
                <w:bCs w:val="1"/>
                <w:color w:val="auto"/>
              </w:rPr>
              <w:t>Period</w:t>
            </w:r>
          </w:p>
        </w:tc>
        <w:tc>
          <w:tcPr>
            <w:tcW w:w="220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 2018 through Q1 2019</w:t>
            </w:r>
          </w:p>
        </w:tc>
        <w:tc>
          <w:tcPr>
            <w:tcW w:w="22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4.75 to 1.00</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0" w:type="dxa"/>
            <w:vAlign w:val="bottom"/>
          </w:tcPr>
          <w:p>
            <w:pPr>
              <w:jc w:val="center"/>
              <w:ind w:left="570"/>
              <w:spacing w:after="0"/>
              <w:rPr>
                <w:sz w:val="20"/>
                <w:szCs w:val="20"/>
                <w:color w:val="auto"/>
              </w:rPr>
            </w:pPr>
            <w:r>
              <w:rPr>
                <w:rFonts w:ascii="Arial" w:cs="Arial" w:eastAsia="Arial" w:hAnsi="Arial"/>
                <w:sz w:val="18"/>
                <w:szCs w:val="18"/>
                <w:color w:val="auto"/>
                <w:w w:val="90"/>
              </w:rPr>
              <w:t>4.50 to 1.00</w:t>
            </w:r>
          </w:p>
        </w:tc>
      </w:tr>
    </w:tbl>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2017 Facility contains usual and customary restrictions on our ability and that of our subsidiaries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81"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right="10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environment and the level of product sales of our currently marketed products, particularly DEFINITY and any additional products that we may market in the future;</w:t>
      </w:r>
    </w:p>
    <w:p>
      <w:pPr>
        <w:spacing w:after="0" w:line="62" w:lineRule="exact"/>
        <w:rPr>
          <w:rFonts w:ascii="Arial" w:cs="Arial" w:eastAsia="Arial" w:hAnsi="Arial"/>
          <w:sz w:val="18"/>
          <w:szCs w:val="18"/>
          <w:color w:val="auto"/>
        </w:rPr>
      </w:pPr>
    </w:p>
    <w:p>
      <w:pPr>
        <w:ind w:left="660" w:right="54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mix shifts and associated volume and selling price changes that could result from contractual status changes with key customers and additional competition;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in the further clinical development and commercialization of existing products and development candidates;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new products, businesses and technologies;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17" w:lineRule="exact"/>
        <w:rPr>
          <w:rFonts w:ascii="Arial" w:cs="Arial" w:eastAsia="Arial" w:hAnsi="Arial"/>
          <w:sz w:val="18"/>
          <w:szCs w:val="18"/>
          <w:color w:val="auto"/>
        </w:rPr>
      </w:pPr>
    </w:p>
    <w:p>
      <w:pPr>
        <w:ind w:left="660" w:right="62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75"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choose to establish collaboration, co-promotion, distribution or other similar arrangements for our marketed products;</w:t>
      </w:r>
    </w:p>
    <w:p>
      <w:pPr>
        <w:spacing w:after="0" w:line="128" w:lineRule="exact"/>
        <w:rPr>
          <w:rFonts w:ascii="Arial" w:cs="Arial" w:eastAsia="Arial" w:hAnsi="Arial"/>
          <w:sz w:val="17"/>
          <w:szCs w:val="17"/>
          <w:color w:val="auto"/>
        </w:rPr>
      </w:pPr>
    </w:p>
    <w:p>
      <w:pPr>
        <w:ind w:left="660" w:right="20" w:hanging="16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Until we successfully become dual sourced for our principal products, we are vulnerable to future supply shortages. Disruption in the financial performance could also occur if we experience significant adverse changes in product or customer mix, broad economic downturns, adverse industry or company conditions or catastrophic external events, including natural disasters and political or military conflict.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188"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Credit Agreement. Additional equity or debt financing, or other transactions, may not be available on acceptable terms, if at all. If any of these transactions require an amendment or waiver under the covenants in our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65"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At March 31, 2018, our only current committed external source of funds is our borrowing availability under our 2017 Revolving Facility. We had $73.7 million of cash and cash equivalents at March 31, 2018. Our 2017 Facility contains a number of affirmative, negative, reporting and financial covenants, in each case subject to certain exceptions and materiality thresholds. Incremental borrowings under the 2017 Revolving Facility may affect our ability to comply with the covenants in the 2017 Facility, including the financial covenant restricting consolidated net leverage. Accordingly, we may be limited in utilizing the full amount of our 2017 Revolving Facility as a source of liquidity.</w:t>
      </w:r>
    </w:p>
    <w:p>
      <w:pPr>
        <w:spacing w:after="0" w:line="18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discussion and analysis of our financial position and results of operations is based on our condensed consolidated financial statements, which have been prepared in accordance with generally accepted accounting principles in the United States of America (“U.S. GAAP”). The preparation of these condensed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inventory, impairments of long-lived assets including intangible assets, impairments of goodwill, income taxes including the valuation allowance for deferred tax assets.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79"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There have been no other significant changes to our critical accounting policies or in the underlying accounting assumptions and estimates used in such policies in the three months ended March 31, 2018, except as set forth below. For further information, refer to our summary of significant accounting policies and estimates in our Annual Report on Form 10-K filed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January 1, 2018, we adopted Financial Accounting Standards Board Accounting Standards Codification Topic 606, Revenue from Contracts with Customers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adoption of ASC 606 requires us to provide expanded disclosures related to our contracts with customers but did not have a material impact on the Company’s consolidated financial position, results of operations, equity or cash flows as of the adoption date or for the periods presented.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satisfies performance obligations.</w:t>
      </w:r>
    </w:p>
    <w:p>
      <w:pPr>
        <w:spacing w:after="0" w:line="19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derive our revenues through arrangements with customers for product sales as well as licensing and royalty arrangements. We sell our products principally to distributors, radiopharmacies and directly to hospitals and clinics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regulatory and commercial milestone payments; and royalties on net sales of licensed products. We analyze various factors requiring management judgment when applying the five-step model to our contracts with customers.</w:t>
      </w:r>
    </w:p>
    <w:p>
      <w:pPr>
        <w:spacing w:after="0" w:line="16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w:t>
      </w:r>
    </w:p>
    <w:p>
      <w:pPr>
        <w:spacing w:after="0" w:line="1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8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For quantitative and qualitative disclosures about market risk, see Part II, Item 7A, “Quantitative and Qualitative Disclosures About Market Risk,” of our Annual Report on Form 10-K for the year ended December 31, 2017. Our exposures to market risk have not changed materially since December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 There were no significant changes to our internal control over financial reporting due to the adoption of ASC 606.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are a party to various legal proceedings arising in the ordinary course of business. In addition, we have in the past been, and may in the future be, subject to investigations by governmental and regulatory authorities which expose us to greater risks associated with litigation, regulatory or other proceedings, as a result of which we could be required to pay significant fines or penalties. The costs and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March 31, 2018, we had no material ongoing litigation in which we were a party or any material ongoing regulatory or other proceeding and had no knowledge of any investigations by governmental or regulatory authorities in which we are a target that could have a material adverse effect on our current business.</w:t>
      </w:r>
    </w:p>
    <w:p>
      <w:pPr>
        <w:spacing w:after="0" w:line="18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are currently in arbitration with Pharmalucence in connection with a Manufacturing and Supply Agreement, dated November 12, 2013, under which Pharmalucence agreed to manufacture and supply DEFINITY for us. The commercial arrangement contemplated by that agreement was repeatedly delayed and ultimately never successfully realized. After extended settlement discussions between Sun Pharma, the ultimate parent of Pharmalucence, and us, which did not lead to a mutually acceptable outcome, on November 10, 2017, we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We are seeking monetary damages but cannot predict the outcome of this dispute resolution proceeding and whether we will be able to obtain any financial recovery as a result of this proceeding.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There have been no material changes to the risk factors set forth in our Annual Report on Form 10-K for the year ended December 31, 2017. For further information, refer to Part I, Item 1A. “Risk Factors” in our Annual Report on Form 10-K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The following table presents information with respect to purchases of common stock we made during the quarter ended March 31, 2018. The Company does not currently have a share repurchase program in effect. The 2015 Equity Incentive Plan, adopted by the Company on June 24, 2015, as amended on April 26, 2016 and as further amended on April 27, 2017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2.</w:t>
      </w:r>
    </w:p>
    <w:p>
      <w:pPr>
        <w:spacing w:after="0" w:line="10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Average Price 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r>
      <w:tr>
        <w:trPr>
          <w:trHeight w:val="234"/>
        </w:trPr>
        <w:tc>
          <w:tcPr>
            <w:tcW w:w="2540" w:type="dxa"/>
            <w:vAlign w:val="bottom"/>
            <w:gridSpan w:val="2"/>
          </w:tcPr>
          <w:p>
            <w:pPr>
              <w:ind w:left="96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 Share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Programs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the Program</w:t>
            </w:r>
          </w:p>
        </w:tc>
      </w:tr>
      <w:tr>
        <w:trPr>
          <w:trHeight w:val="27"/>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2018**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2018**</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32,923</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17145</wp:posOffset>
            </wp:positionV>
            <wp:extent cx="1166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-130175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-130175</wp:posOffset>
            </wp:positionV>
            <wp:extent cx="1166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These amounts are not applicable as the Company does not have a share repurchase program in effect.</w:t>
      </w:r>
    </w:p>
    <w:p>
      <w:pPr>
        <w:spacing w:after="0" w:line="9" w:lineRule="exact"/>
        <w:rPr>
          <w:sz w:val="20"/>
          <w:szCs w:val="20"/>
          <w:color w:val="auto"/>
        </w:rPr>
      </w:pPr>
    </w:p>
    <w:p>
      <w:pPr>
        <w:ind w:left="1300" w:right="200" w:hanging="644"/>
        <w:spacing w:after="0" w:line="26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receipt of stock, which resulted from the exercise of vesting of equity awards.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75"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did not declare or pay any dividends, and we do not currently intend to pay dividends in the foreseeable future. We currently expect to retain future earnings, if any, for the foreseeable future, to repay indebtedness and to finance the growth and development of our business. Our ability to pay dividends are restricted by our financing arrangements. See Part I, Item 2. “Management’s Discussion and Analysis of Financial Condition and Results of Operations-Liquidity and Capital Resources-External Sources of Liquidity”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20" w:type="dxa"/>
            <w:vAlign w:val="bottom"/>
            <w:gridSpan w:val="8"/>
            <w:vMerge w:val="restart"/>
          </w:tcPr>
          <w:p>
            <w:pPr>
              <w:ind w:left="600"/>
              <w:spacing w:after="0"/>
              <w:rPr>
                <w:sz w:val="20"/>
                <w:szCs w:val="20"/>
                <w:color w:val="auto"/>
              </w:rPr>
            </w:pPr>
            <w:r>
              <w:rPr>
                <w:rFonts w:ascii="Arial" w:cs="Arial" w:eastAsia="Arial" w:hAnsi="Arial"/>
                <w:sz w:val="14"/>
                <w:szCs w:val="14"/>
                <w:b w:val="1"/>
                <w:bCs w:val="1"/>
                <w:color w:val="auto"/>
              </w:rPr>
              <w:t>DESCRIPTION OF EXHIBITS</w:t>
            </w:r>
          </w:p>
        </w:tc>
        <w:tc>
          <w:tcPr>
            <w:tcW w:w="100" w:type="dxa"/>
            <w:vAlign w:val="bottom"/>
            <w:vMerge w:val="restart"/>
          </w:tcPr>
          <w:p>
            <w:pPr>
              <w:spacing w:after="0"/>
              <w:rPr>
                <w:sz w:val="13"/>
                <w:szCs w:val="13"/>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FILE</w:t>
            </w: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8"/>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31.1*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0000FF"/>
              </w:rPr>
              <w:t>Certification of Chief Executive Officer pursuant to Exchange Act Rule 13a-14(a).</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18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gridSpan w:val="11"/>
          </w:tcPr>
          <w:p>
            <w:pPr>
              <w:spacing w:after="0"/>
              <w:rPr>
                <w:sz w:val="20"/>
                <w:szCs w:val="20"/>
                <w:color w:val="auto"/>
              </w:rPr>
            </w:pPr>
            <w:r>
              <w:rPr>
                <w:rFonts w:ascii="Arial" w:cs="Arial" w:eastAsia="Arial" w:hAnsi="Arial"/>
                <w:sz w:val="14"/>
                <w:szCs w:val="14"/>
                <w:color w:val="0000FF"/>
              </w:rPr>
              <w:t>Certification of Chief Financial Officer pursuant to Exchange Act Rule 13a-14(a).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Borders>
              <w:top w:val="single" w:sz="8" w:color="0000FF"/>
            </w:tcBorders>
          </w:tcPr>
          <w:p>
            <w:pPr>
              <w:spacing w:after="0"/>
              <w:rPr>
                <w:sz w:val="7"/>
                <w:szCs w:val="7"/>
                <w:color w:val="auto"/>
              </w:rPr>
            </w:pPr>
          </w:p>
        </w:tc>
        <w:tc>
          <w:tcPr>
            <w:tcW w:w="20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1880" w:type="dxa"/>
            <w:vAlign w:val="bottom"/>
            <w:tcBorders>
              <w:top w:val="single" w:sz="8" w:color="0000FF"/>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0000FF"/>
              </w:rPr>
              <w:t>Certification pursuant to 18 U.S.C. Section 1350.</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gridSpan w:val="11"/>
          </w:tcPr>
          <w:p>
            <w:pPr>
              <w:spacing w:after="0"/>
              <w:rPr>
                <w:sz w:val="20"/>
                <w:szCs w:val="20"/>
                <w:color w:val="auto"/>
              </w:rPr>
            </w:pPr>
            <w:r>
              <w:rPr>
                <w:rFonts w:ascii="Arial" w:cs="Arial" w:eastAsia="Arial" w:hAnsi="Arial"/>
                <w:sz w:val="14"/>
                <w:szCs w:val="14"/>
                <w:color w:val="0000FF"/>
              </w:rPr>
              <w:t>Sales Agreement, dated as of April 1, 2009, between Lantheus Medical Imaging, Inc. and NTP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60" w:type="dxa"/>
            <w:vAlign w:val="bottom"/>
            <w:tcBorders>
              <w:top w:val="single" w:sz="8" w:color="0000FF"/>
            </w:tcBorders>
            <w:gridSpan w:val="7"/>
          </w:tcPr>
          <w:p>
            <w:pPr>
              <w:spacing w:after="0" w:line="129" w:lineRule="exact"/>
              <w:rPr>
                <w:sz w:val="20"/>
                <w:szCs w:val="20"/>
                <w:color w:val="auto"/>
              </w:rPr>
            </w:pPr>
            <w:r>
              <w:rPr>
                <w:rFonts w:ascii="Arial" w:cs="Arial" w:eastAsia="Arial" w:hAnsi="Arial"/>
                <w:sz w:val="14"/>
                <w:szCs w:val="14"/>
                <w:color w:val="0000FF"/>
              </w:rPr>
              <w:t>Radioisotopes (Pty) Ltd.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0000FF"/>
              </w:rPr>
              <w:t>Amendment No. 1 to Sales Agreement, dated as of January 1, 2010, between Lantheus Medical</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500" w:type="dxa"/>
            <w:vAlign w:val="bottom"/>
            <w:tcBorders>
              <w:top w:val="single" w:sz="8" w:color="0000FF"/>
            </w:tcBorders>
            <w:gridSpan w:val="8"/>
            <w:shd w:val="clear" w:color="auto" w:fill="CCEEFF"/>
          </w:tcPr>
          <w:p>
            <w:pPr>
              <w:spacing w:after="0" w:line="129" w:lineRule="exact"/>
              <w:rPr>
                <w:sz w:val="20"/>
                <w:szCs w:val="20"/>
                <w:color w:val="auto"/>
              </w:rPr>
            </w:pPr>
            <w:r>
              <w:rPr>
                <w:rFonts w:ascii="Arial" w:cs="Arial" w:eastAsia="Arial" w:hAnsi="Arial"/>
                <w:sz w:val="14"/>
                <w:szCs w:val="14"/>
                <w:color w:val="0000FF"/>
              </w:rPr>
              <w:t>Imaging, Inc. and NTP Radioisotopes (Pty) Ltd.</w:t>
            </w:r>
          </w:p>
        </w:tc>
        <w:tc>
          <w:tcPr>
            <w:tcW w:w="2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gridSpan w:val="2"/>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gridSpan w:val="11"/>
          </w:tcPr>
          <w:p>
            <w:pPr>
              <w:spacing w:after="0"/>
              <w:rPr>
                <w:sz w:val="20"/>
                <w:szCs w:val="20"/>
                <w:color w:val="auto"/>
              </w:rPr>
            </w:pPr>
            <w:r>
              <w:rPr>
                <w:rFonts w:ascii="Arial" w:cs="Arial" w:eastAsia="Arial" w:hAnsi="Arial"/>
                <w:sz w:val="14"/>
                <w:szCs w:val="14"/>
                <w:color w:val="0000FF"/>
              </w:rPr>
              <w:t>Amendment No. 2 to Sales Agreement, dated as of January 1, 2010, between Lantheus Medical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Imaging, Inc. and NTP Radioisotopes (Pty) Ltd.</w:t>
            </w:r>
          </w:p>
        </w:tc>
        <w:tc>
          <w:tcPr>
            <w:tcW w:w="2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0000FF"/>
                <w:w w:val="99"/>
              </w:rPr>
              <w:t>Amendment No. 3, effective as of October 1, 2012, to Sales Agreement between Lantheus Medical</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700" w:type="dxa"/>
            <w:vAlign w:val="bottom"/>
            <w:tcBorders>
              <w:top w:val="single" w:sz="8" w:color="0000FF"/>
            </w:tcBorders>
            <w:gridSpan w:val="9"/>
            <w:shd w:val="clear" w:color="auto" w:fill="CCEEFF"/>
          </w:tcPr>
          <w:p>
            <w:pPr>
              <w:spacing w:after="0" w:line="129" w:lineRule="exact"/>
              <w:rPr>
                <w:sz w:val="20"/>
                <w:szCs w:val="20"/>
                <w:color w:val="auto"/>
              </w:rPr>
            </w:pPr>
            <w:r>
              <w:rPr>
                <w:rFonts w:ascii="Arial" w:cs="Arial" w:eastAsia="Arial" w:hAnsi="Arial"/>
                <w:sz w:val="14"/>
                <w:szCs w:val="14"/>
                <w:color w:val="0000FF"/>
              </w:rPr>
              <w:t>Imaging, Inc. and NTP Radioisotopes (Pty) Ltd.</w:t>
            </w:r>
          </w:p>
        </w:tc>
        <w:tc>
          <w:tcPr>
            <w:tcW w:w="420" w:type="dxa"/>
            <w:vAlign w:val="bottom"/>
            <w:tcBorders>
              <w:top w:val="single" w:sz="8" w:color="CCEEFF"/>
            </w:tcBorders>
            <w:gridSpan w:val="2"/>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101.INS*</w:t>
            </w:r>
          </w:p>
        </w:tc>
        <w:tc>
          <w:tcPr>
            <w:tcW w:w="40" w:type="dxa"/>
            <w:vAlign w:val="bottom"/>
            <w:tcBorders>
              <w:top w:val="single" w:sz="8" w:color="CCEEFF"/>
            </w:tcBorders>
          </w:tcPr>
          <w:p>
            <w:pPr>
              <w:spacing w:after="0"/>
              <w:rPr>
                <w:sz w:val="16"/>
                <w:szCs w:val="16"/>
                <w:color w:val="auto"/>
              </w:rPr>
            </w:pPr>
          </w:p>
        </w:tc>
        <w:tc>
          <w:tcPr>
            <w:tcW w:w="276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3360" w:type="dxa"/>
            <w:vAlign w:val="bottom"/>
            <w:tcBorders>
              <w:top w:val="single" w:sz="8" w:color="CCEEFF"/>
            </w:tcBorders>
            <w:gridSpan w:val="8"/>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101.SCH*</w:t>
            </w:r>
          </w:p>
        </w:tc>
        <w:tc>
          <w:tcPr>
            <w:tcW w:w="40" w:type="dxa"/>
            <w:vAlign w:val="bottom"/>
            <w:shd w:val="clear" w:color="auto" w:fill="CCEEFF"/>
          </w:tcPr>
          <w:p>
            <w:pPr>
              <w:spacing w:after="0"/>
              <w:rPr>
                <w:sz w:val="16"/>
                <w:szCs w:val="16"/>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6"/>
                <w:szCs w:val="16"/>
                <w:color w:val="auto"/>
              </w:rPr>
            </w:pPr>
          </w:p>
        </w:tc>
        <w:tc>
          <w:tcPr>
            <w:tcW w:w="6120" w:type="dxa"/>
            <w:vAlign w:val="bottom"/>
            <w:gridSpan w:val="11"/>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101.DEF*</w:t>
            </w:r>
          </w:p>
        </w:tc>
        <w:tc>
          <w:tcPr>
            <w:tcW w:w="40" w:type="dxa"/>
            <w:vAlign w:val="bottom"/>
            <w:shd w:val="clear" w:color="auto" w:fill="CCEEFF"/>
          </w:tcPr>
          <w:p>
            <w:pPr>
              <w:spacing w:after="0"/>
              <w:rPr>
                <w:sz w:val="16"/>
                <w:szCs w:val="16"/>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6"/>
                <w:szCs w:val="16"/>
                <w:color w:val="auto"/>
              </w:rPr>
            </w:pPr>
          </w:p>
        </w:tc>
        <w:tc>
          <w:tcPr>
            <w:tcW w:w="6120" w:type="dxa"/>
            <w:vAlign w:val="bottom"/>
            <w:gridSpan w:val="11"/>
          </w:tcPr>
          <w:p>
            <w:pPr>
              <w:spacing w:after="0"/>
              <w:rPr>
                <w:sz w:val="20"/>
                <w:szCs w:val="20"/>
                <w:color w:val="auto"/>
              </w:rPr>
            </w:pPr>
            <w:r>
              <w:rPr>
                <w:rFonts w:ascii="Arial" w:cs="Arial" w:eastAsia="Arial" w:hAnsi="Arial"/>
                <w:sz w:val="14"/>
                <w:szCs w:val="14"/>
                <w:color w:val="auto"/>
              </w:rPr>
              <w:t>XBRL Taxonomy Extension Label Linkbase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101.PRE*</w:t>
            </w:r>
          </w:p>
        </w:tc>
        <w:tc>
          <w:tcPr>
            <w:tcW w:w="40" w:type="dxa"/>
            <w:vAlign w:val="bottom"/>
            <w:shd w:val="clear" w:color="auto" w:fill="CCEEFF"/>
          </w:tcPr>
          <w:p>
            <w:pPr>
              <w:spacing w:after="0"/>
              <w:rPr>
                <w:sz w:val="16"/>
                <w:szCs w:val="16"/>
                <w:color w:val="auto"/>
              </w:rPr>
            </w:pPr>
          </w:p>
        </w:tc>
        <w:tc>
          <w:tcPr>
            <w:tcW w:w="612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340" w:right="80" w:hanging="332"/>
        <w:spacing w:after="0" w:line="25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exhibit is being filed following expiration of the confidential treatment period previously granted by the Securities and Exchange Commission. Certain terms of the agreement with NTP Radioisotopes (Pty) Ltd., including pricing, volume commitments and other economic terms, are no longer applicable and have been replaced by the terms contained in Amendment No. 4 to Sales Agreement dated effective as of December 29, 2017, which has been filed as Exhibit 10.65 to the Company’s Annual Report on Form 10-K for the fiscal year ended December 31, 2017 and for which confidential treatment has been requested as to certain portions.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75"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LANTHEUS HOLDINGS, INC.</w:t>
      </w:r>
    </w:p>
    <w:p>
      <w:pPr>
        <w:spacing w:after="0" w:line="397" w:lineRule="exact"/>
        <w:rPr>
          <w:sz w:val="20"/>
          <w:szCs w:val="20"/>
          <w:color w:val="auto"/>
        </w:rPr>
      </w:pPr>
    </w:p>
    <w:tbl>
      <w:tblPr>
        <w:tblLayout w:type="fixed"/>
        <w:tblInd w:w="722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3580" w:type="dxa"/>
            <w:vAlign w:val="bottom"/>
          </w:tcPr>
          <w:p>
            <w:pPr>
              <w:ind w:left="20"/>
              <w:spacing w:after="0"/>
              <w:rPr>
                <w:sz w:val="20"/>
                <w:szCs w:val="20"/>
                <w:color w:val="auto"/>
              </w:rPr>
            </w:pPr>
            <w:r>
              <w:rPr>
                <w:rFonts w:ascii="Arial" w:cs="Arial" w:eastAsia="Arial" w:hAnsi="Arial"/>
                <w:sz w:val="16"/>
                <w:szCs w:val="16"/>
                <w:color w:val="auto"/>
              </w:rPr>
              <w:t>/s/ MARY ANNE HEINO</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Mary Anne Heino</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President and Chief Executive Officer</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580" w:type="dxa"/>
            <w:vAlign w:val="bottom"/>
          </w:tcPr>
          <w:p>
            <w:pPr>
              <w:ind w:left="20"/>
              <w:spacing w:after="0"/>
              <w:rPr>
                <w:sz w:val="20"/>
                <w:szCs w:val="20"/>
                <w:color w:val="auto"/>
              </w:rPr>
            </w:pPr>
            <w:r>
              <w:rPr>
                <w:rFonts w:ascii="Arial" w:cs="Arial" w:eastAsia="Arial" w:hAnsi="Arial"/>
                <w:sz w:val="16"/>
                <w:szCs w:val="16"/>
                <w:color w:val="auto"/>
              </w:rPr>
              <w:t>May 2, 2018</w:t>
            </w:r>
          </w:p>
        </w:tc>
        <w:tc>
          <w:tcPr>
            <w:tcW w:w="0" w:type="dxa"/>
            <w:vAlign w:val="bottom"/>
          </w:tcPr>
          <w:p>
            <w:pPr>
              <w:spacing w:after="0"/>
              <w:rPr>
                <w:sz w:val="1"/>
                <w:szCs w:val="1"/>
                <w:color w:val="auto"/>
              </w:rPr>
            </w:pPr>
          </w:p>
        </w:tc>
      </w:tr>
      <w:tr>
        <w:trPr>
          <w:trHeight w:val="594"/>
        </w:trPr>
        <w:tc>
          <w:tcPr>
            <w:tcW w:w="4200" w:type="dxa"/>
            <w:vAlign w:val="bottom"/>
            <w:gridSpan w:val="2"/>
          </w:tcPr>
          <w:p>
            <w:pPr>
              <w:spacing w:after="0"/>
              <w:rPr>
                <w:sz w:val="20"/>
                <w:szCs w:val="20"/>
                <w:color w:val="auto"/>
              </w:rPr>
            </w:pPr>
            <w:r>
              <w:rPr>
                <w:rFonts w:ascii="Arial" w:cs="Arial" w:eastAsia="Arial" w:hAnsi="Arial"/>
                <w:sz w:val="16"/>
                <w:szCs w:val="16"/>
                <w:color w:val="auto"/>
              </w:rPr>
              <w:t>LANTHEUS HOLDINGS, INC.</w:t>
            </w:r>
          </w:p>
        </w:tc>
        <w:tc>
          <w:tcPr>
            <w:tcW w:w="0" w:type="dxa"/>
            <w:vAlign w:val="bottom"/>
          </w:tcPr>
          <w:p>
            <w:pPr>
              <w:spacing w:after="0"/>
              <w:rPr>
                <w:sz w:val="1"/>
                <w:szCs w:val="1"/>
                <w:color w:val="auto"/>
              </w:rPr>
            </w:pPr>
          </w:p>
        </w:tc>
      </w:tr>
      <w:tr>
        <w:trPr>
          <w:trHeight w:val="594"/>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3580" w:type="dxa"/>
            <w:vAlign w:val="bottom"/>
          </w:tcPr>
          <w:p>
            <w:pPr>
              <w:ind w:left="20"/>
              <w:spacing w:after="0"/>
              <w:rPr>
                <w:sz w:val="20"/>
                <w:szCs w:val="20"/>
                <w:color w:val="auto"/>
              </w:rPr>
            </w:pPr>
            <w:r>
              <w:rPr>
                <w:rFonts w:ascii="Arial" w:cs="Arial" w:eastAsia="Arial" w:hAnsi="Arial"/>
                <w:sz w:val="16"/>
                <w:szCs w:val="16"/>
                <w:color w:val="auto"/>
              </w:rPr>
              <w:t>/s/ JOHN W. CROWLEY</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John W. Crowley</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and Treasurer</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 and Principal</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Accounting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580" w:type="dxa"/>
            <w:vAlign w:val="bottom"/>
          </w:tcPr>
          <w:p>
            <w:pPr>
              <w:ind w:left="20"/>
              <w:spacing w:after="0"/>
              <w:rPr>
                <w:sz w:val="20"/>
                <w:szCs w:val="20"/>
                <w:color w:val="auto"/>
              </w:rPr>
            </w:pPr>
            <w:r>
              <w:rPr>
                <w:rFonts w:ascii="Arial" w:cs="Arial" w:eastAsia="Arial" w:hAnsi="Arial"/>
                <w:sz w:val="16"/>
                <w:szCs w:val="16"/>
                <w:color w:val="auto"/>
              </w:rPr>
              <w:t>May 2,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89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10086340</wp:posOffset>
            </wp:positionV>
            <wp:extent cx="666750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1 to Sales Agreement</w:t>
      </w:r>
    </w:p>
    <w:p>
      <w:pPr>
        <w:spacing w:after="0" w:line="266"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THIS AMENDMENT NO. 1 TO SALES AGREEMENT (this “Amendment”) is made effective as of January 1, 2010 by and between NTP Radioisotopes (Pty) Ltd., a commercial company registered and existing under the laws of the Republic of South Africa, having its registered office at Building 1700, Pelindaba, Church Street West Extension, Brits District, North West Province of South Africa (“NTP”), and Lantheus Medical Imaging, Inc., a corporation organized and existing under the laws of Delaware with a place of business at 331 Treble Cove Road, North Billerica, Massachusetts, United States of America 01862 (“Lantheus”).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NTP and Lantheus entered into a Sales Agreement effective as of April 1, 2009 (the “Original Agreement”);</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Since such effective date, the global molybdenum-99m crisis has become acute; and</w:t>
      </w:r>
    </w:p>
    <w:p>
      <w:pPr>
        <w:spacing w:after="0" w:line="260" w:lineRule="exact"/>
        <w:rPr>
          <w:rFonts w:ascii="Arial" w:cs="Arial" w:eastAsia="Arial" w:hAnsi="Arial"/>
          <w:sz w:val="22"/>
          <w:szCs w:val="22"/>
          <w:color w:val="auto"/>
        </w:rPr>
      </w:pPr>
    </w:p>
    <w:p>
      <w:pPr>
        <w:ind w:left="660" w:right="160" w:hanging="328"/>
        <w:spacing w:after="0" w:line="263"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NTP and Lantheus wish to amend the Original Agreement to increase the committed volume levels and specify the pricing for such increased committed volume levels through July 31, 2010;</w:t>
      </w:r>
    </w:p>
    <w:p>
      <w:pPr>
        <w:spacing w:after="0" w:line="209" w:lineRule="exact"/>
        <w:rPr>
          <w:sz w:val="20"/>
          <w:szCs w:val="20"/>
          <w:color w:val="auto"/>
        </w:rPr>
      </w:pPr>
    </w:p>
    <w:p>
      <w:pPr>
        <w:ind w:right="240"/>
        <w:spacing w:after="0" w:line="350"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mutual promises and covenants hereinafter set forth,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hereby agree as follows:</w:t>
      </w:r>
    </w:p>
    <w:p>
      <w:pPr>
        <w:spacing w:after="0" w:line="139" w:lineRule="exact"/>
        <w:rPr>
          <w:sz w:val="20"/>
          <w:szCs w:val="20"/>
          <w:color w:val="auto"/>
        </w:rPr>
      </w:pPr>
    </w:p>
    <w:p>
      <w:pPr>
        <w:ind w:right="420" w:firstLine="8"/>
        <w:spacing w:after="0" w:line="263" w:lineRule="auto"/>
        <w:tabs>
          <w:tab w:leader="none" w:pos="21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Terms defined in the Original Agreement and not otherwise defined herein are used herein with the meanings so defined.</w:t>
      </w:r>
    </w:p>
    <w:p>
      <w:pPr>
        <w:spacing w:after="0" w:line="215" w:lineRule="exact"/>
        <w:rPr>
          <w:rFonts w:ascii="Arial" w:cs="Arial" w:eastAsia="Arial" w:hAnsi="Arial"/>
          <w:sz w:val="22"/>
          <w:szCs w:val="22"/>
          <w:color w:val="auto"/>
        </w:rPr>
      </w:pPr>
    </w:p>
    <w:p>
      <w:pPr>
        <w:ind w:left="220" w:hanging="212"/>
        <w:spacing w:after="0"/>
        <w:tabs>
          <w:tab w:leader="none" w:pos="22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60" w:lineRule="exact"/>
        <w:rPr>
          <w:sz w:val="20"/>
          <w:szCs w:val="20"/>
          <w:color w:val="auto"/>
        </w:rPr>
      </w:pPr>
    </w:p>
    <w:p>
      <w:pPr>
        <w:ind w:left="720" w:right="860" w:hanging="377"/>
        <w:spacing w:after="0" w:line="263" w:lineRule="auto"/>
        <w:rPr>
          <w:sz w:val="20"/>
          <w:szCs w:val="20"/>
          <w:color w:val="auto"/>
        </w:rPr>
      </w:pPr>
      <w:r>
        <w:rPr>
          <w:rFonts w:ascii="Arial" w:cs="Arial" w:eastAsia="Arial" w:hAnsi="Arial"/>
          <w:sz w:val="22"/>
          <w:szCs w:val="22"/>
          <w:color w:val="auto"/>
        </w:rPr>
        <w:t>2.1 Section 2.1 of the Original Agreement is hereby amended by deleting in its entirety said Section 2.1 and replacing therewith the following:</w:t>
      </w:r>
    </w:p>
    <w:p>
      <w:pPr>
        <w:spacing w:after="0" w:line="215" w:lineRule="exact"/>
        <w:rPr>
          <w:sz w:val="20"/>
          <w:szCs w:val="20"/>
          <w:color w:val="auto"/>
        </w:rPr>
      </w:pPr>
    </w:p>
    <w:p>
      <w:pPr>
        <w:ind w:left="1080" w:right="100" w:hanging="377"/>
        <w:spacing w:after="0" w:line="247" w:lineRule="auto"/>
        <w:rPr>
          <w:sz w:val="20"/>
          <w:szCs w:val="20"/>
          <w:color w:val="auto"/>
        </w:rPr>
      </w:pPr>
      <w:r>
        <w:rPr>
          <w:rFonts w:ascii="Arial" w:cs="Arial" w:eastAsia="Arial" w:hAnsi="Arial"/>
          <w:sz w:val="22"/>
          <w:szCs w:val="22"/>
          <w:i w:val="1"/>
          <w:iCs w:val="1"/>
          <w:color w:val="auto"/>
        </w:rPr>
        <w:t>2.1 Lantheus shall buy from NTP, and NTP shall supply to Lantheus, a fixed volume of Product on a regular weekly basis to be supplied and delivered to John F. Kennedy International Airport, Jamaica, New York (“JFK”) or Logan International Airport, Boston, Massachusetts (“BOS”) (or other mutually agreed upon delivery location) on a mutually agreed schedule with follow-on trucking delivery to the Lantheus facility in North Billerica, Massachusetts. Lantheus shall provide NTP with notice of its intention to change such location at least forty-five (45) days in advance of the required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65" w:name="page66"/>
    <w:bookmarkEnd w:id="65"/>
    <w:p>
      <w:pPr>
        <w:jc w:val="both"/>
        <w:ind w:right="340"/>
        <w:spacing w:after="0" w:line="343" w:lineRule="auto"/>
        <w:rPr>
          <w:sz w:val="20"/>
          <w:szCs w:val="20"/>
          <w:color w:val="auto"/>
        </w:rPr>
      </w:pPr>
      <w:r>
        <w:rPr>
          <w:rFonts w:ascii="Arial" w:cs="Arial" w:eastAsia="Arial" w:hAnsi="Arial"/>
          <w:sz w:val="19"/>
          <w:szCs w:val="19"/>
          <w:i w:val="1"/>
          <w:iCs w:val="1"/>
          <w:color w:val="auto"/>
        </w:rPr>
        <w:t>inception date of such changes. Subject to the last sentence of this Section 2.1 and to Section 5.1, such fixed volume shall be as set forth immediately below, which volume may be changed by mutual written agreement of the parties:</w:t>
      </w:r>
    </w:p>
    <w:p>
      <w:pPr>
        <w:spacing w:after="0" w:line="268" w:lineRule="exact"/>
        <w:rPr>
          <w:sz w:val="20"/>
          <w:szCs w:val="20"/>
          <w:color w:val="auto"/>
        </w:rPr>
      </w:pPr>
    </w:p>
    <w:tbl>
      <w:tblPr>
        <w:tblLayout w:type="fixed"/>
        <w:tblInd w:w="150" w:type="dxa"/>
        <w:tblCellMar>
          <w:top w:w="0" w:type="dxa"/>
          <w:left w:w="0" w:type="dxa"/>
          <w:bottom w:w="0" w:type="dxa"/>
          <w:right w:w="0" w:type="dxa"/>
        </w:tblCellMar>
      </w:tblPr>
      <w:tr>
        <w:trPr>
          <w:trHeight w:val="262"/>
        </w:trPr>
        <w:tc>
          <w:tcPr>
            <w:tcW w:w="32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Time Period</w:t>
            </w:r>
          </w:p>
        </w:tc>
        <w:tc>
          <w:tcPr>
            <w:tcW w:w="5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i w:val="1"/>
                <w:iCs w:val="1"/>
                <w:color w:val="auto"/>
                <w:w w:val="97"/>
              </w:rPr>
              <w:t>Average curies per week with a six (6) day reference, such</w:t>
            </w:r>
          </w:p>
        </w:tc>
      </w:tr>
      <w:tr>
        <w:trPr>
          <w:trHeight w:val="243"/>
        </w:trPr>
        <w:tc>
          <w:tcPr>
            <w:tcW w:w="3220" w:type="dxa"/>
            <w:vAlign w:val="bottom"/>
            <w:tcBorders>
              <w:left w:val="single" w:sz="8" w:color="00000A"/>
              <w:right w:val="single" w:sz="8" w:color="00000A"/>
            </w:tcBorders>
          </w:tcPr>
          <w:p>
            <w:pPr>
              <w:spacing w:after="0"/>
              <w:rPr>
                <w:sz w:val="21"/>
                <w:szCs w:val="21"/>
                <w:color w:val="auto"/>
              </w:rPr>
            </w:pPr>
          </w:p>
        </w:tc>
        <w:tc>
          <w:tcPr>
            <w:tcW w:w="562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i w:val="1"/>
                <w:iCs w:val="1"/>
                <w:color w:val="auto"/>
                <w:w w:val="95"/>
              </w:rPr>
              <w:t>average calculated on a calendar month-by-calendar month</w:t>
            </w:r>
          </w:p>
        </w:tc>
      </w:tr>
      <w:tr>
        <w:trPr>
          <w:trHeight w:val="275"/>
        </w:trPr>
        <w:tc>
          <w:tcPr>
            <w:tcW w:w="3220" w:type="dxa"/>
            <w:vAlign w:val="bottom"/>
            <w:tcBorders>
              <w:left w:val="single" w:sz="8" w:color="00000A"/>
              <w:right w:val="single" w:sz="8" w:color="00000A"/>
            </w:tcBorders>
          </w:tcPr>
          <w:p>
            <w:pPr>
              <w:spacing w:after="0"/>
              <w:rPr>
                <w:sz w:val="23"/>
                <w:szCs w:val="23"/>
                <w:color w:val="auto"/>
              </w:rPr>
            </w:pPr>
          </w:p>
        </w:tc>
        <w:tc>
          <w:tcPr>
            <w:tcW w:w="5620" w:type="dxa"/>
            <w:vAlign w:val="bottom"/>
            <w:tcBorders>
              <w:right w:val="single" w:sz="8" w:color="00000A"/>
            </w:tcBorders>
          </w:tcPr>
          <w:p>
            <w:pPr>
              <w:ind w:left="20"/>
              <w:spacing w:after="0"/>
              <w:rPr>
                <w:sz w:val="20"/>
                <w:szCs w:val="20"/>
                <w:color w:val="auto"/>
              </w:rPr>
            </w:pPr>
            <w:r>
              <w:rPr>
                <w:rFonts w:ascii="Arial" w:cs="Arial" w:eastAsia="Arial" w:hAnsi="Arial"/>
                <w:sz w:val="22"/>
                <w:szCs w:val="22"/>
                <w:i w:val="1"/>
                <w:iCs w:val="1"/>
                <w:color w:val="auto"/>
              </w:rPr>
              <w:t>basis</w:t>
            </w:r>
          </w:p>
        </w:tc>
      </w:tr>
      <w:tr>
        <w:trPr>
          <w:trHeight w:val="260"/>
        </w:trPr>
        <w:tc>
          <w:tcPr>
            <w:tcW w:w="3220" w:type="dxa"/>
            <w:vAlign w:val="bottom"/>
            <w:tcBorders>
              <w:left w:val="single" w:sz="8" w:color="00000A"/>
              <w:bottom w:val="single" w:sz="8" w:color="00000A"/>
              <w:right w:val="single" w:sz="8" w:color="00000A"/>
            </w:tcBorders>
          </w:tcPr>
          <w:p>
            <w:pPr>
              <w:spacing w:after="0"/>
              <w:rPr>
                <w:sz w:val="22"/>
                <w:szCs w:val="22"/>
                <w:color w:val="auto"/>
              </w:rPr>
            </w:pPr>
          </w:p>
        </w:tc>
        <w:tc>
          <w:tcPr>
            <w:tcW w:w="5620" w:type="dxa"/>
            <w:vAlign w:val="bottom"/>
            <w:tcBorders>
              <w:bottom w:val="single" w:sz="8" w:color="00000A"/>
              <w:right w:val="single" w:sz="8" w:color="00000A"/>
            </w:tcBorders>
          </w:tcPr>
          <w:p>
            <w:pPr>
              <w:spacing w:after="0"/>
              <w:rPr>
                <w:sz w:val="22"/>
                <w:szCs w:val="22"/>
                <w:color w:val="auto"/>
              </w:rPr>
            </w:pPr>
          </w:p>
        </w:tc>
      </w:tr>
      <w:tr>
        <w:trPr>
          <w:trHeight w:val="284"/>
        </w:trPr>
        <w:tc>
          <w:tcPr>
            <w:tcW w:w="3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January-February 2010</w:t>
            </w:r>
          </w:p>
        </w:tc>
        <w:tc>
          <w:tcPr>
            <w:tcW w:w="5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i w:val="1"/>
                <w:iCs w:val="1"/>
                <w:color w:val="auto"/>
              </w:rPr>
              <w:t>1,300 curies per week</w:t>
            </w:r>
          </w:p>
        </w:tc>
      </w:tr>
      <w:tr>
        <w:trPr>
          <w:trHeight w:val="291"/>
        </w:trPr>
        <w:tc>
          <w:tcPr>
            <w:tcW w:w="3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March-April 2010</w:t>
            </w:r>
          </w:p>
        </w:tc>
        <w:tc>
          <w:tcPr>
            <w:tcW w:w="5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i w:val="1"/>
                <w:iCs w:val="1"/>
                <w:color w:val="auto"/>
              </w:rPr>
              <w:t>1,000 curies per week</w:t>
            </w:r>
          </w:p>
        </w:tc>
      </w:tr>
      <w:tr>
        <w:trPr>
          <w:trHeight w:val="291"/>
        </w:trPr>
        <w:tc>
          <w:tcPr>
            <w:tcW w:w="3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May-June 2010</w:t>
            </w:r>
          </w:p>
        </w:tc>
        <w:tc>
          <w:tcPr>
            <w:tcW w:w="5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i w:val="1"/>
                <w:iCs w:val="1"/>
                <w:color w:val="auto"/>
              </w:rPr>
              <w:t>900 curies per week</w:t>
            </w:r>
          </w:p>
        </w:tc>
      </w:tr>
      <w:tr>
        <w:trPr>
          <w:trHeight w:val="291"/>
        </w:trPr>
        <w:tc>
          <w:tcPr>
            <w:tcW w:w="3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July 2010</w:t>
            </w:r>
          </w:p>
        </w:tc>
        <w:tc>
          <w:tcPr>
            <w:tcW w:w="5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i w:val="1"/>
                <w:iCs w:val="1"/>
                <w:color w:val="auto"/>
              </w:rPr>
              <w:t>600 curies per week</w:t>
            </w:r>
          </w:p>
        </w:tc>
      </w:tr>
      <w:tr>
        <w:trPr>
          <w:trHeight w:val="291"/>
        </w:trPr>
        <w:tc>
          <w:tcPr>
            <w:tcW w:w="3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August 2010 and thereafter</w:t>
            </w:r>
          </w:p>
        </w:tc>
        <w:tc>
          <w:tcPr>
            <w:tcW w:w="5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i w:val="1"/>
                <w:iCs w:val="1"/>
                <w:color w:val="auto"/>
              </w:rPr>
              <w:t>1,400 curies per week</w:t>
            </w:r>
          </w:p>
        </w:tc>
      </w:tr>
    </w:tbl>
    <w:p>
      <w:pPr>
        <w:spacing w:after="0" w:line="249" w:lineRule="exact"/>
        <w:rPr>
          <w:sz w:val="20"/>
          <w:szCs w:val="20"/>
          <w:color w:val="auto"/>
        </w:rPr>
      </w:pPr>
    </w:p>
    <w:p>
      <w:pPr>
        <w:ind w:left="60" w:right="40"/>
        <w:spacing w:after="0" w:line="283" w:lineRule="auto"/>
        <w:rPr>
          <w:sz w:val="20"/>
          <w:szCs w:val="20"/>
          <w:color w:val="auto"/>
        </w:rPr>
      </w:pPr>
      <w:r>
        <w:rPr>
          <w:rFonts w:ascii="Arial" w:cs="Arial" w:eastAsia="Arial" w:hAnsi="Arial"/>
          <w:sz w:val="19"/>
          <w:szCs w:val="19"/>
          <w:i w:val="1"/>
          <w:iCs w:val="1"/>
          <w:color w:val="auto"/>
        </w:rPr>
        <w:t>NTP shall be responsible to ensure that the full weekly quota of Mo-99 is delivered to Lantheus other than during scheduled outages for routine maintenance, unscheduled outages or failures of the production lines of NTP and its Subcontractor (i.e., under conditions of normal operations prevailing at NTP and its Subcontractor’s facilities). At the discretion of the Account Manager at NTP (“Account Manager”), such material shall be supplied by NTP or its Subcontractor. Lantheus shall be advised in a timely way of the manner in which supply obligations hereunder will be allocated among NTP and its Subcontractor. NTP will schedule deliveries to Lantheus so as to compensate for scheduled outages at either facility in such a way that the full supply quota will be maintained under such circumstances. In the case of unscheduled outages or production line failures for whatever reason (and for Events of Force Majeure (as hereinafter defined)), Lantheus will receive a share of Product available that is not less than that which is directly proportional to its average share of the total weekly purchasing (averaged over the preceding thirty</w:t>
      </w:r>
    </w:p>
    <w:p>
      <w:pPr>
        <w:spacing w:after="0" w:line="8" w:lineRule="exact"/>
        <w:rPr>
          <w:sz w:val="20"/>
          <w:szCs w:val="20"/>
          <w:color w:val="auto"/>
        </w:rPr>
      </w:pPr>
    </w:p>
    <w:p>
      <w:pPr>
        <w:ind w:left="60" w:firstLine="2"/>
        <w:spacing w:after="0" w:line="287" w:lineRule="auto"/>
        <w:tabs>
          <w:tab w:leader="none" w:pos="474" w:val="left"/>
        </w:tabs>
        <w:numPr>
          <w:ilvl w:val="0"/>
          <w:numId w:val="19"/>
        </w:numPr>
        <w:rPr>
          <w:rFonts w:ascii="Arial" w:cs="Arial" w:eastAsia="Arial" w:hAnsi="Arial"/>
          <w:sz w:val="19"/>
          <w:szCs w:val="19"/>
          <w:i w:val="1"/>
          <w:iCs w:val="1"/>
          <w:color w:val="auto"/>
        </w:rPr>
      </w:pPr>
      <w:r>
        <w:rPr>
          <w:rFonts w:ascii="Arial" w:cs="Arial" w:eastAsia="Arial" w:hAnsi="Arial"/>
          <w:sz w:val="19"/>
          <w:szCs w:val="19"/>
          <w:i w:val="1"/>
          <w:iCs w:val="1"/>
          <w:color w:val="auto"/>
        </w:rPr>
        <w:t>days) from NTP and its Subcontractor. NTP has established and shall maintain relationships with air carriers for the Lantheus route such that the probability of a Lantheus shipment being refused by the carrier shall be highly improbable. NTP shall liaise (via the Account Manager at NTP) with its Subcontractor, taking into account the reactor production and maintenance schedules of each facility, and supply Lantheus thirty-five (35) days in advance of the first delivery of a month, the supply schedule for the following month detailing clearly which supplier (NTP or a Subcontractor) will supply such delivery. For clarity and as an example, NTP will provide Lantheus the March 2010 supply schedule on 27 January 2010. This supply schedule will be binding on NTP and its Subcontractor and will be used by Lantheus to register each shipment with applicable U.S. governmental authorities as dictated by U.S. regulations. If the airport of delivery is JFK, then Product will be available for pick-up by</w:t>
      </w:r>
    </w:p>
    <w:p>
      <w:pPr>
        <w:spacing w:after="0" w:line="183"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40"/>
          </w:cols>
          <w:pgMar w:left="1320" w:top="375" w:right="239" w:bottom="1440" w:gutter="0" w:footer="0" w:header="0"/>
        </w:sectPr>
      </w:pPr>
    </w:p>
    <w:bookmarkStart w:id="66" w:name="page67"/>
    <w:bookmarkEnd w:id="66"/>
    <w:p>
      <w:pPr>
        <w:ind w:left="640" w:right="280"/>
        <w:spacing w:after="0" w:line="343" w:lineRule="auto"/>
        <w:rPr>
          <w:sz w:val="20"/>
          <w:szCs w:val="20"/>
          <w:color w:val="auto"/>
        </w:rPr>
      </w:pPr>
      <w:r>
        <w:rPr>
          <w:rFonts w:ascii="Arial" w:cs="Arial" w:eastAsia="Arial" w:hAnsi="Arial"/>
          <w:sz w:val="19"/>
          <w:szCs w:val="19"/>
          <w:i w:val="1"/>
          <w:iCs w:val="1"/>
          <w:color w:val="auto"/>
        </w:rPr>
        <w:t>Lantheus no later than 12:00 Noon. If the airport of delivery is BOS, then Product will be available for pick-up by Lantheus no later than 3:00PM. Pick-up time for any other delivery location will be mutually agreed upon.</w:t>
      </w:r>
    </w:p>
    <w:p>
      <w:pPr>
        <w:spacing w:after="0" w:line="145" w:lineRule="exact"/>
        <w:rPr>
          <w:sz w:val="20"/>
          <w:szCs w:val="20"/>
          <w:color w:val="auto"/>
        </w:rPr>
      </w:pPr>
    </w:p>
    <w:p>
      <w:pPr>
        <w:ind w:left="640"/>
        <w:spacing w:after="0" w:line="246" w:lineRule="auto"/>
        <w:rPr>
          <w:sz w:val="20"/>
          <w:szCs w:val="20"/>
          <w:color w:val="auto"/>
        </w:rPr>
      </w:pPr>
      <w:r>
        <w:rPr>
          <w:rFonts w:ascii="Arial" w:cs="Arial" w:eastAsia="Arial" w:hAnsi="Arial"/>
          <w:sz w:val="22"/>
          <w:szCs w:val="22"/>
          <w:i w:val="1"/>
          <w:iCs w:val="1"/>
          <w:color w:val="auto"/>
        </w:rPr>
        <w:t>Notwithstanding the foregoing and without limiting the rights of Lantheus elsewhere in this Agreement, including, without limitation, pursuant to the termination provisions of Section 11, to the extent NTP does not or cannot deliver the quantities specified in this Section 2.1 on a weekly basis in a reliable matter or on a monthly basis in accordance with the terms of this Agreement, then from and after April 1, 2010 Lantheus shall have the sole right, after giving NTP thirty (30) days prior written notice, to reduce the fixed volumes specified in this Section 2.1 to a volume or volumes less than otherwise set forth but not less than four hundred (400) curies per week for the duration of the time periods specified.</w:t>
      </w:r>
    </w:p>
    <w:p>
      <w:pPr>
        <w:spacing w:after="0" w:line="238" w:lineRule="exact"/>
        <w:rPr>
          <w:sz w:val="20"/>
          <w:szCs w:val="20"/>
          <w:color w:val="auto"/>
        </w:rPr>
      </w:pPr>
    </w:p>
    <w:p>
      <w:pPr>
        <w:jc w:val="right"/>
        <w:ind w:right="160"/>
        <w:spacing w:after="0"/>
        <w:rPr>
          <w:sz w:val="20"/>
          <w:szCs w:val="20"/>
          <w:color w:val="auto"/>
        </w:rPr>
      </w:pPr>
      <w:r>
        <w:rPr>
          <w:rFonts w:ascii="Arial" w:cs="Arial" w:eastAsia="Arial" w:hAnsi="Arial"/>
          <w:sz w:val="19"/>
          <w:szCs w:val="19"/>
          <w:color w:val="auto"/>
        </w:rPr>
        <w:t>2.2 Section 2.2 of the Original Agreement is hereby amended by deleting from the first sentence thereof the words “regular</w:t>
      </w:r>
    </w:p>
    <w:p>
      <w:pPr>
        <w:spacing w:after="0" w:line="56" w:lineRule="exact"/>
        <w:rPr>
          <w:sz w:val="20"/>
          <w:szCs w:val="20"/>
          <w:color w:val="auto"/>
        </w:rPr>
      </w:pPr>
    </w:p>
    <w:p>
      <w:pPr>
        <w:jc w:val="right"/>
        <w:ind w:right="220"/>
        <w:spacing w:after="0"/>
        <w:rPr>
          <w:sz w:val="20"/>
          <w:szCs w:val="20"/>
          <w:color w:val="auto"/>
        </w:rPr>
      </w:pPr>
      <w:r>
        <w:rPr>
          <w:rFonts w:ascii="Arial" w:cs="Arial" w:eastAsia="Arial" w:hAnsi="Arial"/>
          <w:sz w:val="19"/>
          <w:szCs w:val="19"/>
          <w:color w:val="auto"/>
        </w:rPr>
        <w:t>400 6-day Ci per week” and replacing therewith the words “then-applicable specified amount of 6-day Ci per week”.</w:t>
      </w:r>
    </w:p>
    <w:p>
      <w:pPr>
        <w:spacing w:after="0" w:line="277" w:lineRule="exact"/>
        <w:rPr>
          <w:sz w:val="20"/>
          <w:szCs w:val="20"/>
          <w:color w:val="auto"/>
        </w:rPr>
      </w:pPr>
    </w:p>
    <w:p>
      <w:pPr>
        <w:jc w:val="right"/>
        <w:ind w:right="160"/>
        <w:spacing w:after="0"/>
        <w:rPr>
          <w:sz w:val="20"/>
          <w:szCs w:val="20"/>
          <w:color w:val="auto"/>
        </w:rPr>
      </w:pPr>
      <w:r>
        <w:rPr>
          <w:rFonts w:ascii="Arial" w:cs="Arial" w:eastAsia="Arial" w:hAnsi="Arial"/>
          <w:sz w:val="19"/>
          <w:szCs w:val="19"/>
          <w:color w:val="auto"/>
        </w:rPr>
        <w:t>2.3 Section 2.3 of the Original Agreement is hereby amended by deleting from the first sentence thereof the words “regular</w:t>
      </w:r>
    </w:p>
    <w:p>
      <w:pPr>
        <w:spacing w:after="0" w:line="56" w:lineRule="exact"/>
        <w:rPr>
          <w:sz w:val="20"/>
          <w:szCs w:val="20"/>
          <w:color w:val="auto"/>
        </w:rPr>
      </w:pPr>
    </w:p>
    <w:p>
      <w:pPr>
        <w:jc w:val="right"/>
        <w:ind w:right="220"/>
        <w:spacing w:after="0"/>
        <w:rPr>
          <w:sz w:val="20"/>
          <w:szCs w:val="20"/>
          <w:color w:val="auto"/>
        </w:rPr>
      </w:pPr>
      <w:r>
        <w:rPr>
          <w:rFonts w:ascii="Arial" w:cs="Arial" w:eastAsia="Arial" w:hAnsi="Arial"/>
          <w:sz w:val="19"/>
          <w:szCs w:val="19"/>
          <w:color w:val="auto"/>
        </w:rPr>
        <w:t>400 6-day Ci per week” and replacing therewith the words “then-applicable specified amount of 6-day Ci per week”.</w:t>
      </w:r>
    </w:p>
    <w:p>
      <w:pPr>
        <w:spacing w:after="0" w:line="277" w:lineRule="exact"/>
        <w:rPr>
          <w:sz w:val="20"/>
          <w:szCs w:val="20"/>
          <w:color w:val="auto"/>
        </w:rPr>
      </w:pPr>
    </w:p>
    <w:p>
      <w:pPr>
        <w:ind w:left="480" w:right="460" w:hanging="485"/>
        <w:spacing w:after="0" w:line="263" w:lineRule="auto"/>
        <w:tabs>
          <w:tab w:leader="none" w:pos="460" w:val="left"/>
        </w:tabs>
        <w:rPr>
          <w:sz w:val="20"/>
          <w:szCs w:val="20"/>
          <w:color w:val="auto"/>
        </w:rPr>
      </w:pPr>
      <w:r>
        <w:rPr>
          <w:rFonts w:ascii="Arial" w:cs="Arial" w:eastAsia="Arial" w:hAnsi="Arial"/>
          <w:sz w:val="22"/>
          <w:szCs w:val="22"/>
          <w:color w:val="auto"/>
        </w:rPr>
        <w:t>2.4</w:t>
        <w:tab/>
        <w:t>Section 5.1 of the Original Agreement is hereby amended by deleting in its entirety said Section 5.1 and replacing therewith the following:</w:t>
      </w:r>
    </w:p>
    <w:p>
      <w:pPr>
        <w:spacing w:after="0" w:line="215" w:lineRule="exact"/>
        <w:rPr>
          <w:sz w:val="20"/>
          <w:szCs w:val="20"/>
          <w:color w:val="auto"/>
        </w:rPr>
      </w:pPr>
    </w:p>
    <w:p>
      <w:pPr>
        <w:ind w:left="1120" w:right="400" w:hanging="647"/>
        <w:spacing w:after="0" w:line="263" w:lineRule="auto"/>
        <w:tabs>
          <w:tab w:leader="none" w:pos="1100" w:val="left"/>
        </w:tabs>
        <w:rPr>
          <w:sz w:val="20"/>
          <w:szCs w:val="20"/>
          <w:color w:val="auto"/>
        </w:rPr>
      </w:pPr>
      <w:r>
        <w:rPr>
          <w:rFonts w:ascii="Arial" w:cs="Arial" w:eastAsia="Arial" w:hAnsi="Arial"/>
          <w:sz w:val="22"/>
          <w:szCs w:val="22"/>
          <w:i w:val="1"/>
          <w:iCs w:val="1"/>
          <w:color w:val="auto"/>
        </w:rPr>
        <w:t>5.1</w:t>
      </w:r>
      <w:r>
        <w:rPr>
          <w:sz w:val="20"/>
          <w:szCs w:val="20"/>
          <w:color w:val="auto"/>
        </w:rPr>
        <w:tab/>
      </w:r>
      <w:r>
        <w:rPr>
          <w:rFonts w:ascii="Arial" w:cs="Arial" w:eastAsia="Arial" w:hAnsi="Arial"/>
          <w:sz w:val="22"/>
          <w:szCs w:val="22"/>
          <w:i w:val="1"/>
          <w:iCs w:val="1"/>
          <w:color w:val="auto"/>
        </w:rPr>
        <w:t>The price payable by Lantheus for Product for the period from January 1 through July 31, 2010 shall be as follows:</w:t>
      </w:r>
    </w:p>
    <w:p>
      <w:pPr>
        <w:spacing w:after="0" w:line="215" w:lineRule="exact"/>
        <w:rPr>
          <w:sz w:val="20"/>
          <w:szCs w:val="20"/>
          <w:color w:val="auto"/>
        </w:rPr>
      </w:pPr>
    </w:p>
    <w:p>
      <w:pPr>
        <w:ind w:left="1120"/>
        <w:spacing w:after="0" w:line="289" w:lineRule="auto"/>
        <w:rPr>
          <w:sz w:val="20"/>
          <w:szCs w:val="20"/>
          <w:color w:val="auto"/>
        </w:rPr>
      </w:pPr>
      <w:r>
        <w:rPr>
          <w:rFonts w:ascii="Arial" w:cs="Arial" w:eastAsia="Arial" w:hAnsi="Arial"/>
          <w:sz w:val="19"/>
          <w:szCs w:val="19"/>
          <w:i w:val="1"/>
          <w:iCs w:val="1"/>
          <w:color w:val="auto"/>
        </w:rPr>
        <w:t>In exchange for the commitment of Lantheus to purchase the amounts set forth in Section 2.1 in any given week (subject to NTP’s ability to supply such amounts in such weeks), the unit price of Product for such week shall be three hundred seventy-five fixed US dollars (US$375) per Curie at calibrated date and time for the first four hundred (400) Curies delivered per week and five hundred sixty-five fixed US dollars (US$565) per Curie at calibrated date and time for all Curies in excess of the first four hundred (400) Curies delivered per week. The calibration date and time shall be in accordance with Section 2.4. Such price will be adjusted annually upon mutual agreement of the parties as of each subsequent August 1 of the Agreement on the basis of market forces prevailing at the time, the then current cost of production and any contractual sales obligations that Lantheus may have with its customers and by negotiation and agreement by, at the</w:t>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00"/>
          </w:cols>
          <w:pgMar w:left="740" w:top="375" w:right="359" w:bottom="1440" w:gutter="0" w:footer="0" w:header="0"/>
        </w:sectPr>
      </w:pPr>
    </w:p>
    <w:bookmarkStart w:id="67" w:name="page68"/>
    <w:bookmarkEnd w:id="67"/>
    <w:p>
      <w:pPr>
        <w:ind w:left="1612"/>
        <w:spacing w:after="0" w:line="294" w:lineRule="auto"/>
        <w:rPr>
          <w:sz w:val="20"/>
          <w:szCs w:val="20"/>
          <w:color w:val="auto"/>
        </w:rPr>
      </w:pPr>
      <w:r>
        <w:rPr>
          <w:rFonts w:ascii="Arial" w:cs="Arial" w:eastAsia="Arial" w:hAnsi="Arial"/>
          <w:sz w:val="19"/>
          <w:szCs w:val="19"/>
          <w:i w:val="1"/>
          <w:iCs w:val="1"/>
          <w:color w:val="auto"/>
        </w:rPr>
        <w:t>latest, the last day of May preceding the commencement of the new pricing term (1 August of each year that the contract is in place). Lantheus shall have the right to terminate the Agreement if the parties fail to agree on new pricing by such last day of May. Changes in contracted volumes not required during the course of a contractual period, i.e., 1 August to 31 July of the following year, the latter of which would be handled by the terms of Section 2.1 or 2.2, but applicable for the ensuing contractual period, shall be agreed at the same time as the annual negotiations on product prices as outlined in this Section 5.1 above.</w:t>
      </w:r>
    </w:p>
    <w:p>
      <w:pPr>
        <w:spacing w:after="0" w:line="190" w:lineRule="exact"/>
        <w:rPr>
          <w:sz w:val="20"/>
          <w:szCs w:val="20"/>
          <w:color w:val="auto"/>
        </w:rPr>
      </w:pPr>
    </w:p>
    <w:p>
      <w:pPr>
        <w:ind w:left="1612" w:right="200"/>
        <w:spacing w:after="0" w:line="297" w:lineRule="auto"/>
        <w:rPr>
          <w:sz w:val="20"/>
          <w:szCs w:val="20"/>
          <w:color w:val="auto"/>
        </w:rPr>
      </w:pPr>
      <w:r>
        <w:rPr>
          <w:rFonts w:ascii="Arial" w:cs="Arial" w:eastAsia="Arial" w:hAnsi="Arial"/>
          <w:sz w:val="19"/>
          <w:szCs w:val="19"/>
          <w:i w:val="1"/>
          <w:iCs w:val="1"/>
          <w:color w:val="auto"/>
        </w:rPr>
        <w:t>NTP shall invoice Lantheus at the end of each month for all Product supplied by NTP or its Subcontractor in that month. Invoicing shall be in respect of the price applicable to Product upon delivery of such conforming Product to Lantheus on an FCA basis, and in respect of container charges as the same become payable under this Agreement. Lantheus shall pay all invoices for shipments of conforming Product in any given month (as reduced by any outstanding credits for nonconforming Product) by the end of the following month to NTP.</w:t>
      </w:r>
    </w:p>
    <w:p>
      <w:pPr>
        <w:spacing w:after="0" w:line="200" w:lineRule="exact"/>
        <w:rPr>
          <w:sz w:val="20"/>
          <w:szCs w:val="20"/>
          <w:color w:val="auto"/>
        </w:rPr>
      </w:pPr>
    </w:p>
    <w:p>
      <w:pPr>
        <w:spacing w:after="0" w:line="244" w:lineRule="exact"/>
        <w:rPr>
          <w:sz w:val="20"/>
          <w:szCs w:val="20"/>
          <w:color w:val="auto"/>
        </w:rPr>
      </w:pPr>
    </w:p>
    <w:p>
      <w:pPr>
        <w:ind w:left="-8" w:right="220" w:firstLine="8"/>
        <w:spacing w:after="0" w:line="263" w:lineRule="auto"/>
        <w:tabs>
          <w:tab w:leader="none" w:pos="37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Each party hereby waives any non-compliance with the terms and provisions of the Original Agreement as in effect immediately prior to the amendment thereof by this Agreement.</w:t>
      </w:r>
    </w:p>
    <w:p>
      <w:pPr>
        <w:spacing w:after="0" w:line="215" w:lineRule="exact"/>
        <w:rPr>
          <w:rFonts w:ascii="Arial" w:cs="Arial" w:eastAsia="Arial" w:hAnsi="Arial"/>
          <w:sz w:val="22"/>
          <w:szCs w:val="22"/>
          <w:color w:val="auto"/>
        </w:rPr>
      </w:pPr>
    </w:p>
    <w:p>
      <w:pPr>
        <w:ind w:left="-8" w:right="260" w:firstLine="8"/>
        <w:spacing w:after="0" w:line="250" w:lineRule="auto"/>
        <w:tabs>
          <w:tab w:leader="none" w:pos="37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specifically amended hereby, the Original Agreement remains in full force and effect and otherwise unamended hereby. This Amendment constitutes a final written expression of the terms hereof and is a complete and exclusive statement of those terms. This Amendment shall be governed by and construed in accordance with the laws of England, without reference to its choice of laws rules.</w:t>
      </w:r>
    </w:p>
    <w:p>
      <w:pPr>
        <w:spacing w:after="0" w:line="200" w:lineRule="exact"/>
        <w:rPr>
          <w:sz w:val="20"/>
          <w:szCs w:val="20"/>
          <w:color w:val="auto"/>
        </w:rPr>
      </w:pPr>
    </w:p>
    <w:p>
      <w:pPr>
        <w:spacing w:after="0" w:line="272"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12"/>
          </w:cols>
          <w:pgMar w:left="248" w:top="375"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duly executed this Amendment as of the date first written above.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NTP:</w:t>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Name and Title: Marketing &amp; Sales Manager, 15 March 2010</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Lantheus:</w:t>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William C. Dawes,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Name and Title: William C. Dawes, Jr., VP Mfg &amp; Supply Chain</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Witnessed by IRE:</w:t>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Jean-Michel Vanderhofstadt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Name and Title: Jean-Michel Vanderhofstadt, Director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00"/>
          </w:cols>
          <w:pgMar w:left="240" w:top="369"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2 to Sales Agreement</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THIS AMENDMENT NO. 2 TO SALES AGREEMENT (this “Amendment”) is made effective as of April 1, 2011 by and between NTP Radioisotopes (Pty) Ltd., a commercial company registered and existing under the laws of the Republic of South Africa, having its registered office at Building 1700, Pelindaba, Church Street West Extension, Brits District, North West Province of South Africa (“NTP”), and Lantheus Medical Imaging, Inc., a corporation organized and existing under the laws of Delaware with a place of business at 331 Treble Cove Road, North Billerica, Massachusetts, United States of America 01862 (“Lantheus”).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NTP and Lantheus entered into a Sales Agreement effective as of April 1, 2009 (the “Sales Agreement”);</w:t>
      </w:r>
    </w:p>
    <w:p>
      <w:pPr>
        <w:spacing w:after="0" w:line="260" w:lineRule="exact"/>
        <w:rPr>
          <w:rFonts w:ascii="Arial" w:cs="Arial" w:eastAsia="Arial" w:hAnsi="Arial"/>
          <w:sz w:val="22"/>
          <w:szCs w:val="22"/>
          <w:color w:val="auto"/>
        </w:rPr>
      </w:pPr>
    </w:p>
    <w:p>
      <w:pPr>
        <w:ind w:left="660" w:right="60" w:hanging="328"/>
        <w:spacing w:after="0" w:line="26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NTP and Lantheus entered into Amendment No. 1 to the Sales Agreement effective as of January 1, 2010 (together with the Sales Agreement, the “Agreement”); and</w:t>
      </w:r>
    </w:p>
    <w:p>
      <w:pPr>
        <w:spacing w:after="0" w:line="215" w:lineRule="exact"/>
        <w:rPr>
          <w:rFonts w:ascii="Arial" w:cs="Arial" w:eastAsia="Arial" w:hAnsi="Arial"/>
          <w:sz w:val="22"/>
          <w:szCs w:val="22"/>
          <w:color w:val="auto"/>
        </w:rPr>
      </w:pPr>
    </w:p>
    <w:p>
      <w:pPr>
        <w:ind w:left="660" w:right="60" w:hanging="328"/>
        <w:spacing w:after="0" w:line="26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NTP and Lantheus wish to further amend the Agreement to modify the committed volume levels and specify the pricing for such volume levels through December 31, 2013;</w:t>
      </w:r>
    </w:p>
    <w:p>
      <w:pPr>
        <w:spacing w:after="0" w:line="209" w:lineRule="exact"/>
        <w:rPr>
          <w:sz w:val="20"/>
          <w:szCs w:val="20"/>
          <w:color w:val="auto"/>
        </w:rPr>
      </w:pPr>
    </w:p>
    <w:p>
      <w:pPr>
        <w:ind w:right="240"/>
        <w:spacing w:after="0" w:line="350"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mutual promises and covenants hereinafter set forth,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hereby agree as follows:</w:t>
      </w:r>
    </w:p>
    <w:p>
      <w:pPr>
        <w:spacing w:after="0" w:line="13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Terms defined in the Agreement and not otherwise defined herein are used herein with the meanings so defined.</w:t>
      </w:r>
    </w:p>
    <w:p>
      <w:pPr>
        <w:spacing w:after="0" w:line="294" w:lineRule="exact"/>
        <w:rPr>
          <w:rFonts w:ascii="Arial" w:cs="Arial" w:eastAsia="Arial" w:hAnsi="Arial"/>
          <w:sz w:val="19"/>
          <w:szCs w:val="19"/>
          <w:color w:val="auto"/>
        </w:rPr>
      </w:pPr>
    </w:p>
    <w:p>
      <w:pPr>
        <w:ind w:left="220" w:hanging="212"/>
        <w:spacing w:after="0"/>
        <w:tabs>
          <w:tab w:leader="none" w:pos="22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60" w:lineRule="exact"/>
        <w:rPr>
          <w:sz w:val="20"/>
          <w:szCs w:val="20"/>
          <w:color w:val="auto"/>
        </w:rPr>
      </w:pPr>
    </w:p>
    <w:p>
      <w:pPr>
        <w:ind w:left="980" w:right="180" w:hanging="485"/>
        <w:spacing w:after="0" w:line="263" w:lineRule="auto"/>
        <w:tabs>
          <w:tab w:leader="none" w:pos="960" w:val="left"/>
        </w:tabs>
        <w:rPr>
          <w:sz w:val="20"/>
          <w:szCs w:val="20"/>
          <w:color w:val="auto"/>
        </w:rPr>
      </w:pPr>
      <w:r>
        <w:rPr>
          <w:rFonts w:ascii="Arial" w:cs="Arial" w:eastAsia="Arial" w:hAnsi="Arial"/>
          <w:sz w:val="22"/>
          <w:szCs w:val="22"/>
          <w:color w:val="auto"/>
        </w:rPr>
        <w:t>2.1</w:t>
        <w:tab/>
        <w:t>Section 2.1 of the Agreement is hereby amended by deleting in its entirety said Section 2.1 and replacing therewith the following:</w:t>
      </w:r>
    </w:p>
    <w:p>
      <w:pPr>
        <w:spacing w:after="0" w:line="215"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2"/>
          <w:szCs w:val="22"/>
          <w:i w:val="1"/>
          <w:iCs w:val="1"/>
          <w:color w:val="auto"/>
        </w:rPr>
        <w:t>2.1</w:t>
      </w:r>
      <w:r>
        <w:rPr>
          <w:sz w:val="20"/>
          <w:szCs w:val="20"/>
          <w:color w:val="auto"/>
        </w:rPr>
        <w:tab/>
      </w:r>
      <w:r>
        <w:rPr>
          <w:rFonts w:ascii="Arial" w:cs="Arial" w:eastAsia="Arial" w:hAnsi="Arial"/>
          <w:sz w:val="19"/>
          <w:szCs w:val="19"/>
          <w:i w:val="1"/>
          <w:iCs w:val="1"/>
          <w:color w:val="auto"/>
        </w:rPr>
        <w:t>Subject to the terms of this Agreement, the parties hereby agree as follows:</w:t>
      </w:r>
    </w:p>
    <w:p>
      <w:pPr>
        <w:spacing w:after="0" w:line="260" w:lineRule="exact"/>
        <w:rPr>
          <w:sz w:val="20"/>
          <w:szCs w:val="20"/>
          <w:color w:val="auto"/>
        </w:rPr>
      </w:pPr>
    </w:p>
    <w:p>
      <w:pPr>
        <w:ind w:left="1060" w:right="20" w:firstLine="1"/>
        <w:spacing w:after="0" w:line="302" w:lineRule="auto"/>
        <w:tabs>
          <w:tab w:leader="none" w:pos="1528" w:val="left"/>
        </w:tabs>
        <w:numPr>
          <w:ilvl w:val="0"/>
          <w:numId w:val="23"/>
        </w:numPr>
        <w:rPr>
          <w:rFonts w:ascii="Arial" w:cs="Arial" w:eastAsia="Arial" w:hAnsi="Arial"/>
          <w:sz w:val="19"/>
          <w:szCs w:val="19"/>
          <w:i w:val="1"/>
          <w:iCs w:val="1"/>
          <w:color w:val="auto"/>
        </w:rPr>
      </w:pPr>
      <w:r>
        <w:rPr>
          <w:rFonts w:ascii="Arial" w:cs="Arial" w:eastAsia="Arial" w:hAnsi="Arial"/>
          <w:sz w:val="19"/>
          <w:szCs w:val="19"/>
          <w:i w:val="1"/>
          <w:iCs w:val="1"/>
          <w:color w:val="auto"/>
        </w:rPr>
        <w:t>Commencing as of April 1, 2011 and continuing through December 31, 2012, Lantheus shall commit to place routine Product orders with NTP on a regular weekly basis corresponding to at least ninety percent (90%) of Lantheus’ “standing order volume requirements” (as defined below), up to a maximum purchase volume of 1,400 curies of Product per week from NTP and its Subcontractors (as measured using the calibration as set forth in</w:t>
      </w:r>
    </w:p>
    <w:p>
      <w:pPr>
        <w:sectPr>
          <w:pgSz w:w="11900" w:h="16838" w:orient="portrait"/>
          <w:cols w:equalWidth="0" w:num="1">
            <w:col w:w="11420"/>
          </w:cols>
          <w:pgMar w:left="240" w:top="585" w:right="239" w:bottom="1440" w:gutter="0" w:footer="0" w:header="0"/>
        </w:sectPr>
      </w:pPr>
    </w:p>
    <w:bookmarkStart w:id="70" w:name="page71"/>
    <w:bookmarkEnd w:id="70"/>
    <w:p>
      <w:pPr>
        <w:spacing w:after="0" w:line="283" w:lineRule="auto"/>
        <w:rPr>
          <w:sz w:val="20"/>
          <w:szCs w:val="20"/>
          <w:color w:val="auto"/>
        </w:rPr>
      </w:pPr>
      <w:r>
        <w:rPr>
          <w:rFonts w:ascii="Arial" w:cs="Arial" w:eastAsia="Arial" w:hAnsi="Arial"/>
          <w:sz w:val="19"/>
          <w:szCs w:val="19"/>
          <w:i w:val="1"/>
          <w:iCs w:val="1"/>
          <w:color w:val="auto"/>
        </w:rPr>
        <w:t>Section 2.5) unless orders for increased volumes of Product are otherwise placed by Lantheus, as averaged over each separate but successive calendar quarter commencing April 1, 2011, and NTP shall supply such orders, provided that, as set forth in Section 2.1(c), such obligations shall only apply in those weeks in which NTP and its Subcontractors are able to satisfy, and NTP and its Subcontractors do satisfy, such obligations. Lantheus shall, in writing, submit to NTP on the 1st day of each month during the term of this Agreement, a good faith, non binding forecast of the estimated quantity of Product Lantheus expects to order from NTP during the three (3) month period following the date of the forecast (each a “Forecast”). Lantheus will also provide NTP with firm orders for Product at least fourteen (14) days in advance of the required date of Product shipment. During the period of April 1, 2011 through December 31, 2012, Lantheus expects the weekly purchase volumes to be in the range of 500 to 1,400 curies of Product; provided, however, for purposes of clarity, and notwithstanding any other provision of this Agreement, the parties acknowledge and agree that Lantheus shall be relieved of any obligations with respect to the purchase volumes in this Section 2.1 if Lantheus has reason to believe that it will be unable to use such Product in the manufacture and sale of Technetium-99m generators (e.g., there is a change in customer demand for Technetium-99m generators); provided further, that if at any time during the term of this Agreement Lantheus does not purchase an average weekly volume of at least four hundred</w:t>
      </w:r>
    </w:p>
    <w:p>
      <w:pPr>
        <w:spacing w:after="0" w:line="3" w:lineRule="exact"/>
        <w:rPr>
          <w:sz w:val="20"/>
          <w:szCs w:val="20"/>
          <w:color w:val="auto"/>
        </w:rPr>
      </w:pPr>
    </w:p>
    <w:p>
      <w:pPr>
        <w:ind w:right="140" w:firstLine="1"/>
        <w:spacing w:after="0" w:line="290" w:lineRule="auto"/>
        <w:tabs>
          <w:tab w:leader="none" w:pos="522" w:val="left"/>
        </w:tabs>
        <w:numPr>
          <w:ilvl w:val="0"/>
          <w:numId w:val="24"/>
        </w:numPr>
        <w:rPr>
          <w:rFonts w:ascii="Arial" w:cs="Arial" w:eastAsia="Arial" w:hAnsi="Arial"/>
          <w:sz w:val="19"/>
          <w:szCs w:val="19"/>
          <w:i w:val="1"/>
          <w:iCs w:val="1"/>
          <w:color w:val="auto"/>
        </w:rPr>
      </w:pPr>
      <w:r>
        <w:rPr>
          <w:rFonts w:ascii="Arial" w:cs="Arial" w:eastAsia="Arial" w:hAnsi="Arial"/>
          <w:sz w:val="19"/>
          <w:szCs w:val="19"/>
          <w:i w:val="1"/>
          <w:iCs w:val="1"/>
          <w:color w:val="auto"/>
        </w:rPr>
        <w:t>curies of Product per week from NTP and its Subcontractors, as averaged over each calendar quarter and as measured using the calibration as set forth in Section 2.5, the parties will make a good faith effort to renegotiate the terms of this Agreement for future purchases of Product made by Lantheus to reflect any incremental costs of such decreased volumes borne by NTP and its Subcontractors. For purposes of this Agreement, “standing order volume requirements” shall mean Lantheus’ normal weekly volume requirements for Product in excess of Lantheus’ purchase volume commitments to its other principal supplier of Product which existed on February 28, 2011.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For clarity and as an example:</w:t>
      </w:r>
    </w:p>
    <w:p>
      <w:pPr>
        <w:spacing w:after="0" w:line="260" w:lineRule="exact"/>
        <w:rPr>
          <w:sz w:val="20"/>
          <w:szCs w:val="20"/>
          <w:color w:val="auto"/>
        </w:rPr>
      </w:pPr>
    </w:p>
    <w:p>
      <w:pPr>
        <w:ind w:left="20" w:right="60"/>
        <w:spacing w:after="0" w:line="248" w:lineRule="auto"/>
        <w:rPr>
          <w:sz w:val="20"/>
          <w:szCs w:val="20"/>
          <w:color w:val="auto"/>
        </w:rPr>
      </w:pPr>
      <w:r>
        <w:rPr>
          <w:rFonts w:ascii="Arial" w:cs="Arial" w:eastAsia="Arial" w:hAnsi="Arial"/>
          <w:sz w:val="22"/>
          <w:szCs w:val="22"/>
          <w:i w:val="1"/>
          <w:iCs w:val="1"/>
          <w:color w:val="auto"/>
        </w:rPr>
        <w:t>During the period of April 1, 2011 through December 31, 2012, if Lantheus’ normal weekly volume requirements for Product are 1,000 curies per week of Molybdenum-99 (as measured for purposes of this calculation using the calibration as set forth in Section 2.5) in excess of Lantheus’ purchase volume commitments to its other principal supplier of Product, Lantheus will purchase, and NTP will supply, at least the first 900 curies per week of such volume requirements.</w:t>
      </w:r>
    </w:p>
    <w:p>
      <w:pPr>
        <w:spacing w:after="0" w:line="233" w:lineRule="exact"/>
        <w:rPr>
          <w:sz w:val="20"/>
          <w:szCs w:val="20"/>
          <w:color w:val="auto"/>
        </w:rPr>
      </w:pPr>
    </w:p>
    <w:p>
      <w:pPr>
        <w:ind w:left="20" w:right="120" w:firstLine="8"/>
        <w:spacing w:after="0" w:line="263" w:lineRule="auto"/>
        <w:tabs>
          <w:tab w:leader="none" w:pos="488" w:val="left"/>
        </w:tabs>
        <w:numPr>
          <w:ilvl w:val="0"/>
          <w:numId w:val="25"/>
        </w:numPr>
        <w:rPr>
          <w:rFonts w:ascii="Arial" w:cs="Arial" w:eastAsia="Arial" w:hAnsi="Arial"/>
          <w:sz w:val="22"/>
          <w:szCs w:val="22"/>
          <w:i w:val="1"/>
          <w:iCs w:val="1"/>
          <w:color w:val="auto"/>
        </w:rPr>
      </w:pPr>
      <w:r>
        <w:rPr>
          <w:rFonts w:ascii="Arial" w:cs="Arial" w:eastAsia="Arial" w:hAnsi="Arial"/>
          <w:sz w:val="22"/>
          <w:szCs w:val="22"/>
          <w:i w:val="1"/>
          <w:iCs w:val="1"/>
          <w:color w:val="auto"/>
        </w:rPr>
        <w:t>Commencing as of January 1, 2013 and continuing through December 31, 2013, Lantheus shall commit to place routine Product orders</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40"/>
          </w:cols>
          <w:pgMar w:left="1300" w:top="375" w:right="259" w:bottom="1440" w:gutter="0" w:footer="0" w:header="0"/>
        </w:sectPr>
      </w:pPr>
    </w:p>
    <w:bookmarkStart w:id="71" w:name="page72"/>
    <w:bookmarkEnd w:id="71"/>
    <w:p>
      <w:pPr>
        <w:ind w:right="120"/>
        <w:spacing w:after="0" w:line="292" w:lineRule="auto"/>
        <w:rPr>
          <w:sz w:val="20"/>
          <w:szCs w:val="20"/>
          <w:color w:val="auto"/>
        </w:rPr>
      </w:pPr>
      <w:r>
        <w:rPr>
          <w:rFonts w:ascii="Arial" w:cs="Arial" w:eastAsia="Arial" w:hAnsi="Arial"/>
          <w:sz w:val="19"/>
          <w:szCs w:val="19"/>
          <w:i w:val="1"/>
          <w:iCs w:val="1"/>
          <w:color w:val="auto"/>
        </w:rPr>
        <w:t>with NTP on a regular weekly basis corresponding to at least thirty three percent (33%) of Lantheus’ total requirements of Product as averaged over each separate but successive calendar quarter, and NTP shall supply such orders, provided that, as set forth in Section 2.1(c), such obligation shall only apply in those weeks in which NTP and its Subcontractors are able to satisfy, and NTP and its Subcontractors do satisfy, such obligations. In addition, during the period of January 1, 2013 through December 31, 2013, Lantheus will continue to provide NTP with a good faith, non binding Forecast on the 1st day of each month. Lantheus will also continue to provide NTP with firm orders for Product at least fourteen (14) days in advance of the required date of Product shipment.</w:t>
      </w:r>
    </w:p>
    <w:p>
      <w:pPr>
        <w:spacing w:after="0" w:line="192" w:lineRule="exact"/>
        <w:rPr>
          <w:sz w:val="20"/>
          <w:szCs w:val="20"/>
          <w:color w:val="auto"/>
        </w:rPr>
      </w:pPr>
    </w:p>
    <w:p>
      <w:pPr>
        <w:ind w:firstLine="8"/>
        <w:spacing w:after="0" w:line="287" w:lineRule="auto"/>
        <w:tabs>
          <w:tab w:leader="none" w:pos="456" w:val="left"/>
        </w:tabs>
        <w:numPr>
          <w:ilvl w:val="0"/>
          <w:numId w:val="26"/>
        </w:numPr>
        <w:rPr>
          <w:rFonts w:ascii="Arial" w:cs="Arial" w:eastAsia="Arial" w:hAnsi="Arial"/>
          <w:sz w:val="19"/>
          <w:szCs w:val="19"/>
          <w:i w:val="1"/>
          <w:iCs w:val="1"/>
          <w:color w:val="auto"/>
        </w:rPr>
      </w:pPr>
      <w:r>
        <w:rPr>
          <w:rFonts w:ascii="Arial" w:cs="Arial" w:eastAsia="Arial" w:hAnsi="Arial"/>
          <w:sz w:val="19"/>
          <w:szCs w:val="19"/>
          <w:i w:val="1"/>
          <w:iCs w:val="1"/>
          <w:color w:val="auto"/>
        </w:rPr>
        <w:t>Such Product shall be supplied and delivered to John F. Kennedy International Airport, Jamaica, New York (“JFK”) or Logan International Airport, Boston, Massachusetts (“BOS”) (or other mutually agreed upon delivery location) on a mutually agreed schedule with follow-on trucking delivery to the Lantheus facility in North Billerica, Massachusetts. Lantheus shall provide NTP with notice of its intention to change such location at least forty-five (45) days in advance of the required inception date of such changes. NTP shall be responsible to ensure that the full weekly quota of Mo-99 is delivered to Lantheus other than during scheduled outages for routine maintenance, unscheduled outages or failures of the production lines of NTP and its Subcontractors (i.e., under conditions of normal operations prevailing at NTP and its Subcontractors’ facilities). At the discretion of the Account Manager at NTP (“Account Manager”), such material shall be supplied by NTP or its Subcontractors. Lantheus shall be advised in a timely way of the manner in which supply obligations hereunder will be allocated among NTP and its Subcontractors. NTP will schedule deliveries to Lantheus so as to compensate for scheduled outages at either facility in such a way that the full supply quota will be maintained under such circumstances.</w:t>
      </w:r>
    </w:p>
    <w:p>
      <w:pPr>
        <w:spacing w:after="0" w:line="200" w:lineRule="exact"/>
        <w:rPr>
          <w:rFonts w:ascii="Arial" w:cs="Arial" w:eastAsia="Arial" w:hAnsi="Arial"/>
          <w:sz w:val="19"/>
          <w:szCs w:val="19"/>
          <w:i w:val="1"/>
          <w:iCs w:val="1"/>
          <w:color w:val="auto"/>
        </w:rPr>
      </w:pPr>
    </w:p>
    <w:p>
      <w:pPr>
        <w:ind w:right="160" w:firstLine="8"/>
        <w:spacing w:after="0" w:line="302" w:lineRule="auto"/>
        <w:tabs>
          <w:tab w:leader="none" w:pos="468" w:val="left"/>
        </w:tabs>
        <w:numPr>
          <w:ilvl w:val="0"/>
          <w:numId w:val="26"/>
        </w:numPr>
        <w:rPr>
          <w:rFonts w:ascii="Arial" w:cs="Arial" w:eastAsia="Arial" w:hAnsi="Arial"/>
          <w:sz w:val="19"/>
          <w:szCs w:val="19"/>
          <w:i w:val="1"/>
          <w:iCs w:val="1"/>
          <w:color w:val="auto"/>
        </w:rPr>
      </w:pPr>
      <w:r>
        <w:rPr>
          <w:rFonts w:ascii="Arial" w:cs="Arial" w:eastAsia="Arial" w:hAnsi="Arial"/>
          <w:sz w:val="19"/>
          <w:szCs w:val="19"/>
          <w:i w:val="1"/>
          <w:iCs w:val="1"/>
          <w:color w:val="auto"/>
        </w:rPr>
        <w:t>For any supply of Product by NTP, NTP will provide Lantheus with Product derived from low enriched uranium (LEU) whenever possible unless otherwise directed by Lantheus. In addition, to the extent that the total volume of LEU-based Product available for sale by NTP is not sufficient to meet all of its customer orders in a given run, NTP shall supply Lantheus’ orders first and to the greatest extent possible with LEU-based Product.</w:t>
      </w:r>
    </w:p>
    <w:p>
      <w:pPr>
        <w:spacing w:after="0" w:line="183" w:lineRule="exact"/>
        <w:rPr>
          <w:rFonts w:ascii="Arial" w:cs="Arial" w:eastAsia="Arial" w:hAnsi="Arial"/>
          <w:sz w:val="19"/>
          <w:szCs w:val="19"/>
          <w:i w:val="1"/>
          <w:iCs w:val="1"/>
          <w:color w:val="auto"/>
        </w:rPr>
      </w:pPr>
    </w:p>
    <w:p>
      <w:pPr>
        <w:ind w:right="180" w:firstLine="8"/>
        <w:spacing w:after="0" w:line="250" w:lineRule="auto"/>
        <w:tabs>
          <w:tab w:leader="none" w:pos="456" w:val="left"/>
        </w:tabs>
        <w:numPr>
          <w:ilvl w:val="0"/>
          <w:numId w:val="26"/>
        </w:numPr>
        <w:rPr>
          <w:rFonts w:ascii="Arial" w:cs="Arial" w:eastAsia="Arial" w:hAnsi="Arial"/>
          <w:sz w:val="22"/>
          <w:szCs w:val="22"/>
          <w:i w:val="1"/>
          <w:iCs w:val="1"/>
          <w:color w:val="auto"/>
        </w:rPr>
      </w:pPr>
      <w:r>
        <w:rPr>
          <w:rFonts w:ascii="Arial" w:cs="Arial" w:eastAsia="Arial" w:hAnsi="Arial"/>
          <w:sz w:val="22"/>
          <w:szCs w:val="22"/>
          <w:i w:val="1"/>
          <w:iCs w:val="1"/>
          <w:color w:val="auto"/>
        </w:rPr>
        <w:t>In the case of scheduled or unscheduled outages or production line failures for whatever reason (and for Events of Force Majeure (as hereinafter defined)) affecting NTP or its Subcontractors, Lantheus will receive a share of Product available that is not less than that which is directly proportional to its average share of the total weekly purchasing</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320"/>
          </w:cols>
          <w:pgMar w:left="1320" w:top="375" w:right="259" w:bottom="1440" w:gutter="0" w:footer="0" w:header="0"/>
        </w:sectPr>
      </w:pPr>
    </w:p>
    <w:bookmarkStart w:id="72" w:name="page73"/>
    <w:bookmarkEnd w:id="72"/>
    <w:p>
      <w:pPr>
        <w:spacing w:after="0"/>
        <w:rPr>
          <w:sz w:val="20"/>
          <w:szCs w:val="20"/>
          <w:color w:val="auto"/>
        </w:rPr>
      </w:pPr>
      <w:r>
        <w:rPr>
          <w:rFonts w:ascii="Arial" w:cs="Arial" w:eastAsia="Arial" w:hAnsi="Arial"/>
          <w:sz w:val="22"/>
          <w:szCs w:val="22"/>
          <w:i w:val="1"/>
          <w:iCs w:val="1"/>
          <w:color w:val="auto"/>
        </w:rPr>
        <w:t>(averaged over the preceding thirty (30) days) from NTP and its Subcontractors.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 clarity and as an example:</w:t>
      </w:r>
    </w:p>
    <w:p>
      <w:pPr>
        <w:spacing w:after="0" w:line="260"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i w:val="1"/>
          <w:iCs w:val="1"/>
          <w:color w:val="auto"/>
        </w:rPr>
        <w:t>If NTP or its Subcontractors experiences a production line failure affecting the supply of Product hereunder, and NTP and its Subcontractors sold an average weekly volume of 2,000 curies of Product, and Lantheus purchased from NTP an average weekly volume of 1,000 curies of Product, in the preceding thirty days (each as measured using the calibration as set forth in Section 2.5), then Lantheus would be entitled to receive at least fifty percent (50%) of the volume of Product available for sale by NTP and its Subcontractors.</w:t>
      </w:r>
    </w:p>
    <w:p>
      <w:pPr>
        <w:spacing w:after="0" w:line="216" w:lineRule="exact"/>
        <w:rPr>
          <w:sz w:val="20"/>
          <w:szCs w:val="20"/>
          <w:color w:val="auto"/>
        </w:rPr>
      </w:pPr>
    </w:p>
    <w:p>
      <w:pPr>
        <w:ind w:firstLine="8"/>
        <w:spacing w:after="0" w:line="287" w:lineRule="auto"/>
        <w:tabs>
          <w:tab w:leader="none" w:pos="420" w:val="left"/>
        </w:tabs>
        <w:numPr>
          <w:ilvl w:val="0"/>
          <w:numId w:val="27"/>
        </w:numPr>
        <w:rPr>
          <w:rFonts w:ascii="Arial" w:cs="Arial" w:eastAsia="Arial" w:hAnsi="Arial"/>
          <w:sz w:val="19"/>
          <w:szCs w:val="19"/>
          <w:i w:val="1"/>
          <w:iCs w:val="1"/>
          <w:color w:val="auto"/>
        </w:rPr>
      </w:pPr>
      <w:r>
        <w:rPr>
          <w:rFonts w:ascii="Arial" w:cs="Arial" w:eastAsia="Arial" w:hAnsi="Arial"/>
          <w:sz w:val="19"/>
          <w:szCs w:val="19"/>
          <w:i w:val="1"/>
          <w:iCs w:val="1"/>
          <w:color w:val="auto"/>
        </w:rPr>
        <w:t>In situations where a global supply shortage arises or Lantheus’ supply of Molybdenum-99 from third party suppliers other than NTP or its Subcontractors is adversely affected for whatever reason (e.g., scheduled or unscheduled reactor outages that result in shortages from such third party suppliers), NTP and its Subcontractors will supply routine orders for Product placed by Lantheus and its other customers. NTP and its Subcontractors will also use their best efforts to make available any additional volumes of Product requested by Lantheus and shall provide Lantheus with a right of first refusal to purchase any Product available for sale by NTP or its Subcontractors; provided, however, that, if required by written customer contracts which existed on February 28, 2011, NTP and its Subcontractors may provide customers affected directly by such supply shortage with a share of the available Product that is directly proportional to such affected customer’s average share of the total weekly purchasing (averaged over the preceding thirty (30) days) from NTP and its Subcontractors. For purposes of clarity, affected customers are customers of NTP and its Subcontractors whose supply of Molybdenum-99 has been reduced as a direct result of the supply shortage.</w:t>
      </w:r>
    </w:p>
    <w:p>
      <w:pPr>
        <w:spacing w:after="0" w:line="200" w:lineRule="exact"/>
        <w:rPr>
          <w:rFonts w:ascii="Arial" w:cs="Arial" w:eastAsia="Arial" w:hAnsi="Arial"/>
          <w:sz w:val="19"/>
          <w:szCs w:val="19"/>
          <w:i w:val="1"/>
          <w:iCs w:val="1"/>
          <w:color w:val="auto"/>
        </w:rPr>
      </w:pPr>
    </w:p>
    <w:p>
      <w:pPr>
        <w:spacing w:after="0" w:line="261" w:lineRule="exact"/>
        <w:rPr>
          <w:rFonts w:ascii="Arial" w:cs="Arial" w:eastAsia="Arial" w:hAnsi="Arial"/>
          <w:sz w:val="19"/>
          <w:szCs w:val="19"/>
          <w:i w:val="1"/>
          <w:iCs w:val="1"/>
          <w:color w:val="auto"/>
        </w:rPr>
      </w:pPr>
    </w:p>
    <w:p>
      <w:pPr>
        <w:ind w:right="40" w:firstLine="8"/>
        <w:spacing w:after="0" w:line="290" w:lineRule="auto"/>
        <w:tabs>
          <w:tab w:leader="none" w:pos="468" w:val="left"/>
        </w:tabs>
        <w:numPr>
          <w:ilvl w:val="0"/>
          <w:numId w:val="27"/>
        </w:numPr>
        <w:rPr>
          <w:rFonts w:ascii="Arial" w:cs="Arial" w:eastAsia="Arial" w:hAnsi="Arial"/>
          <w:sz w:val="19"/>
          <w:szCs w:val="19"/>
          <w:i w:val="1"/>
          <w:iCs w:val="1"/>
          <w:color w:val="auto"/>
        </w:rPr>
      </w:pPr>
      <w:r>
        <w:rPr>
          <w:rFonts w:ascii="Arial" w:cs="Arial" w:eastAsia="Arial" w:hAnsi="Arial"/>
          <w:sz w:val="19"/>
          <w:szCs w:val="19"/>
          <w:i w:val="1"/>
          <w:iCs w:val="1"/>
          <w:color w:val="auto"/>
        </w:rPr>
        <w:t>The NRU Reactor located in Chalk River, Ontario is currently scheduled to be shut-down for a period of inspection and maintenance for four weeks beginning in May 2011. Pursuant to the mutually agreed upon supply schedule, which schedule may be modified from time to time by mutual consent of the Parties, NTP and its Subcontractors will provide Lantheus with at least the minimum supply volumes of Product during the NRU Reactor’s shutdown period, pursuant to the terms set forth herein (including, but not limited to, the delivery and pricing terms). These purchase volumes, estimated as of April 1, 2011, and the purchase prices related thereto are attached hereto as Exhibit D. NTP and its Subcontractors will also use their best efforts to make available any additional volumes of Product requested by Lantheus and shall provide Lantheus with a right of</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40"/>
          </w:cols>
          <w:pgMar w:left="1320" w:top="375" w:right="339" w:bottom="1440" w:gutter="0" w:footer="0" w:header="0"/>
        </w:sectPr>
      </w:pPr>
    </w:p>
    <w:bookmarkStart w:id="73" w:name="page74"/>
    <w:bookmarkEnd w:id="73"/>
    <w:p>
      <w:pPr>
        <w:ind w:left="580" w:right="20"/>
        <w:spacing w:after="0" w:line="263" w:lineRule="auto"/>
        <w:rPr>
          <w:sz w:val="20"/>
          <w:szCs w:val="20"/>
          <w:color w:val="auto"/>
        </w:rPr>
      </w:pPr>
      <w:r>
        <w:rPr>
          <w:rFonts w:ascii="Arial" w:cs="Arial" w:eastAsia="Arial" w:hAnsi="Arial"/>
          <w:sz w:val="22"/>
          <w:szCs w:val="22"/>
          <w:i w:val="1"/>
          <w:iCs w:val="1"/>
          <w:color w:val="auto"/>
        </w:rPr>
        <w:t>first refusal to purchase any additional volumes of Product available for sale by NTP or its Subcontractors in excess of the purchase volumes set forth in Exhibit D.</w:t>
      </w:r>
    </w:p>
    <w:p>
      <w:pPr>
        <w:spacing w:after="0" w:line="215" w:lineRule="exact"/>
        <w:rPr>
          <w:sz w:val="20"/>
          <w:szCs w:val="20"/>
          <w:color w:val="auto"/>
        </w:rPr>
      </w:pPr>
    </w:p>
    <w:p>
      <w:pPr>
        <w:ind w:left="580" w:right="20" w:firstLine="8"/>
        <w:spacing w:after="0" w:line="288" w:lineRule="auto"/>
        <w:tabs>
          <w:tab w:leader="none" w:pos="1048" w:val="left"/>
        </w:tabs>
        <w:numPr>
          <w:ilvl w:val="0"/>
          <w:numId w:val="28"/>
        </w:numPr>
        <w:rPr>
          <w:rFonts w:ascii="Arial" w:cs="Arial" w:eastAsia="Arial" w:hAnsi="Arial"/>
          <w:sz w:val="19"/>
          <w:szCs w:val="19"/>
          <w:i w:val="1"/>
          <w:iCs w:val="1"/>
          <w:color w:val="auto"/>
        </w:rPr>
      </w:pPr>
      <w:r>
        <w:rPr>
          <w:rFonts w:ascii="Arial" w:cs="Arial" w:eastAsia="Arial" w:hAnsi="Arial"/>
          <w:sz w:val="19"/>
          <w:szCs w:val="19"/>
          <w:i w:val="1"/>
          <w:iCs w:val="1"/>
          <w:color w:val="auto"/>
        </w:rPr>
        <w:t>NTP has established and shall maintain relationships with air carriers for the Lantheus route such that the probability of a Lantheus shipment being refused by the carrier shall be highly improbable. NTP shall liaise (via the Account Manager at NTP) with its Subcontractors, taking into account the reactor production and maintenance schedules of each facility, and supply Lantheus thirty-five (35) days in advance of the first delivery of a month, the supply schedule for the following month detailing clearly which supplier (NTP or a Subcontractor) will supply such delivery. For clarity and as an example, NTP will provide Lantheus the March 2010 supply schedule on 27 January 2010. This supply schedule will be binding on NTP and its Subcontractors and will be used by Lantheus to register each shipment with applicable U.S. governmental authorities as dictated by U.S. regulations. If the airport of delivery is JFK, then Product will be available for pick-up by Lantheus no later than 12:00 Noon. If the airport of delivery is BOS, then Product will be available for pick-up by Lantheus no later than 3:00PM. Pick-up time for any other delivery location will be mutually agreed upon.</w:t>
      </w:r>
    </w:p>
    <w:p>
      <w:pPr>
        <w:spacing w:after="0" w:line="200" w:lineRule="exact"/>
        <w:rPr>
          <w:rFonts w:ascii="Arial" w:cs="Arial" w:eastAsia="Arial" w:hAnsi="Arial"/>
          <w:sz w:val="19"/>
          <w:szCs w:val="19"/>
          <w:i w:val="1"/>
          <w:iCs w:val="1"/>
          <w:color w:val="auto"/>
        </w:rPr>
      </w:pPr>
    </w:p>
    <w:p>
      <w:pPr>
        <w:spacing w:after="0" w:line="257" w:lineRule="exact"/>
        <w:rPr>
          <w:rFonts w:ascii="Arial" w:cs="Arial" w:eastAsia="Arial" w:hAnsi="Arial"/>
          <w:sz w:val="19"/>
          <w:szCs w:val="19"/>
          <w:i w:val="1"/>
          <w:iCs w:val="1"/>
          <w:color w:val="auto"/>
        </w:rPr>
      </w:pPr>
    </w:p>
    <w:p>
      <w:pPr>
        <w:ind w:left="580" w:firstLine="8"/>
        <w:spacing w:after="0" w:line="290" w:lineRule="auto"/>
        <w:tabs>
          <w:tab w:leader="none" w:pos="1000" w:val="left"/>
        </w:tabs>
        <w:numPr>
          <w:ilvl w:val="0"/>
          <w:numId w:val="28"/>
        </w:numPr>
        <w:rPr>
          <w:rFonts w:ascii="Arial" w:cs="Arial" w:eastAsia="Arial" w:hAnsi="Arial"/>
          <w:sz w:val="19"/>
          <w:szCs w:val="19"/>
          <w:i w:val="1"/>
          <w:iCs w:val="1"/>
          <w:color w:val="auto"/>
        </w:rPr>
      </w:pPr>
      <w:r>
        <w:rPr>
          <w:rFonts w:ascii="Arial" w:cs="Arial" w:eastAsia="Arial" w:hAnsi="Arial"/>
          <w:sz w:val="19"/>
          <w:szCs w:val="19"/>
          <w:i w:val="1"/>
          <w:iCs w:val="1"/>
          <w:color w:val="auto"/>
        </w:rPr>
        <w:t>Notwithstanding the foregoing, NTP and its Subcontractors hereby acknowledge and agree that the diversification of supply provided by NTP through its supply and back-up supply arrangements with its Subcontractors is essential to the purpose of this Agreement. Without limiting the rights of Lantheus elsewhere in this Agreement, if at any time during the term of this Agreement the consortium of supply partners changes or NTP or its Subcontractors does not or cannot deliver the quantities specified in this Section 2.1 on a weekly basis in a reliable manner, the parties will make a good faith effort to renegotiate the terms of this Agreement. In the event the parties are unable to agree on modification of this Agreement within a reasonable period of time (not to exceed sixty (60) days), Lantheus shall have the sole right, after giving NTP thirty (30) days prior written notice, to terminate this Agreement.</w:t>
      </w:r>
    </w:p>
    <w:p>
      <w:pPr>
        <w:spacing w:after="0" w:line="197" w:lineRule="exact"/>
        <w:rPr>
          <w:sz w:val="20"/>
          <w:szCs w:val="20"/>
          <w:color w:val="auto"/>
        </w:rPr>
      </w:pPr>
    </w:p>
    <w:p>
      <w:pPr>
        <w:ind w:left="480" w:right="60" w:hanging="485"/>
        <w:spacing w:after="0" w:line="263" w:lineRule="auto"/>
        <w:tabs>
          <w:tab w:leader="none" w:pos="460" w:val="left"/>
        </w:tabs>
        <w:rPr>
          <w:sz w:val="20"/>
          <w:szCs w:val="20"/>
          <w:color w:val="auto"/>
        </w:rPr>
      </w:pPr>
      <w:r>
        <w:rPr>
          <w:rFonts w:ascii="Arial" w:cs="Arial" w:eastAsia="Arial" w:hAnsi="Arial"/>
          <w:sz w:val="22"/>
          <w:szCs w:val="22"/>
          <w:color w:val="auto"/>
        </w:rPr>
        <w:t>2.2</w:t>
        <w:tab/>
        <w:t>Section 2.2 of the Agreement is hereby amended by deleting it in its entirety and replacing therewith “[Intentionally left blank.]”.</w:t>
      </w:r>
    </w:p>
    <w:p>
      <w:pPr>
        <w:spacing w:after="0" w:line="215" w:lineRule="exact"/>
        <w:rPr>
          <w:sz w:val="20"/>
          <w:szCs w:val="20"/>
          <w:color w:val="auto"/>
        </w:rPr>
      </w:pPr>
    </w:p>
    <w:p>
      <w:pPr>
        <w:ind w:left="480" w:right="60" w:hanging="485"/>
        <w:spacing w:after="0" w:line="263" w:lineRule="auto"/>
        <w:tabs>
          <w:tab w:leader="none" w:pos="460" w:val="left"/>
        </w:tabs>
        <w:rPr>
          <w:sz w:val="20"/>
          <w:szCs w:val="20"/>
          <w:color w:val="auto"/>
        </w:rPr>
      </w:pPr>
      <w:r>
        <w:rPr>
          <w:rFonts w:ascii="Arial" w:cs="Arial" w:eastAsia="Arial" w:hAnsi="Arial"/>
          <w:sz w:val="22"/>
          <w:szCs w:val="22"/>
          <w:color w:val="auto"/>
        </w:rPr>
        <w:t>2.3</w:t>
        <w:tab/>
        <w:t>Section 2.3 of the Agreement is hereby amended by deleting it in its entirety and replacing therewith “[Intentionally left blank.]”.</w:t>
      </w:r>
    </w:p>
    <w:p>
      <w:pPr>
        <w:spacing w:after="0" w:line="215" w:lineRule="exact"/>
        <w:rPr>
          <w:sz w:val="20"/>
          <w:szCs w:val="20"/>
          <w:color w:val="auto"/>
        </w:rPr>
      </w:pPr>
    </w:p>
    <w:p>
      <w:pPr>
        <w:ind w:left="480" w:right="160" w:hanging="485"/>
        <w:spacing w:after="0" w:line="263" w:lineRule="auto"/>
        <w:tabs>
          <w:tab w:leader="none" w:pos="460" w:val="left"/>
        </w:tabs>
        <w:rPr>
          <w:sz w:val="20"/>
          <w:szCs w:val="20"/>
          <w:color w:val="auto"/>
        </w:rPr>
      </w:pPr>
      <w:r>
        <w:rPr>
          <w:rFonts w:ascii="Arial" w:cs="Arial" w:eastAsia="Arial" w:hAnsi="Arial"/>
          <w:sz w:val="22"/>
          <w:szCs w:val="22"/>
          <w:color w:val="auto"/>
        </w:rPr>
        <w:t>2.4</w:t>
        <w:tab/>
        <w:t>Section 2.5 of the Agreement is hereby amended by deleting in its entirety said Section 2.5 and replacing therewith the following:</w:t>
      </w:r>
    </w:p>
    <w:p>
      <w:pPr>
        <w:spacing w:after="0" w:line="200" w:lineRule="exact"/>
        <w:rPr>
          <w:sz w:val="20"/>
          <w:szCs w:val="20"/>
          <w:color w:val="auto"/>
        </w:rPr>
      </w:pPr>
    </w:p>
    <w:p>
      <w:pPr>
        <w:spacing w:after="0" w:line="258"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00"/>
          </w:cols>
          <w:pgMar w:left="740" w:top="375" w:right="259" w:bottom="1440" w:gutter="0" w:footer="0" w:header="0"/>
        </w:sectPr>
      </w:pPr>
    </w:p>
    <w:bookmarkStart w:id="74" w:name="page75"/>
    <w:bookmarkEnd w:id="74"/>
    <w:p>
      <w:pPr>
        <w:ind w:left="1120" w:hanging="647"/>
        <w:spacing w:after="0" w:line="294" w:lineRule="auto"/>
        <w:tabs>
          <w:tab w:leader="none" w:pos="1100" w:val="left"/>
        </w:tabs>
        <w:rPr>
          <w:sz w:val="20"/>
          <w:szCs w:val="20"/>
          <w:color w:val="auto"/>
        </w:rPr>
      </w:pPr>
      <w:r>
        <w:rPr>
          <w:rFonts w:ascii="Arial" w:cs="Arial" w:eastAsia="Arial" w:hAnsi="Arial"/>
          <w:sz w:val="22"/>
          <w:szCs w:val="22"/>
          <w:i w:val="1"/>
          <w:iCs w:val="1"/>
          <w:color w:val="auto"/>
        </w:rPr>
        <w:t>2.5</w:t>
      </w:r>
      <w:r>
        <w:rPr>
          <w:sz w:val="20"/>
          <w:szCs w:val="20"/>
          <w:color w:val="auto"/>
        </w:rPr>
        <w:tab/>
      </w:r>
      <w:r>
        <w:rPr>
          <w:rFonts w:ascii="Arial" w:cs="Arial" w:eastAsia="Arial" w:hAnsi="Arial"/>
          <w:sz w:val="19"/>
          <w:szCs w:val="19"/>
          <w:i w:val="1"/>
          <w:iCs w:val="1"/>
          <w:color w:val="auto"/>
        </w:rPr>
        <w:t>Commencing as of April 1, 2011, the number of curies of Product shipped from NTP or its Subcontractors shall be based on the order placed by Lantheus and calibrated one hundred forty-four (144) hours from twelve o’clock (12:00) noon Johannesburg, South Africa, at airport of departure on the day of shipment from the airport of departure. The number of curies of Product shipped from any Subcontractor will be calibrated as if it were shipped from Johannesburg, South Africa so that Lantheus will receive an equal number of curies of Product regardless of whether the order is shipped by NTP or any of its Subcontractors.</w:t>
      </w:r>
    </w:p>
    <w:p>
      <w:pPr>
        <w:spacing w:after="0" w:line="190" w:lineRule="exact"/>
        <w:rPr>
          <w:sz w:val="20"/>
          <w:szCs w:val="20"/>
          <w:color w:val="auto"/>
        </w:rPr>
      </w:pPr>
    </w:p>
    <w:p>
      <w:pPr>
        <w:ind w:left="480" w:right="160" w:hanging="485"/>
        <w:spacing w:after="0" w:line="263" w:lineRule="auto"/>
        <w:tabs>
          <w:tab w:leader="none" w:pos="460" w:val="left"/>
        </w:tabs>
        <w:rPr>
          <w:sz w:val="20"/>
          <w:szCs w:val="20"/>
          <w:color w:val="auto"/>
        </w:rPr>
      </w:pPr>
      <w:r>
        <w:rPr>
          <w:rFonts w:ascii="Arial" w:cs="Arial" w:eastAsia="Arial" w:hAnsi="Arial"/>
          <w:sz w:val="22"/>
          <w:szCs w:val="22"/>
          <w:color w:val="auto"/>
        </w:rPr>
        <w:t>2.5</w:t>
        <w:tab/>
        <w:t>Section 5.1 of the Agreement is hereby amended by deleting in its entirety said Section 5.1 and replacing therewith the following:</w:t>
      </w:r>
    </w:p>
    <w:p>
      <w:pPr>
        <w:spacing w:after="0" w:line="215" w:lineRule="exact"/>
        <w:rPr>
          <w:sz w:val="20"/>
          <w:szCs w:val="20"/>
          <w:color w:val="auto"/>
        </w:rPr>
      </w:pPr>
    </w:p>
    <w:p>
      <w:pPr>
        <w:ind w:left="1120" w:hanging="647"/>
        <w:spacing w:after="0" w:line="263" w:lineRule="auto"/>
        <w:tabs>
          <w:tab w:leader="none" w:pos="1100" w:val="left"/>
        </w:tabs>
        <w:rPr>
          <w:sz w:val="20"/>
          <w:szCs w:val="20"/>
          <w:color w:val="auto"/>
        </w:rPr>
      </w:pPr>
      <w:r>
        <w:rPr>
          <w:rFonts w:ascii="Arial" w:cs="Arial" w:eastAsia="Arial" w:hAnsi="Arial"/>
          <w:sz w:val="22"/>
          <w:szCs w:val="22"/>
          <w:i w:val="1"/>
          <w:iCs w:val="1"/>
          <w:color w:val="auto"/>
        </w:rPr>
        <w:t>5.1</w:t>
      </w:r>
      <w:r>
        <w:rPr>
          <w:sz w:val="20"/>
          <w:szCs w:val="20"/>
          <w:color w:val="auto"/>
        </w:rPr>
        <w:tab/>
      </w:r>
      <w:r>
        <w:rPr>
          <w:rFonts w:ascii="Arial" w:cs="Arial" w:eastAsia="Arial" w:hAnsi="Arial"/>
          <w:sz w:val="22"/>
          <w:szCs w:val="22"/>
          <w:i w:val="1"/>
          <w:iCs w:val="1"/>
          <w:color w:val="auto"/>
        </w:rPr>
        <w:t>The price payable by Lantheus for Product for the period from April 1, 2011 through October 1, 2012 shall be as follows:</w:t>
      </w:r>
    </w:p>
    <w:p>
      <w:pPr>
        <w:spacing w:after="0" w:line="215" w:lineRule="exact"/>
        <w:rPr>
          <w:sz w:val="20"/>
          <w:szCs w:val="20"/>
          <w:color w:val="auto"/>
        </w:rPr>
      </w:pPr>
    </w:p>
    <w:p>
      <w:pPr>
        <w:ind w:left="1120" w:right="280" w:firstLine="9"/>
        <w:spacing w:after="0" w:line="248" w:lineRule="auto"/>
        <w:tabs>
          <w:tab w:leader="none" w:pos="1588" w:val="left"/>
        </w:tabs>
        <w:numPr>
          <w:ilvl w:val="0"/>
          <w:numId w:val="29"/>
        </w:numPr>
        <w:rPr>
          <w:rFonts w:ascii="Arial" w:cs="Arial" w:eastAsia="Arial" w:hAnsi="Arial"/>
          <w:sz w:val="22"/>
          <w:szCs w:val="22"/>
          <w:i w:val="1"/>
          <w:iCs w:val="1"/>
          <w:color w:val="auto"/>
        </w:rPr>
      </w:pPr>
      <w:r>
        <w:rPr>
          <w:rFonts w:ascii="Arial" w:cs="Arial" w:eastAsia="Arial" w:hAnsi="Arial"/>
          <w:sz w:val="22"/>
          <w:szCs w:val="22"/>
          <w:i w:val="1"/>
          <w:iCs w:val="1"/>
          <w:color w:val="auto"/>
        </w:rPr>
        <w:t>The unit price of Product for such week shall be four hundred and ninety fixed US dollars (US$490) per Curie at calibrated date and time for the first five hundred (500) curies delivered per week and three hundred and eighty four fixed US dollars (US$384) per Curie at calibrated date and time for all curies in excess of the first five hundred (500) curies delivered per week. The calibration date and time shall be in accordance with Section 2.5.</w:t>
      </w:r>
    </w:p>
    <w:p>
      <w:pPr>
        <w:spacing w:after="0" w:line="232" w:lineRule="exact"/>
        <w:rPr>
          <w:rFonts w:ascii="Arial" w:cs="Arial" w:eastAsia="Arial" w:hAnsi="Arial"/>
          <w:sz w:val="22"/>
          <w:szCs w:val="22"/>
          <w:i w:val="1"/>
          <w:iCs w:val="1"/>
          <w:color w:val="auto"/>
        </w:rPr>
      </w:pPr>
    </w:p>
    <w:p>
      <w:pPr>
        <w:ind w:left="1120" w:right="40" w:firstLine="9"/>
        <w:spacing w:after="0" w:line="287" w:lineRule="auto"/>
        <w:tabs>
          <w:tab w:leader="none" w:pos="1588" w:val="left"/>
        </w:tabs>
        <w:numPr>
          <w:ilvl w:val="0"/>
          <w:numId w:val="29"/>
        </w:numPr>
        <w:rPr>
          <w:rFonts w:ascii="Arial" w:cs="Arial" w:eastAsia="Arial" w:hAnsi="Arial"/>
          <w:sz w:val="19"/>
          <w:szCs w:val="19"/>
          <w:i w:val="1"/>
          <w:iCs w:val="1"/>
          <w:color w:val="auto"/>
        </w:rPr>
      </w:pPr>
      <w:r>
        <w:rPr>
          <w:rFonts w:ascii="Arial" w:cs="Arial" w:eastAsia="Arial" w:hAnsi="Arial"/>
          <w:sz w:val="19"/>
          <w:szCs w:val="19"/>
          <w:i w:val="1"/>
          <w:iCs w:val="1"/>
          <w:color w:val="auto"/>
        </w:rPr>
        <w:t>Notwithstanding the foregoing, during the NRU Reactor’s shutdown period described in Section 2.1(g), the unit price of Product for each week during such period shall be four hundred and ninety fixed US dollars (US$490) per Curie at calibrated date and time for the first five hundred (500) curies delivered per week, three hundred and eighty four fixed US dollars (US$384) per Curie at calibrated date and time for the next two hundred and fifty (250) curies delivered per week, and four hundred and ninety fixed US dollars (US$490) per Curie at calibrated date and time for all curies in excess of seven hundred and fifty (750) curies delivered per week. The unit prices set forth in Section 5.1(a) shall apply to the future shortages or shutdown periods described in Section 2.1(f), provided that, in the event that NTP incurs direct costs related to extraordinary measures taken by NTP or its Subcontractors over an extended period of time (not less than a period of three (3) months) to supply Product to Lantheus in excess of the routine purchase volumes described herein, the parties will negotiate in good faith a unit price for such excess Product based upon Lantheus’ proportional share of the reasonable variable expenses borne by NTP and its Subcontractors in connection therewith (as evidenced by reasonable documentation made available to Lantheus).</w:t>
      </w:r>
    </w:p>
    <w:p>
      <w:pPr>
        <w:spacing w:after="0" w:line="200" w:lineRule="exact"/>
        <w:rPr>
          <w:sz w:val="20"/>
          <w:szCs w:val="20"/>
          <w:color w:val="auto"/>
        </w:rPr>
      </w:pP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0"/>
          </w:cols>
          <w:pgMar w:left="740" w:top="375" w:right="259" w:bottom="1440" w:gutter="0" w:footer="0" w:header="0"/>
        </w:sectPr>
      </w:pPr>
    </w:p>
    <w:bookmarkStart w:id="75" w:name="page76"/>
    <w:bookmarkEnd w:id="75"/>
    <w:p>
      <w:pPr>
        <w:ind w:left="420" w:firstLine="9"/>
        <w:spacing w:after="0" w:line="263" w:lineRule="auto"/>
        <w:tabs>
          <w:tab w:leader="none" w:pos="876" w:val="left"/>
        </w:tabs>
        <w:numPr>
          <w:ilvl w:val="0"/>
          <w:numId w:val="30"/>
        </w:numPr>
        <w:rPr>
          <w:rFonts w:ascii="Arial" w:cs="Arial" w:eastAsia="Arial" w:hAnsi="Arial"/>
          <w:sz w:val="21"/>
          <w:szCs w:val="21"/>
          <w:i w:val="1"/>
          <w:iCs w:val="1"/>
          <w:color w:val="auto"/>
        </w:rPr>
      </w:pPr>
      <w:r>
        <w:rPr>
          <w:rFonts w:ascii="Arial" w:cs="Arial" w:eastAsia="Arial" w:hAnsi="Arial"/>
          <w:sz w:val="21"/>
          <w:szCs w:val="21"/>
          <w:i w:val="1"/>
          <w:iCs w:val="1"/>
          <w:color w:val="auto"/>
        </w:rPr>
        <w:t>The routine price will be adjusted upon mutual agreement of the parties effective as of October1, 2012 on the basis of market forces prevailing at the time, the then current cost of production and any contractual sales obligations that each party may have with its customers or suppliers and by good faith negotiation and agreement by, at the latest, June 30, 2012. Lantheus shall have the right to terminate the Agreement if the parties fail to agree on such new pricing by such last day in June.</w:t>
      </w:r>
    </w:p>
    <w:p>
      <w:pPr>
        <w:spacing w:after="0" w:line="216" w:lineRule="exact"/>
        <w:rPr>
          <w:rFonts w:ascii="Arial" w:cs="Arial" w:eastAsia="Arial" w:hAnsi="Arial"/>
          <w:sz w:val="21"/>
          <w:szCs w:val="21"/>
          <w:i w:val="1"/>
          <w:iCs w:val="1"/>
          <w:color w:val="auto"/>
        </w:rPr>
      </w:pPr>
    </w:p>
    <w:p>
      <w:pPr>
        <w:ind w:left="420" w:right="60" w:firstLine="9"/>
        <w:spacing w:after="0" w:line="285" w:lineRule="auto"/>
        <w:tabs>
          <w:tab w:leader="none" w:pos="888" w:val="left"/>
        </w:tabs>
        <w:numPr>
          <w:ilvl w:val="0"/>
          <w:numId w:val="30"/>
        </w:numPr>
        <w:rPr>
          <w:rFonts w:ascii="Arial" w:cs="Arial" w:eastAsia="Arial" w:hAnsi="Arial"/>
          <w:sz w:val="19"/>
          <w:szCs w:val="19"/>
          <w:i w:val="1"/>
          <w:iCs w:val="1"/>
          <w:color w:val="auto"/>
        </w:rPr>
      </w:pPr>
      <w:r>
        <w:rPr>
          <w:rFonts w:ascii="Arial" w:cs="Arial" w:eastAsia="Arial" w:hAnsi="Arial"/>
          <w:sz w:val="19"/>
          <w:szCs w:val="19"/>
          <w:i w:val="1"/>
          <w:iCs w:val="1"/>
          <w:color w:val="auto"/>
        </w:rPr>
        <w:t>Provided that Lantheus is NTP’s largest customer in North America as measured by volume of curies purchased on an annual basis (as calculated consistent with calibration as set out in Section 2.5), the prices payable by Lantheus for Product shall not be higher than the purchase price (as calculated consistent with calibration as set out in Section 2.5) paid by any other purchaser of Product from NTP or its Subcontractors for delivery into North America (after giving effect to all rebates, discounts, and similar pricing concessions or incentives available to such purchasers, but excluding governmental purchases or purchases for other non-commercial purposes). For purposes of calculating the purchase price paid by other purchasers of Product for delivery into North America in order to determine if any prospective price adjustment shall be made hereunder, the parties agree that the purchase price paid by each purchaser pursuant to a written contract with NTP in a currency different from the United States dollar shall be determined taking into account the exchange rate of the United States dollar against such different currency as at the execution date of such written contract for any contracts entered into by NTP on or after April 1, 2011 and as at April 1, 2011 for any contracts entered into by NTP prior to such date. At any time reasonably requested by Lantheus (but no more frequently than once per calendar quarter), NTP will furnish to Lantheus a certificate, executed by a duly authorized officer of NTP, stating that such officer has reviewed the sales of such Product during such period and that NTP and its Subcontractors have complied with this Section 5.1(d). To the extent it is determined that NTP is not in compliance with this Section 5.1(d), NTP will credit Lantheus with the difference between the price paid by Lantheus and the amount otherwise contemplated by this Section 5.1(d) and any such difference will be paid by NTP to Lantheus in the form of a cash payment.</w:t>
      </w:r>
    </w:p>
    <w:p>
      <w:pPr>
        <w:spacing w:after="0" w:line="200" w:lineRule="exact"/>
        <w:rPr>
          <w:rFonts w:ascii="Arial" w:cs="Arial" w:eastAsia="Arial" w:hAnsi="Arial"/>
          <w:sz w:val="19"/>
          <w:szCs w:val="19"/>
          <w:i w:val="1"/>
          <w:iCs w:val="1"/>
          <w:color w:val="auto"/>
        </w:rPr>
      </w:pPr>
    </w:p>
    <w:p>
      <w:pPr>
        <w:spacing w:after="0" w:line="261" w:lineRule="exact"/>
        <w:rPr>
          <w:rFonts w:ascii="Arial" w:cs="Arial" w:eastAsia="Arial" w:hAnsi="Arial"/>
          <w:sz w:val="19"/>
          <w:szCs w:val="19"/>
          <w:i w:val="1"/>
          <w:iCs w:val="1"/>
          <w:color w:val="auto"/>
        </w:rPr>
      </w:pPr>
    </w:p>
    <w:p>
      <w:pPr>
        <w:ind w:left="420" w:right="40" w:firstLine="9"/>
        <w:spacing w:after="0" w:line="253" w:lineRule="auto"/>
        <w:tabs>
          <w:tab w:leader="none" w:pos="876" w:val="left"/>
        </w:tabs>
        <w:numPr>
          <w:ilvl w:val="0"/>
          <w:numId w:val="30"/>
        </w:numPr>
        <w:rPr>
          <w:rFonts w:ascii="Arial" w:cs="Arial" w:eastAsia="Arial" w:hAnsi="Arial"/>
          <w:sz w:val="22"/>
          <w:szCs w:val="22"/>
          <w:i w:val="1"/>
          <w:iCs w:val="1"/>
          <w:color w:val="auto"/>
        </w:rPr>
      </w:pPr>
      <w:r>
        <w:rPr>
          <w:rFonts w:ascii="Arial" w:cs="Arial" w:eastAsia="Arial" w:hAnsi="Arial"/>
          <w:sz w:val="22"/>
          <w:szCs w:val="22"/>
          <w:i w:val="1"/>
          <w:iCs w:val="1"/>
          <w:color w:val="auto"/>
        </w:rPr>
        <w:t>NTP shall invoice Lantheus at the end of each month for all Product supplied by NTP or its Subcontractors in that month. Invoicing shall be in respect of the price applicable to Product upon delivery of such conforming Product to Lantheus on an FCA basis, and</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00"/>
          </w:cols>
          <w:pgMar w:left="1440" w:top="631" w:right="259" w:bottom="1440" w:gutter="0" w:footer="0" w:header="0"/>
        </w:sectPr>
      </w:pPr>
    </w:p>
    <w:bookmarkStart w:id="76" w:name="page77"/>
    <w:bookmarkEnd w:id="76"/>
    <w:p>
      <w:pPr>
        <w:ind w:left="1612" w:right="420"/>
        <w:spacing w:after="0" w:line="253" w:lineRule="auto"/>
        <w:rPr>
          <w:sz w:val="20"/>
          <w:szCs w:val="20"/>
          <w:color w:val="auto"/>
        </w:rPr>
      </w:pPr>
      <w:r>
        <w:rPr>
          <w:rFonts w:ascii="Arial" w:cs="Arial" w:eastAsia="Arial" w:hAnsi="Arial"/>
          <w:sz w:val="22"/>
          <w:szCs w:val="22"/>
          <w:i w:val="1"/>
          <w:iCs w:val="1"/>
          <w:color w:val="auto"/>
        </w:rPr>
        <w:t>in respect of container charges as the same become payable under this Agreement. Lantheus shall pay all invoices for shipments of conforming Product in any given month (as reduced by any outstanding credits for nonconforming Product) by the end of the following month to NTP.</w:t>
      </w:r>
    </w:p>
    <w:p>
      <w:pPr>
        <w:spacing w:after="0" w:line="226" w:lineRule="exact"/>
        <w:rPr>
          <w:sz w:val="20"/>
          <w:szCs w:val="20"/>
          <w:color w:val="auto"/>
        </w:rPr>
      </w:pPr>
    </w:p>
    <w:p>
      <w:pPr>
        <w:ind w:left="492"/>
        <w:spacing w:after="0"/>
        <w:tabs>
          <w:tab w:leader="none" w:pos="952"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The Agreement is hereby amended by adding the following Section 8.6:</w:t>
      </w:r>
    </w:p>
    <w:p>
      <w:pPr>
        <w:spacing w:after="0" w:line="260" w:lineRule="exact"/>
        <w:rPr>
          <w:sz w:val="20"/>
          <w:szCs w:val="20"/>
          <w:color w:val="auto"/>
        </w:rPr>
      </w:pPr>
    </w:p>
    <w:p>
      <w:pPr>
        <w:ind w:left="1612" w:hanging="647"/>
        <w:spacing w:after="0" w:line="263" w:lineRule="auto"/>
        <w:tabs>
          <w:tab w:leader="none" w:pos="1592" w:val="left"/>
        </w:tabs>
        <w:rPr>
          <w:sz w:val="20"/>
          <w:szCs w:val="20"/>
          <w:color w:val="auto"/>
        </w:rPr>
      </w:pPr>
      <w:r>
        <w:rPr>
          <w:rFonts w:ascii="Arial" w:cs="Arial" w:eastAsia="Arial" w:hAnsi="Arial"/>
          <w:sz w:val="22"/>
          <w:szCs w:val="22"/>
          <w:i w:val="1"/>
          <w:iCs w:val="1"/>
          <w:color w:val="auto"/>
        </w:rPr>
        <w:t>8.6</w:t>
      </w:r>
      <w:r>
        <w:rPr>
          <w:sz w:val="20"/>
          <w:szCs w:val="20"/>
          <w:color w:val="auto"/>
        </w:rPr>
        <w:tab/>
      </w:r>
      <w:r>
        <w:rPr>
          <w:rFonts w:ascii="Arial" w:cs="Arial" w:eastAsia="Arial" w:hAnsi="Arial"/>
          <w:sz w:val="21"/>
          <w:szCs w:val="21"/>
          <w:i w:val="1"/>
          <w:iCs w:val="1"/>
          <w:color w:val="auto"/>
        </w:rPr>
        <w:t>For purposes of clarity and without limiting the generality of the provision in Section 8.1, NTP and its Subcontractors hereby acknowledge and agree that any law, regulation, or other action of any applicable governmental authorities having a materially adverse effect on the delivery, sale or use of Technetium-99m generators in North America using Molybdenum-99 derived from highly enriched uranium shall be deemed to be an Event of Force Majeure, and Lantheus shall have the right to terminate this Agreement.</w:t>
      </w:r>
    </w:p>
    <w:p>
      <w:pPr>
        <w:spacing w:after="0" w:line="216" w:lineRule="exact"/>
        <w:rPr>
          <w:sz w:val="20"/>
          <w:szCs w:val="20"/>
          <w:color w:val="auto"/>
        </w:rPr>
      </w:pPr>
    </w:p>
    <w:p>
      <w:pPr>
        <w:ind w:left="972" w:hanging="485"/>
        <w:spacing w:after="0" w:line="253" w:lineRule="auto"/>
        <w:tabs>
          <w:tab w:leader="none" w:pos="952" w:val="left"/>
        </w:tabs>
        <w:rPr>
          <w:sz w:val="20"/>
          <w:szCs w:val="20"/>
          <w:color w:val="auto"/>
        </w:rPr>
      </w:pPr>
      <w:r>
        <w:rPr>
          <w:rFonts w:ascii="Arial" w:cs="Arial" w:eastAsia="Arial" w:hAnsi="Arial"/>
          <w:sz w:val="22"/>
          <w:szCs w:val="22"/>
          <w:color w:val="auto"/>
        </w:rPr>
        <w:t>2.7</w:t>
        <w:tab/>
        <w:t>Exhibit B of the Agreement is hereby amended by adding “</w:t>
      </w:r>
      <w:r>
        <w:rPr>
          <w:rFonts w:ascii="Arial" w:cs="Arial" w:eastAsia="Arial" w:hAnsi="Arial"/>
          <w:sz w:val="22"/>
          <w:szCs w:val="22"/>
          <w:i w:val="1"/>
          <w:iCs w:val="1"/>
          <w:color w:val="auto"/>
        </w:rPr>
        <w:t>Australian Nuclear Science and Technology Organization</w:t>
      </w:r>
      <w:r>
        <w:rPr>
          <w:rFonts w:ascii="Arial" w:cs="Arial" w:eastAsia="Arial" w:hAnsi="Arial"/>
          <w:sz w:val="22"/>
          <w:szCs w:val="22"/>
          <w:color w:val="auto"/>
        </w:rPr>
        <w:t xml:space="preserve"> </w:t>
      </w:r>
      <w:r>
        <w:rPr>
          <w:rFonts w:ascii="Arial" w:cs="Arial" w:eastAsia="Arial" w:hAnsi="Arial"/>
          <w:sz w:val="22"/>
          <w:szCs w:val="22"/>
          <w:i w:val="1"/>
          <w:iCs w:val="1"/>
          <w:color w:val="auto"/>
        </w:rPr>
        <w:t>(“ANSTO”)</w:t>
      </w:r>
      <w:r>
        <w:rPr>
          <w:rFonts w:ascii="Arial" w:cs="Arial" w:eastAsia="Arial" w:hAnsi="Arial"/>
          <w:sz w:val="22"/>
          <w:szCs w:val="22"/>
          <w:color w:val="auto"/>
        </w:rPr>
        <w:t>” to the list of Subcontractors. In addition, all of the references to “</w:t>
      </w:r>
      <w:r>
        <w:rPr>
          <w:rFonts w:ascii="Arial" w:cs="Arial" w:eastAsia="Arial" w:hAnsi="Arial"/>
          <w:sz w:val="22"/>
          <w:szCs w:val="22"/>
          <w:i w:val="1"/>
          <w:iCs w:val="1"/>
          <w:color w:val="auto"/>
        </w:rPr>
        <w:t>Subcontractor</w:t>
      </w:r>
      <w:r>
        <w:rPr>
          <w:rFonts w:ascii="Arial" w:cs="Arial" w:eastAsia="Arial" w:hAnsi="Arial"/>
          <w:sz w:val="22"/>
          <w:szCs w:val="22"/>
          <w:color w:val="auto"/>
        </w:rPr>
        <w:t>” in the Agreement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to mean “</w:t>
      </w:r>
      <w:r>
        <w:rPr>
          <w:rFonts w:ascii="Arial" w:cs="Arial" w:eastAsia="Arial" w:hAnsi="Arial"/>
          <w:sz w:val="22"/>
          <w:szCs w:val="22"/>
          <w:i w:val="1"/>
          <w:iCs w:val="1"/>
          <w:color w:val="auto"/>
        </w:rPr>
        <w:t>Subcontractors</w:t>
      </w:r>
      <w:r>
        <w:rPr>
          <w:rFonts w:ascii="Arial" w:cs="Arial" w:eastAsia="Arial" w:hAnsi="Arial"/>
          <w:sz w:val="22"/>
          <w:szCs w:val="22"/>
          <w:color w:val="auto"/>
        </w:rPr>
        <w:t>.”</w:t>
      </w:r>
    </w:p>
    <w:p>
      <w:pPr>
        <w:spacing w:after="0" w:line="226" w:lineRule="exact"/>
        <w:rPr>
          <w:sz w:val="20"/>
          <w:szCs w:val="20"/>
          <w:color w:val="auto"/>
        </w:rPr>
      </w:pPr>
    </w:p>
    <w:p>
      <w:pPr>
        <w:ind w:left="492"/>
        <w:spacing w:after="0"/>
        <w:tabs>
          <w:tab w:leader="none" w:pos="952"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The Agreement is hereby amended by adding Exhibit D, a copy of which is attached hereto.</w:t>
      </w:r>
    </w:p>
    <w:p>
      <w:pPr>
        <w:spacing w:after="0" w:line="260" w:lineRule="exact"/>
        <w:rPr>
          <w:sz w:val="20"/>
          <w:szCs w:val="20"/>
          <w:color w:val="auto"/>
        </w:rPr>
      </w:pPr>
    </w:p>
    <w:p>
      <w:pPr>
        <w:ind w:left="-8" w:firstLine="8"/>
        <w:spacing w:after="0" w:line="263" w:lineRule="auto"/>
        <w:tabs>
          <w:tab w:leader="none" w:pos="37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Each party hereby waives any non-compliance with the terms and provisions of the Agreement relating to the purchase volume requirements as in effect immediately prior to the amendment thereof by this Agreement.</w:t>
      </w:r>
    </w:p>
    <w:p>
      <w:pPr>
        <w:spacing w:after="0" w:line="215" w:lineRule="exact"/>
        <w:rPr>
          <w:rFonts w:ascii="Arial" w:cs="Arial" w:eastAsia="Arial" w:hAnsi="Arial"/>
          <w:sz w:val="22"/>
          <w:szCs w:val="22"/>
          <w:color w:val="auto"/>
        </w:rPr>
      </w:pPr>
    </w:p>
    <w:p>
      <w:pPr>
        <w:ind w:left="-8" w:right="100" w:firstLine="8"/>
        <w:spacing w:after="0" w:line="250" w:lineRule="auto"/>
        <w:tabs>
          <w:tab w:leader="none" w:pos="37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specifically amended hereby, the Agreement remains in full force and effect and otherwise unamended hereby. This Amendment constitutes a final written expression of the terms hereof and is a complete and exclusive statement of those terms. This Amendment shall be governed by and construed in accordance with the laws of England, without reference to its choice of laws rules.</w:t>
      </w: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92"/>
          </w:cols>
          <w:pgMar w:left="248" w:top="374" w:right="259" w:bottom="1440" w:gutter="0" w:footer="0" w:header="0"/>
        </w:sectPr>
      </w:pPr>
    </w:p>
    <w:bookmarkStart w:id="77" w:name="page78"/>
    <w:bookmarkEnd w:id="7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duly executed this Amendment as of the date first written above.</w:t>
      </w:r>
    </w:p>
    <w:p>
      <w:pPr>
        <w:sectPr>
          <w:pgSz w:w="11900" w:h="16838" w:orient="portrait"/>
          <w:cols w:equalWidth="0" w:num="1">
            <w:col w:w="10219"/>
          </w:cols>
          <w:pgMar w:left="240" w:top="36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NTP: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auto"/>
        </w:rPr>
        <w:t>For and on behalf of Lantheus: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Witnessed by 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Witnessed by ANSTO: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/s/ Don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24765</wp:posOffset>
            </wp:positionV>
            <wp:extent cx="36620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and Title: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M.D. NTP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/s/ William C. Dawes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24765</wp:posOffset>
            </wp:positionV>
            <wp:extent cx="3662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and Title: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William C. Dawes, Vice President,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Manufacturing &amp;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color w:val="auto"/>
        </w:rPr>
        <w:t>/s/ Jean-Michel Vanderhofstadt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36620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Name and Title:</w:t>
      </w:r>
    </w:p>
    <w:p>
      <w:pPr>
        <w:spacing w:after="0" w:line="44" w:lineRule="exact"/>
        <w:rPr>
          <w:sz w:val="20"/>
          <w:szCs w:val="20"/>
          <w:color w:val="auto"/>
        </w:rPr>
      </w:pPr>
    </w:p>
    <w:p>
      <w:pPr>
        <w:jc w:val="center"/>
        <w:ind w:right="2979"/>
        <w:spacing w:after="0"/>
        <w:rPr>
          <w:sz w:val="20"/>
          <w:szCs w:val="20"/>
          <w:color w:val="auto"/>
        </w:rPr>
      </w:pPr>
      <w:r>
        <w:rPr>
          <w:rFonts w:ascii="Arial" w:cs="Arial" w:eastAsia="Arial" w:hAnsi="Arial"/>
          <w:sz w:val="19"/>
          <w:szCs w:val="19"/>
          <w:color w:val="auto"/>
        </w:rPr>
        <w:t>Directeur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/s/ Doug Cubbin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24765</wp:posOffset>
            </wp:positionV>
            <wp:extent cx="36620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and Title:</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EGM Business Development &amp;</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Commercialisation</w:t>
      </w:r>
    </w:p>
    <w:p>
      <w:pPr>
        <w:spacing w:after="0" w:line="200" w:lineRule="exact"/>
        <w:rPr>
          <w:sz w:val="20"/>
          <w:szCs w:val="20"/>
          <w:color w:val="auto"/>
        </w:rPr>
      </w:pPr>
    </w:p>
    <w:p>
      <w:pPr>
        <w:sectPr>
          <w:pgSz w:w="11900" w:h="16838" w:orient="portrait"/>
          <w:cols w:equalWidth="0" w:num="2">
            <w:col w:w="4960" w:space="720"/>
            <w:col w:w="4539"/>
          </w:cols>
          <w:pgMar w:left="240" w:top="369" w:right="1440" w:bottom="1440" w:gutter="0" w:footer="0" w:header="0"/>
          <w:type w:val="continuous"/>
        </w:sect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369" w:right="1440" w:bottom="1440" w:gutter="0" w:footer="0" w:header="0"/>
          <w:type w:val="continuous"/>
        </w:sectPr>
      </w:pPr>
    </w:p>
    <w:bookmarkStart w:id="78" w:name="page79"/>
    <w:bookmarkEnd w:id="78"/>
    <w:p>
      <w:pPr>
        <w:jc w:val="center"/>
        <w:ind w:right="20"/>
        <w:spacing w:after="0"/>
        <w:rPr>
          <w:sz w:val="20"/>
          <w:szCs w:val="20"/>
          <w:color w:val="auto"/>
        </w:rPr>
      </w:pPr>
      <w:r>
        <w:rPr>
          <w:rFonts w:ascii="Arial" w:cs="Arial" w:eastAsia="Arial" w:hAnsi="Arial"/>
          <w:sz w:val="22"/>
          <w:szCs w:val="22"/>
          <w:b w:val="1"/>
          <w:bCs w:val="1"/>
          <w:color w:val="auto"/>
        </w:rPr>
        <w:t>EXHIBIT D</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Supply Volumes</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NRU Shutdown May/June 2011</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440" w:type="dxa"/>
            <w:vAlign w:val="bottom"/>
            <w:tcBorders>
              <w:top w:val="single" w:sz="8" w:color="auto"/>
              <w:left w:val="single" w:sz="8" w:color="auto"/>
              <w:bottom w:val="single" w:sz="8" w:color="auto"/>
            </w:tcBorders>
          </w:tcPr>
          <w:p>
            <w:pPr>
              <w:spacing w:after="0"/>
              <w:rPr>
                <w:sz w:val="19"/>
                <w:szCs w:val="19"/>
                <w:color w:val="auto"/>
              </w:rPr>
            </w:pPr>
          </w:p>
        </w:tc>
        <w:tc>
          <w:tcPr>
            <w:tcW w:w="338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Arrival LMI</w:t>
            </w:r>
          </w:p>
        </w:tc>
        <w:tc>
          <w:tcPr>
            <w:tcW w:w="12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NTP</w:t>
            </w:r>
          </w:p>
        </w:tc>
        <w:tc>
          <w:tcPr>
            <w:tcW w:w="12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4"/>
                <w:szCs w:val="14"/>
                <w:b w:val="1"/>
                <w:bCs w:val="1"/>
                <w:color w:val="auto"/>
              </w:rPr>
              <w:t>IRE</w:t>
            </w:r>
          </w:p>
        </w:tc>
        <w:tc>
          <w:tcPr>
            <w:tcW w:w="12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Ansto</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Dispatch date</w:t>
            </w: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20</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Saturday, May 21,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May 20,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600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400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0</w:t>
            </w:r>
          </w:p>
        </w:tc>
        <w:tc>
          <w:tcPr>
            <w:tcW w:w="2840" w:type="dxa"/>
            <w:vAlign w:val="bottom"/>
            <w:tcBorders>
              <w:bottom w:val="single" w:sz="8" w:color="auto"/>
              <w:right w:val="single" w:sz="8" w:color="auto"/>
            </w:tcBorders>
          </w:tcPr>
          <w:p>
            <w:pPr>
              <w:spacing w:after="0"/>
              <w:rPr>
                <w:sz w:val="24"/>
                <w:szCs w:val="24"/>
                <w:color w:val="auto"/>
              </w:rPr>
            </w:pP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21</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Sunday, May 22,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Saturday, May 21,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Monday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Monday, May 23,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Sunday, May 22,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Thursday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Thursday, May 26,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Wednesday, May 25,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Saturday, May 28,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May 27,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700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455</w:t>
            </w:r>
          </w:p>
        </w:tc>
        <w:tc>
          <w:tcPr>
            <w:tcW w:w="2840" w:type="dxa"/>
            <w:vAlign w:val="bottom"/>
            <w:tcBorders>
              <w:bottom w:val="single" w:sz="8" w:color="auto"/>
              <w:right w:val="single" w:sz="8" w:color="auto"/>
            </w:tcBorders>
          </w:tcPr>
          <w:p>
            <w:pPr>
              <w:spacing w:after="0"/>
              <w:rPr>
                <w:sz w:val="24"/>
                <w:szCs w:val="24"/>
                <w:color w:val="auto"/>
              </w:rPr>
            </w:pP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22</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Sunday, May 29,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Saturday, May 28,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Monday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Monday, May 30,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Sunday, May 29,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Thursday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Thursday, June 2,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Wednesday, June 01,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Saturday, June 4,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June 3,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500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700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430</w:t>
            </w:r>
          </w:p>
        </w:tc>
        <w:tc>
          <w:tcPr>
            <w:tcW w:w="2840" w:type="dxa"/>
            <w:vAlign w:val="bottom"/>
            <w:tcBorders>
              <w:bottom w:val="single" w:sz="8" w:color="auto"/>
              <w:right w:val="single" w:sz="8" w:color="auto"/>
            </w:tcBorders>
          </w:tcPr>
          <w:p>
            <w:pPr>
              <w:spacing w:after="0"/>
              <w:rPr>
                <w:sz w:val="24"/>
                <w:szCs w:val="24"/>
                <w:color w:val="auto"/>
              </w:rPr>
            </w:pP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23</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Sunday, June 5,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Saturday, June 4,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Monday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Monday, June 6,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Sunday, June 5,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Tuesday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Tuesday, June 7,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Monday, June 6,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Thursday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Thursday, June 9,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Wednesday, June 08,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Saturday, June 11,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June 10,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1150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300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430</w:t>
            </w:r>
          </w:p>
        </w:tc>
        <w:tc>
          <w:tcPr>
            <w:tcW w:w="2840" w:type="dxa"/>
            <w:vAlign w:val="bottom"/>
            <w:tcBorders>
              <w:bottom w:val="single" w:sz="8" w:color="auto"/>
              <w:right w:val="single" w:sz="8" w:color="auto"/>
            </w:tcBorders>
          </w:tcPr>
          <w:p>
            <w:pPr>
              <w:spacing w:after="0"/>
              <w:rPr>
                <w:sz w:val="24"/>
                <w:szCs w:val="24"/>
                <w:color w:val="auto"/>
              </w:rPr>
            </w:pP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24</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Sunday, June 12,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Saturday, June 11,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Monday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Monday, June 13,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Sunday, June 12,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Thursday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Thursday, June 16,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450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Wednesday, June 15,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Saturday, June 18,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June 17,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1200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700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225</w:t>
            </w:r>
          </w:p>
        </w:tc>
        <w:tc>
          <w:tcPr>
            <w:tcW w:w="2840" w:type="dxa"/>
            <w:vAlign w:val="bottom"/>
            <w:tcBorders>
              <w:bottom w:val="single" w:sz="8" w:color="auto"/>
              <w:right w:val="single" w:sz="8" w:color="auto"/>
            </w:tcBorders>
          </w:tcPr>
          <w:p>
            <w:pPr>
              <w:spacing w:after="0"/>
              <w:rPr>
                <w:sz w:val="24"/>
                <w:szCs w:val="24"/>
                <w:color w:val="auto"/>
              </w:rPr>
            </w:pP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25</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Sunday, June 19,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Saturday, June 18,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Monday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Monday, June 20,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Sunday, June 19,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Thursday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Thursday, June 23,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Wednesday, June 22,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color w:val="auto"/>
              </w:rPr>
              <w:t>Saturday, June 25,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June 24,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1200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700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0</w:t>
            </w:r>
          </w:p>
        </w:tc>
        <w:tc>
          <w:tcPr>
            <w:tcW w:w="2840" w:type="dxa"/>
            <w:vAlign w:val="bottom"/>
            <w:tcBorders>
              <w:bottom w:val="single" w:sz="8" w:color="auto"/>
              <w:right w:val="single" w:sz="8" w:color="auto"/>
            </w:tcBorders>
          </w:tcPr>
          <w:p>
            <w:pPr>
              <w:spacing w:after="0"/>
              <w:rPr>
                <w:sz w:val="24"/>
                <w:szCs w:val="24"/>
                <w:color w:val="auto"/>
              </w:rPr>
            </w:pPr>
          </w:p>
        </w:tc>
      </w:tr>
      <w:tr>
        <w:trPr>
          <w:trHeight w:val="258"/>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Week 26</w:t>
            </w:r>
          </w:p>
        </w:tc>
        <w:tc>
          <w:tcPr>
            <w:tcW w:w="338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Sunday, June 26,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215</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Saturday, June 25,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Monday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Monday, June 27,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Sunday, June 26,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Thursday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Thursday, June 30,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Wednesday, June 29, 2011</w:t>
            </w:r>
          </w:p>
        </w:tc>
      </w:tr>
      <w:tr>
        <w:trPr>
          <w:trHeight w:val="216"/>
        </w:trPr>
        <w:tc>
          <w:tcPr>
            <w:tcW w:w="1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Saturday</w:t>
            </w:r>
          </w:p>
        </w:tc>
        <w:tc>
          <w:tcPr>
            <w:tcW w:w="338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Saturday, July 2, 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Friday, July 1, 2011</w:t>
            </w:r>
          </w:p>
        </w:tc>
      </w:tr>
      <w:tr>
        <w:trPr>
          <w:trHeight w:val="276"/>
        </w:trPr>
        <w:tc>
          <w:tcPr>
            <w:tcW w:w="144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Total:</w:t>
            </w:r>
          </w:p>
        </w:tc>
        <w:tc>
          <w:tcPr>
            <w:tcW w:w="33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400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415</w:t>
            </w:r>
          </w:p>
        </w:tc>
        <w:tc>
          <w:tcPr>
            <w:tcW w:w="28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40"/>
          </w:cols>
          <w:pgMar w:left="240" w:top="369" w:right="21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 The pricing for such volumes is set forth in the first sentence of Section 5.1(b) of the Agreement, as amended.</w:t>
      </w:r>
    </w:p>
    <w:p>
      <w:pPr>
        <w:sectPr>
          <w:pgSz w:w="11900" w:h="16838" w:orient="portrait"/>
          <w:cols w:equalWidth="0" w:num="1">
            <w:col w:w="10179"/>
          </w:cols>
          <w:pgMar w:left="28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179"/>
          </w:cols>
          <w:pgMar w:left="280" w:top="549" w:right="1440"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3 to Sales Agreement</w:t>
      </w:r>
    </w:p>
    <w:p>
      <w:pPr>
        <w:spacing w:after="0" w:line="24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THIS AMENDMENT NO. 3 TO SALES AGREEMENT (this “Amendment”) is made effective as of October 1, 2012 by and between NTP Radioisotopes (Pty) Ltd., a commercial company registered and existing under the laws of the Republic of South Africa, having its registered office at Building 1700, Pelindaba, Church Street West Extension, Brits District, North West Province of South Africa (“NTP”), and Lantheus Medical Imaging, Inc., a corporation organized and existing under the laws of Delaware with a place of business at 331 Treble Cove Road, North Billerica, Massachusetts, United States of America 01862 (“Lantheus”).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66" w:lineRule="exact"/>
        <w:rPr>
          <w:sz w:val="20"/>
          <w:szCs w:val="20"/>
          <w:color w:val="auto"/>
        </w:rPr>
      </w:pPr>
    </w:p>
    <w:p>
      <w:pPr>
        <w:ind w:left="660" w:right="380" w:hanging="328"/>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Lantheus and NTP, on behalf of itself and its Subcontractor, IRE, entered into a Sales Agreement effective as of April 1, 2009 (the “Sales Agreement”);</w:t>
      </w:r>
    </w:p>
    <w:p>
      <w:pPr>
        <w:spacing w:after="0" w:line="215" w:lineRule="exact"/>
        <w:rPr>
          <w:rFonts w:ascii="Arial" w:cs="Arial" w:eastAsia="Arial" w:hAnsi="Arial"/>
          <w:sz w:val="22"/>
          <w:szCs w:val="22"/>
          <w:color w:val="auto"/>
        </w:rPr>
      </w:pPr>
    </w:p>
    <w:p>
      <w:pPr>
        <w:ind w:left="660" w:right="340" w:hanging="328"/>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Lantheus and NTP, on behalf of itself and its Subcontractor, IRE, entered into Amendment No. 1 to the Sales Agreement effective as of January 1, 2010 (“Amendment No.1”);</w:t>
      </w:r>
    </w:p>
    <w:p>
      <w:pPr>
        <w:spacing w:after="0" w:line="215" w:lineRule="exact"/>
        <w:rPr>
          <w:rFonts w:ascii="Arial" w:cs="Arial" w:eastAsia="Arial" w:hAnsi="Arial"/>
          <w:sz w:val="22"/>
          <w:szCs w:val="22"/>
          <w:color w:val="auto"/>
        </w:rPr>
      </w:pPr>
    </w:p>
    <w:p>
      <w:pPr>
        <w:ind w:left="660" w:right="120" w:hanging="328"/>
        <w:spacing w:after="0" w:line="25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Lantheus and NTP, on behalf of itself and its Subcontractors, IRE and ANSTO, entered into Amendment No. 2 to the Sales Agreement effective as of April 1, 2011 (together with the Sales Agreement and Amendment No. 1, collectively, the “Agreement”);</w:t>
      </w:r>
    </w:p>
    <w:p>
      <w:pPr>
        <w:spacing w:after="0" w:line="226" w:lineRule="exact"/>
        <w:rPr>
          <w:rFonts w:ascii="Arial" w:cs="Arial" w:eastAsia="Arial" w:hAnsi="Arial"/>
          <w:sz w:val="22"/>
          <w:szCs w:val="22"/>
          <w:color w:val="auto"/>
        </w:rPr>
      </w:pPr>
    </w:p>
    <w:p>
      <w:pPr>
        <w:ind w:left="660" w:right="80" w:hanging="328"/>
        <w:spacing w:after="0" w:line="248"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support of international objectives to eliminate the use of highly enriched uranium (“HEU”) in civil nuclear applications, Lantheus, NTP and its Subcontractors have made a significant, diligent and cooperative effort to develop a more robust supply of Products for Lantheus derived from low enriched uranium (“LEU”), which resulted in Lantheus having the first Technetium-99m generators utilizing LEU-based Product qualified and approved by the United States Food and Drug Administration;</w:t>
      </w:r>
    </w:p>
    <w:p>
      <w:pPr>
        <w:spacing w:after="0" w:line="232"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connection with these efforts, NTP and its Subcontractors have agreed to increase their production of LEU-based Product made available to Lantheus; and</w:t>
      </w:r>
    </w:p>
    <w:p>
      <w:pPr>
        <w:spacing w:after="0" w:line="215" w:lineRule="exact"/>
        <w:rPr>
          <w:rFonts w:ascii="Arial" w:cs="Arial" w:eastAsia="Arial" w:hAnsi="Arial"/>
          <w:sz w:val="22"/>
          <w:szCs w:val="22"/>
          <w:color w:val="auto"/>
        </w:rPr>
      </w:pPr>
    </w:p>
    <w:p>
      <w:pPr>
        <w:ind w:left="660" w:right="160" w:hanging="328"/>
        <w:spacing w:after="0" w:line="250"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NTP, on behalf of itself and its Subcontractors, and Lantheus wish to further amend the Agreement to extend its term and specify pricing and volume levels for the supply of Product from October 1, 2012 through December 31, 2017 by restating certain existing provisions of the Agreement and further amending or supplementing such provisions to give effect to such amendments effective as of the date hereof.</w:t>
      </w:r>
    </w:p>
    <w:p>
      <w:pPr>
        <w:spacing w:after="0" w:line="223" w:lineRule="exact"/>
        <w:rPr>
          <w:sz w:val="20"/>
          <w:szCs w:val="20"/>
          <w:color w:val="auto"/>
        </w:rPr>
      </w:pPr>
    </w:p>
    <w:p>
      <w:pPr>
        <w:ind w:right="780"/>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promises and covenants hereinafter set forth,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w:t>
      </w:r>
    </w:p>
    <w:p>
      <w:pPr>
        <w:sectPr>
          <w:pgSz w:w="11900" w:h="16838" w:orient="portrait"/>
          <w:cols w:equalWidth="0" w:num="1">
            <w:col w:w="11420"/>
          </w:cols>
          <w:pgMar w:left="240" w:top="585"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sufficiency of which are hereby acknowledged, the parties hereto hereby agree as follows:</w:t>
      </w:r>
    </w:p>
    <w:p>
      <w:pPr>
        <w:spacing w:after="0" w:line="260"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Terms defined in the Agreement and not otherwise defined herein are used herein with the meanings so defined.</w:t>
      </w:r>
    </w:p>
    <w:p>
      <w:pPr>
        <w:spacing w:after="0" w:line="294" w:lineRule="exact"/>
        <w:rPr>
          <w:rFonts w:ascii="Arial" w:cs="Arial" w:eastAsia="Arial" w:hAnsi="Arial"/>
          <w:sz w:val="19"/>
          <w:szCs w:val="19"/>
          <w:color w:val="auto"/>
        </w:rPr>
      </w:pPr>
    </w:p>
    <w:p>
      <w:pPr>
        <w:ind w:left="220" w:hanging="212"/>
        <w:spacing w:after="0"/>
        <w:tabs>
          <w:tab w:leader="none" w:pos="22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60" w:lineRule="exact"/>
        <w:rPr>
          <w:sz w:val="20"/>
          <w:szCs w:val="20"/>
          <w:color w:val="auto"/>
        </w:rPr>
      </w:pPr>
    </w:p>
    <w:p>
      <w:pPr>
        <w:ind w:left="980" w:right="80" w:hanging="485"/>
        <w:spacing w:after="0" w:line="263" w:lineRule="auto"/>
        <w:tabs>
          <w:tab w:leader="none" w:pos="960" w:val="left"/>
        </w:tabs>
        <w:rPr>
          <w:sz w:val="20"/>
          <w:szCs w:val="20"/>
          <w:color w:val="auto"/>
        </w:rPr>
      </w:pPr>
      <w:r>
        <w:rPr>
          <w:rFonts w:ascii="Arial" w:cs="Arial" w:eastAsia="Arial" w:hAnsi="Arial"/>
          <w:sz w:val="22"/>
          <w:szCs w:val="22"/>
          <w:color w:val="auto"/>
        </w:rPr>
        <w:t>2.1</w:t>
        <w:tab/>
        <w:t>Section 2.1 of the Agreement is hereby amended by deleting in its entirety said Section 2.1 and replacing therewith the following:</w:t>
      </w:r>
    </w:p>
    <w:p>
      <w:pPr>
        <w:spacing w:after="0" w:line="215"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2"/>
          <w:szCs w:val="22"/>
          <w:i w:val="1"/>
          <w:iCs w:val="1"/>
          <w:color w:val="auto"/>
        </w:rPr>
        <w:t>2.1</w:t>
      </w:r>
      <w:r>
        <w:rPr>
          <w:sz w:val="20"/>
          <w:szCs w:val="20"/>
          <w:color w:val="auto"/>
        </w:rPr>
        <w:tab/>
      </w:r>
      <w:r>
        <w:rPr>
          <w:rFonts w:ascii="Arial" w:cs="Arial" w:eastAsia="Arial" w:hAnsi="Arial"/>
          <w:sz w:val="19"/>
          <w:szCs w:val="19"/>
          <w:i w:val="1"/>
          <w:iCs w:val="1"/>
          <w:color w:val="auto"/>
        </w:rPr>
        <w:t>Subject to the terms of this Agreement, the parties hereby agree as follows:</w:t>
      </w:r>
    </w:p>
    <w:p>
      <w:pPr>
        <w:spacing w:after="0" w:line="260" w:lineRule="exact"/>
        <w:rPr>
          <w:sz w:val="20"/>
          <w:szCs w:val="20"/>
          <w:color w:val="auto"/>
        </w:rPr>
      </w:pPr>
    </w:p>
    <w:p>
      <w:pPr>
        <w:ind w:left="1520" w:hanging="459"/>
        <w:spacing w:after="0"/>
        <w:tabs>
          <w:tab w:leader="none" w:pos="1520" w:val="left"/>
        </w:tabs>
        <w:numPr>
          <w:ilvl w:val="0"/>
          <w:numId w:val="34"/>
        </w:numPr>
        <w:rPr>
          <w:rFonts w:ascii="Arial" w:cs="Arial" w:eastAsia="Arial" w:hAnsi="Arial"/>
          <w:sz w:val="22"/>
          <w:szCs w:val="22"/>
          <w:i w:val="1"/>
          <w:iCs w:val="1"/>
          <w:color w:val="auto"/>
        </w:rPr>
      </w:pPr>
      <w:r>
        <w:rPr>
          <w:rFonts w:ascii="Arial" w:cs="Arial" w:eastAsia="Arial" w:hAnsi="Arial"/>
          <w:sz w:val="22"/>
          <w:szCs w:val="22"/>
          <w:i w:val="1"/>
          <w:iCs w:val="1"/>
          <w:color w:val="auto"/>
        </w:rPr>
        <w:t>[Intentionally left blank.]</w:t>
      </w:r>
    </w:p>
    <w:p>
      <w:pPr>
        <w:spacing w:after="0" w:line="260" w:lineRule="exact"/>
        <w:rPr>
          <w:rFonts w:ascii="Arial" w:cs="Arial" w:eastAsia="Arial" w:hAnsi="Arial"/>
          <w:sz w:val="22"/>
          <w:szCs w:val="22"/>
          <w:i w:val="1"/>
          <w:iCs w:val="1"/>
          <w:color w:val="auto"/>
        </w:rPr>
      </w:pPr>
    </w:p>
    <w:p>
      <w:pPr>
        <w:ind w:left="1060" w:right="60" w:firstLine="1"/>
        <w:spacing w:after="0" w:line="263" w:lineRule="auto"/>
        <w:tabs>
          <w:tab w:leader="none" w:pos="1528" w:val="left"/>
        </w:tabs>
        <w:numPr>
          <w:ilvl w:val="0"/>
          <w:numId w:val="34"/>
        </w:numPr>
        <w:rPr>
          <w:rFonts w:ascii="Arial" w:cs="Arial" w:eastAsia="Arial" w:hAnsi="Arial"/>
          <w:sz w:val="22"/>
          <w:szCs w:val="22"/>
          <w:i w:val="1"/>
          <w:iCs w:val="1"/>
          <w:color w:val="auto"/>
        </w:rPr>
      </w:pPr>
      <w:r>
        <w:rPr>
          <w:rFonts w:ascii="Arial" w:cs="Arial" w:eastAsia="Arial" w:hAnsi="Arial"/>
          <w:sz w:val="22"/>
          <w:szCs w:val="22"/>
          <w:i w:val="1"/>
          <w:iCs w:val="1"/>
          <w:color w:val="auto"/>
        </w:rPr>
        <w:t>Commencing as of October 1, 2012 and continuing through December 31, 2017, Lantheus shall commit to place minimum routine Product orders with NTP on a regular weekly basis as follows:</w:t>
      </w:r>
    </w:p>
    <w:p>
      <w:pPr>
        <w:spacing w:after="0" w:line="338" w:lineRule="exact"/>
        <w:rPr>
          <w:sz w:val="20"/>
          <w:szCs w:val="20"/>
          <w:color w:val="auto"/>
        </w:rPr>
      </w:pPr>
    </w:p>
    <w:tbl>
      <w:tblPr>
        <w:tblLayout w:type="fixed"/>
        <w:tblInd w:w="1070" w:type="dxa"/>
        <w:tblCellMar>
          <w:top w:w="0" w:type="dxa"/>
          <w:left w:w="0" w:type="dxa"/>
          <w:bottom w:w="0" w:type="dxa"/>
          <w:right w:w="0" w:type="dxa"/>
        </w:tblCellMar>
      </w:tblPr>
      <w:tr>
        <w:trPr>
          <w:trHeight w:val="262"/>
        </w:trPr>
        <w:tc>
          <w:tcPr>
            <w:tcW w:w="28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i w:val="1"/>
                <w:iCs w:val="1"/>
                <w:color w:val="auto"/>
              </w:rPr>
              <w:t>Time Period</w:t>
            </w:r>
          </w:p>
        </w:tc>
        <w:tc>
          <w:tcPr>
            <w:tcW w:w="54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i w:val="1"/>
                <w:iCs w:val="1"/>
                <w:color w:val="auto"/>
                <w:w w:val="89"/>
              </w:rPr>
              <w:t>Percentage of Lantheus’ total requirements of Product as</w:t>
            </w:r>
          </w:p>
        </w:tc>
      </w:tr>
      <w:tr>
        <w:trPr>
          <w:trHeight w:val="285"/>
        </w:trPr>
        <w:tc>
          <w:tcPr>
            <w:tcW w:w="2820" w:type="dxa"/>
            <w:vAlign w:val="bottom"/>
            <w:tcBorders>
              <w:left w:val="single" w:sz="8" w:color="00000A"/>
              <w:bottom w:val="single" w:sz="8" w:color="00000A"/>
              <w:right w:val="single" w:sz="8" w:color="00000A"/>
            </w:tcBorders>
          </w:tcPr>
          <w:p>
            <w:pPr>
              <w:spacing w:after="0"/>
              <w:rPr>
                <w:sz w:val="24"/>
                <w:szCs w:val="24"/>
                <w:color w:val="auto"/>
              </w:rPr>
            </w:pPr>
          </w:p>
        </w:tc>
        <w:tc>
          <w:tcPr>
            <w:tcW w:w="5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i w:val="1"/>
                <w:iCs w:val="1"/>
                <w:color w:val="auto"/>
              </w:rPr>
              <w:t>measured on a trailing calendar quarter basis</w:t>
            </w: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October 1, 2012 – December</w:t>
            </w:r>
          </w:p>
        </w:tc>
        <w:tc>
          <w:tcPr>
            <w:tcW w:w="542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Ten percent (10%)</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31, 2012</w:t>
            </w:r>
          </w:p>
        </w:tc>
        <w:tc>
          <w:tcPr>
            <w:tcW w:w="5420" w:type="dxa"/>
            <w:vAlign w:val="bottom"/>
            <w:tcBorders>
              <w:bottom w:val="single" w:sz="8" w:color="00000A"/>
              <w:right w:val="single" w:sz="8" w:color="00000A"/>
            </w:tcBorders>
          </w:tcPr>
          <w:p>
            <w:pPr>
              <w:spacing w:after="0"/>
              <w:rPr>
                <w:sz w:val="24"/>
                <w:szCs w:val="24"/>
                <w:color w:val="auto"/>
              </w:rPr>
            </w:pP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2013 – December</w:t>
            </w:r>
          </w:p>
        </w:tc>
        <w:tc>
          <w:tcPr>
            <w:tcW w:w="542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Twenty percent (20%)</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31, 2013</w:t>
            </w:r>
          </w:p>
        </w:tc>
        <w:tc>
          <w:tcPr>
            <w:tcW w:w="5420" w:type="dxa"/>
            <w:vAlign w:val="bottom"/>
            <w:tcBorders>
              <w:bottom w:val="single" w:sz="8" w:color="00000A"/>
              <w:right w:val="single" w:sz="8" w:color="00000A"/>
            </w:tcBorders>
          </w:tcPr>
          <w:p>
            <w:pPr>
              <w:spacing w:after="0"/>
              <w:rPr>
                <w:sz w:val="24"/>
                <w:szCs w:val="24"/>
                <w:color w:val="auto"/>
              </w:rPr>
            </w:pP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2014 – December</w:t>
            </w:r>
          </w:p>
        </w:tc>
        <w:tc>
          <w:tcPr>
            <w:tcW w:w="542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Thirty seven percent (37%)</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31, 2014</w:t>
            </w:r>
          </w:p>
        </w:tc>
        <w:tc>
          <w:tcPr>
            <w:tcW w:w="5420" w:type="dxa"/>
            <w:vAlign w:val="bottom"/>
            <w:tcBorders>
              <w:bottom w:val="single" w:sz="8" w:color="00000A"/>
              <w:right w:val="single" w:sz="8" w:color="00000A"/>
            </w:tcBorders>
          </w:tcPr>
          <w:p>
            <w:pPr>
              <w:spacing w:after="0"/>
              <w:rPr>
                <w:sz w:val="24"/>
                <w:szCs w:val="24"/>
                <w:color w:val="auto"/>
              </w:rPr>
            </w:pP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2015 – December</w:t>
            </w:r>
          </w:p>
        </w:tc>
        <w:tc>
          <w:tcPr>
            <w:tcW w:w="542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Forty two percent (42%)</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31, 2015</w:t>
            </w:r>
          </w:p>
        </w:tc>
        <w:tc>
          <w:tcPr>
            <w:tcW w:w="5420" w:type="dxa"/>
            <w:vAlign w:val="bottom"/>
            <w:tcBorders>
              <w:bottom w:val="single" w:sz="8" w:color="00000A"/>
              <w:right w:val="single" w:sz="8" w:color="00000A"/>
            </w:tcBorders>
          </w:tcPr>
          <w:p>
            <w:pPr>
              <w:spacing w:after="0"/>
              <w:rPr>
                <w:sz w:val="24"/>
                <w:szCs w:val="24"/>
                <w:color w:val="auto"/>
              </w:rPr>
            </w:pP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2016 – December</w:t>
            </w:r>
          </w:p>
        </w:tc>
        <w:tc>
          <w:tcPr>
            <w:tcW w:w="542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Fifty percent (50%)</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31, 2017</w:t>
            </w:r>
          </w:p>
        </w:tc>
        <w:tc>
          <w:tcPr>
            <w:tcW w:w="542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1060"/>
        <w:spacing w:after="0" w:line="290" w:lineRule="auto"/>
        <w:rPr>
          <w:sz w:val="20"/>
          <w:szCs w:val="20"/>
          <w:color w:val="auto"/>
        </w:rPr>
      </w:pPr>
      <w:r>
        <w:rPr>
          <w:rFonts w:ascii="Arial" w:cs="Arial" w:eastAsia="Arial" w:hAnsi="Arial"/>
          <w:sz w:val="19"/>
          <w:szCs w:val="19"/>
          <w:i w:val="1"/>
          <w:iCs w:val="1"/>
          <w:color w:val="auto"/>
        </w:rPr>
        <w:t>NTP shall supply such orders placed by Lantheus, provided that, as set forth in Section 2.1(c), such obligation shall only apply in those weeks in which NTP and its Subcontractors are able to satisfy, and NTP and its Subcontractors do satisfy, such obligations. In addition, to the extent that NTP is unable to supply the quantities of Product requested by Lantheus hereunder, the parties acknowledge and agree that Lantheus shall have the right to purchase Product from any third party supplier of Product during the period of such unavailability and for a reasonable period of time before or after such period, and to the extent and for the duration of such third party purchases Lantheus shall not be in violation of the purchase commitment set forth herein and shall be relieved of its purchase volume obligations for such period. Lantheus will continue to provide NTP with a good faith, non</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20"/>
          </w:cols>
          <w:pgMar w:left="240" w:top="375" w:right="339" w:bottom="1440" w:gutter="0" w:footer="0" w:header="0"/>
        </w:sectPr>
      </w:pPr>
    </w:p>
    <w:bookmarkStart w:id="82" w:name="page83"/>
    <w:bookmarkEnd w:id="82"/>
    <w:p>
      <w:pPr>
        <w:ind w:right="140"/>
        <w:spacing w:after="0" w:line="250" w:lineRule="auto"/>
        <w:rPr>
          <w:sz w:val="20"/>
          <w:szCs w:val="20"/>
          <w:color w:val="auto"/>
        </w:rPr>
      </w:pPr>
      <w:r>
        <w:rPr>
          <w:rFonts w:ascii="Arial" w:cs="Arial" w:eastAsia="Arial" w:hAnsi="Arial"/>
          <w:sz w:val="22"/>
          <w:szCs w:val="22"/>
          <w:i w:val="1"/>
          <w:iCs w:val="1"/>
          <w:color w:val="auto"/>
        </w:rPr>
        <w:t>binding Forecast on the first business day of each month. Lantheus will also continue to provide NTP with firm orders for Product at least fourteen (14) days in advance of the required date of Product shipment. The Parties hereby agree to meet no later than June 2017 to discuss in good faith the terms of a supply agreement beyond the term of this Agreement.</w:t>
      </w:r>
    </w:p>
    <w:p>
      <w:pPr>
        <w:spacing w:after="0" w:line="229" w:lineRule="exact"/>
        <w:rPr>
          <w:sz w:val="20"/>
          <w:szCs w:val="20"/>
          <w:color w:val="auto"/>
        </w:rPr>
      </w:pPr>
    </w:p>
    <w:p>
      <w:pPr>
        <w:ind w:left="20" w:firstLine="8"/>
        <w:spacing w:after="0" w:line="286" w:lineRule="auto"/>
        <w:tabs>
          <w:tab w:leader="none" w:pos="476" w:val="left"/>
        </w:tabs>
        <w:numPr>
          <w:ilvl w:val="0"/>
          <w:numId w:val="35"/>
        </w:numPr>
        <w:rPr>
          <w:rFonts w:ascii="Arial" w:cs="Arial" w:eastAsia="Arial" w:hAnsi="Arial"/>
          <w:sz w:val="19"/>
          <w:szCs w:val="19"/>
          <w:i w:val="1"/>
          <w:iCs w:val="1"/>
          <w:color w:val="auto"/>
        </w:rPr>
      </w:pPr>
      <w:r>
        <w:rPr>
          <w:rFonts w:ascii="Arial" w:cs="Arial" w:eastAsia="Arial" w:hAnsi="Arial"/>
          <w:sz w:val="19"/>
          <w:szCs w:val="19"/>
          <w:i w:val="1"/>
          <w:iCs w:val="1"/>
          <w:color w:val="auto"/>
        </w:rPr>
        <w:t>Such Product shall be supplied and delivered to John F. Kennedy International Airport, Jamaica, New York (“JFK”) or Logan International Airport, Boston, Massachusetts (“BOS”) (or other mutually agreed upon delivery location) on a mutually agreed schedule with follow-on trucking delivery to the Lantheus facility in North Billerica, Massachusetts. Lantheus shall provide NTP with notice of its intention to change such location at least forty-five (45) days in advance of the required inception date of such changes. NTP shall be responsible to ensure that the full weekly quota of Mo-99 is delivered to Lantheus other than during scheduled outages for routine maintenance and unscheduled outages or failures of the production lines of NTP and its Subcontractors (i.e., under conditions of normal operations prevailing at NTP and its Subcontractors’ facilities). Subject to the terms set forth herein (including, but not limited to, the requirements relating to LEU-based Product set forth below), at the discretion of the Account Manager at NTP (“Account Manager”), such material shall be supplied by NTP or its Subcontractors. Lantheus shall be advised in a timely way of the manner in which supply obligations hereunder will be allocated among NTP and its Subcontractors. NTP will schedule deliveries to Lantheus so as to compensate for scheduled outages at either facility in such a way that the full amount of Product ordered by Lantheus (including, subject to the provisions of Section 2.1(d), any specific quantities of LEU-based Product) will be maintained under such circumstances.</w:t>
      </w:r>
    </w:p>
    <w:p>
      <w:pPr>
        <w:spacing w:after="0" w:line="203" w:lineRule="exact"/>
        <w:rPr>
          <w:rFonts w:ascii="Arial" w:cs="Arial" w:eastAsia="Arial" w:hAnsi="Arial"/>
          <w:sz w:val="19"/>
          <w:szCs w:val="19"/>
          <w:i w:val="1"/>
          <w:iCs w:val="1"/>
          <w:color w:val="auto"/>
        </w:rPr>
      </w:pPr>
    </w:p>
    <w:p>
      <w:pPr>
        <w:jc w:val="both"/>
        <w:ind w:left="20" w:right="480" w:firstLine="8"/>
        <w:spacing w:after="0" w:line="253" w:lineRule="auto"/>
        <w:tabs>
          <w:tab w:leader="none" w:pos="488" w:val="left"/>
        </w:tabs>
        <w:numPr>
          <w:ilvl w:val="0"/>
          <w:numId w:val="35"/>
        </w:numPr>
        <w:rPr>
          <w:rFonts w:ascii="Arial" w:cs="Arial" w:eastAsia="Arial" w:hAnsi="Arial"/>
          <w:sz w:val="22"/>
          <w:szCs w:val="22"/>
          <w:i w:val="1"/>
          <w:iCs w:val="1"/>
          <w:color w:val="auto"/>
        </w:rPr>
      </w:pPr>
      <w:r>
        <w:rPr>
          <w:rFonts w:ascii="Arial" w:cs="Arial" w:eastAsia="Arial" w:hAnsi="Arial"/>
          <w:sz w:val="22"/>
          <w:szCs w:val="22"/>
          <w:i w:val="1"/>
          <w:iCs w:val="1"/>
          <w:color w:val="auto"/>
        </w:rPr>
        <w:t>For any supply of Product by NTP and its Subcontractors during the Term, NTP and its Subcontractors will increase production levels of LEU-based Product so as to make available to Lantheus LEU-based Product, unless otherwise directed by Lantheus, as follows: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8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i w:val="1"/>
                <w:iCs w:val="1"/>
                <w:color w:val="auto"/>
              </w:rPr>
              <w:t>Time Period</w:t>
            </w:r>
          </w:p>
        </w:tc>
        <w:tc>
          <w:tcPr>
            <w:tcW w:w="61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i w:val="1"/>
                <w:iCs w:val="1"/>
                <w:color w:val="auto"/>
                <w:w w:val="89"/>
              </w:rPr>
              <w:t>Average curies per week of LEU-based Product, with a six (6) day</w:t>
            </w:r>
          </w:p>
        </w:tc>
      </w:tr>
      <w:tr>
        <w:trPr>
          <w:trHeight w:val="285"/>
        </w:trPr>
        <w:tc>
          <w:tcPr>
            <w:tcW w:w="2820" w:type="dxa"/>
            <w:vAlign w:val="bottom"/>
            <w:tcBorders>
              <w:left w:val="single" w:sz="8" w:color="00000A"/>
              <w:bottom w:val="single" w:sz="8" w:color="00000A"/>
              <w:right w:val="single" w:sz="8" w:color="00000A"/>
            </w:tcBorders>
          </w:tcPr>
          <w:p>
            <w:pPr>
              <w:spacing w:after="0"/>
              <w:rPr>
                <w:sz w:val="24"/>
                <w:szCs w:val="24"/>
                <w:color w:val="auto"/>
              </w:rPr>
            </w:pPr>
          </w:p>
        </w:tc>
        <w:tc>
          <w:tcPr>
            <w:tcW w:w="61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i w:val="1"/>
                <w:iCs w:val="1"/>
                <w:color w:val="auto"/>
              </w:rPr>
              <w:t>reference, as measured on a quarterly basis</w:t>
            </w: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2013 – December</w:t>
            </w:r>
          </w:p>
        </w:tc>
        <w:tc>
          <w:tcPr>
            <w:tcW w:w="61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At least 900 curies per week</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31, 2013</w:t>
            </w:r>
          </w:p>
        </w:tc>
        <w:tc>
          <w:tcPr>
            <w:tcW w:w="6180" w:type="dxa"/>
            <w:vAlign w:val="bottom"/>
            <w:tcBorders>
              <w:bottom w:val="single" w:sz="8" w:color="00000A"/>
              <w:right w:val="single" w:sz="8" w:color="00000A"/>
            </w:tcBorders>
          </w:tcPr>
          <w:p>
            <w:pPr>
              <w:spacing w:after="0"/>
              <w:rPr>
                <w:sz w:val="24"/>
                <w:szCs w:val="24"/>
                <w:color w:val="auto"/>
              </w:rPr>
            </w:pP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2014 – December</w:t>
            </w:r>
          </w:p>
        </w:tc>
        <w:tc>
          <w:tcPr>
            <w:tcW w:w="61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At least 1,250 curies per week</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31, 2015</w:t>
            </w:r>
          </w:p>
        </w:tc>
        <w:tc>
          <w:tcPr>
            <w:tcW w:w="6180" w:type="dxa"/>
            <w:vAlign w:val="bottom"/>
            <w:tcBorders>
              <w:bottom w:val="single" w:sz="8" w:color="00000A"/>
              <w:right w:val="single" w:sz="8" w:color="00000A"/>
            </w:tcBorders>
          </w:tcPr>
          <w:p>
            <w:pPr>
              <w:spacing w:after="0"/>
              <w:rPr>
                <w:sz w:val="24"/>
                <w:szCs w:val="24"/>
                <w:color w:val="auto"/>
              </w:rPr>
            </w:pPr>
          </w:p>
        </w:tc>
      </w:tr>
      <w:tr>
        <w:trPr>
          <w:trHeight w:val="249"/>
        </w:trPr>
        <w:tc>
          <w:tcPr>
            <w:tcW w:w="28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i w:val="1"/>
                <w:iCs w:val="1"/>
                <w:color w:val="auto"/>
                <w:w w:val="96"/>
              </w:rPr>
              <w:t>January 1, 2016 – December</w:t>
            </w:r>
          </w:p>
        </w:tc>
        <w:tc>
          <w:tcPr>
            <w:tcW w:w="61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i w:val="1"/>
                <w:iCs w:val="1"/>
                <w:color w:val="auto"/>
              </w:rPr>
              <w:t>One hundred percent (100%) of Lantheus’ demand for Product</w:t>
            </w:r>
          </w:p>
        </w:tc>
      </w:tr>
      <w:tr>
        <w:trPr>
          <w:trHeight w:val="285"/>
        </w:trPr>
        <w:tc>
          <w:tcPr>
            <w:tcW w:w="28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i w:val="1"/>
                <w:iCs w:val="1"/>
                <w:color w:val="auto"/>
              </w:rPr>
              <w:t>31, 2017</w:t>
            </w:r>
          </w:p>
        </w:tc>
        <w:tc>
          <w:tcPr>
            <w:tcW w:w="6180" w:type="dxa"/>
            <w:vAlign w:val="bottom"/>
            <w:tcBorders>
              <w:bottom w:val="single" w:sz="8" w:color="00000A"/>
              <w:right w:val="single" w:sz="8" w:color="00000A"/>
            </w:tcBorders>
          </w:tcPr>
          <w:p>
            <w:pPr>
              <w:spacing w:after="0"/>
              <w:rPr>
                <w:sz w:val="24"/>
                <w:szCs w:val="24"/>
                <w:color w:val="auto"/>
              </w:rPr>
            </w:pPr>
          </w:p>
        </w:tc>
      </w:tr>
      <w:tr>
        <w:trPr>
          <w:trHeight w:val="510"/>
        </w:trPr>
        <w:tc>
          <w:tcPr>
            <w:tcW w:w="2820" w:type="dxa"/>
            <w:vAlign w:val="bottom"/>
          </w:tcPr>
          <w:p>
            <w:pPr>
              <w:spacing w:after="0"/>
              <w:rPr>
                <w:sz w:val="24"/>
                <w:szCs w:val="24"/>
                <w:color w:val="auto"/>
              </w:rPr>
            </w:pPr>
          </w:p>
        </w:tc>
        <w:tc>
          <w:tcPr>
            <w:tcW w:w="6180" w:type="dxa"/>
            <w:vAlign w:val="bottom"/>
          </w:tcPr>
          <w:p>
            <w:pPr>
              <w:ind w:left="178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0360"/>
          </w:cols>
          <w:pgMar w:left="1300" w:top="375" w:right="239" w:bottom="1440" w:gutter="0" w:footer="0" w:header="0"/>
        </w:sectPr>
      </w:pPr>
    </w:p>
    <w:bookmarkStart w:id="83" w:name="page84"/>
    <w:bookmarkEnd w:id="83"/>
    <w:p>
      <w:pPr>
        <w:spacing w:after="0" w:line="280" w:lineRule="auto"/>
        <w:rPr>
          <w:sz w:val="20"/>
          <w:szCs w:val="20"/>
          <w:color w:val="auto"/>
        </w:rPr>
      </w:pPr>
      <w:r>
        <w:rPr>
          <w:rFonts w:ascii="Arial" w:cs="Arial" w:eastAsia="Arial" w:hAnsi="Arial"/>
          <w:sz w:val="19"/>
          <w:szCs w:val="19"/>
          <w:i w:val="1"/>
          <w:iCs w:val="1"/>
          <w:color w:val="auto"/>
        </w:rPr>
        <w:t>Lantheus will include the amount of HEU and LEU-based Product that it expects to order from NTP and its Subcontractors in each Forecast. In addition, notwithstanding the production levels set forth above (which shall not be construed as limits on Lantheus’ orders for LEU- based Product), for each calendar year during the period from January 1, 2013 through December 31, 2015, the average weekly volume of LEU-based Product that Lantheus reasonably expects to order from NTP and its Subcontractors in such calendar year (as measured on a quarterly basis during such calendar year, the “LEU Demand”) will be communicated by Lantheus to NTP no later than December 1</w:t>
      </w:r>
      <w:r>
        <w:rPr>
          <w:rFonts w:ascii="Arial" w:cs="Arial" w:eastAsia="Arial" w:hAnsi="Arial"/>
          <w:sz w:val="25"/>
          <w:szCs w:val="25"/>
          <w:i w:val="1"/>
          <w:iCs w:val="1"/>
          <w:color w:val="auto"/>
          <w:vertAlign w:val="superscript"/>
        </w:rPr>
        <w:t>st</w:t>
      </w:r>
      <w:r>
        <w:rPr>
          <w:rFonts w:ascii="Arial" w:cs="Arial" w:eastAsia="Arial" w:hAnsi="Arial"/>
          <w:sz w:val="19"/>
          <w:szCs w:val="19"/>
          <w:i w:val="1"/>
          <w:iCs w:val="1"/>
          <w:color w:val="auto"/>
        </w:rPr>
        <w:t xml:space="preserve"> of the immediately preceding year (e.g., the LEU Demand for each calendar quarter during the period from January 1, 2013 through December 31, 2013 will be communicated to NTP no later than December 1, 2012). It is understood and agreed that the LEU Demand is only an estimate and not a binding forecast for any relevant period, provided, however, that both Parties acting in good faith will use commercially reasonable efforts to achieve the common goal described herein relating to the development of a more robust supply of LEU-based Product by NTP and its Subcontractors and an associated increase in demand from Lantheus. The accuracy of the LEU Demand for the then-current calendar quarter will be reviewed on a monthly basis and where appropriate modified by Lantheus’ Forecast and NTP’s ability to supply. To the extent that the total volume of LEU-based Product available for sale by NTP and its Subcontractors is not sufficient to meet all customer orders for any reason, NTP and its Subcontractors shall supply Lantheus’ orders first and to the greatest extent possible (referred to herein as a “first priority basis”) with LEU-based Product, provided that, during periods of normal supply from January 1, 2013 through December 31, 2015, the amount of LEU-based Product available to Lantheus on a first priority basis will be limited to the LEU Demand for such period (as modified by Lantheus’ Forecasts). For purposes of clarity, the parties acknowledge and agree that, in the event of an outage or supply shortage affecting Lantheus’ supply of Product, any amounts of Product ordered by Lantheus hereunder on a weekly basis (including any amounts of Product in excess of the purchase volume commitments set forth in Section 2.1(b) or the LEU Demand for such period) shall be filled by NTP and its Subcontractors with LEU-based Product on a first priority basis. The parties further acknowledge and agree that NTP’s and its Subcontractors’ supply of LEU-based Product to Lantheus on a first priority basis and the purchase volume commitments set forth in Section 2.1(b) are essential to the purpose of this Agreement (including, but not limited to, the extended term set forth herein). NTP and its Subcontractors shall use their best efforts to supply any amounts of LEU-based Product ordered by Lantheus, with the understanding that NTP’s or its Subcontractors’ ability to supply such LEU-based Product may be affected by their scheduled outages for routine maintenance or unscheduled outages</w:t>
      </w:r>
    </w:p>
    <w:p>
      <w:pPr>
        <w:spacing w:after="0" w:line="200" w:lineRule="exact"/>
        <w:rPr>
          <w:sz w:val="20"/>
          <w:szCs w:val="20"/>
          <w:color w:val="auto"/>
        </w:rPr>
      </w:pPr>
    </w:p>
    <w:p>
      <w:pPr>
        <w:spacing w:after="0" w:line="26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340"/>
          </w:cols>
          <w:pgMar w:left="1320" w:top="631" w:right="239" w:bottom="1440" w:gutter="0" w:footer="0" w:header="0"/>
        </w:sectPr>
      </w:pPr>
    </w:p>
    <w:bookmarkStart w:id="84" w:name="page85"/>
    <w:bookmarkEnd w:id="84"/>
    <w:p>
      <w:pPr>
        <w:ind w:right="20"/>
        <w:spacing w:after="0" w:line="294" w:lineRule="auto"/>
        <w:rPr>
          <w:sz w:val="20"/>
          <w:szCs w:val="20"/>
          <w:color w:val="auto"/>
        </w:rPr>
      </w:pPr>
      <w:r>
        <w:rPr>
          <w:rFonts w:ascii="Arial" w:cs="Arial" w:eastAsia="Arial" w:hAnsi="Arial"/>
          <w:sz w:val="19"/>
          <w:szCs w:val="19"/>
          <w:i w:val="1"/>
          <w:iCs w:val="1"/>
          <w:color w:val="auto"/>
        </w:rPr>
        <w:t>or failures of production lines. The parties will work together in good faith to establish supply schedules for the production and supply of LEU-based Product from NTP and its Subcontractors based on the market demand for the manufacture and supply of Lantheus’ Technetium-99m generators. NTP and its Subcontractors will also ensure the segregation of HEU and LEU-based Product when a mix of such Product is delivered to Lantheus in one aggregate shipment. The parties acknowledge and agree that the levels of LEU-based Product set forth in this Section 2.1(d) shall not be construed as a “take-or-pay” or minimum volume requirement that otherwise modifies Section 2.1(a) hereof.</w:t>
      </w:r>
    </w:p>
    <w:p>
      <w:pPr>
        <w:spacing w:after="0" w:line="190" w:lineRule="exact"/>
        <w:rPr>
          <w:sz w:val="20"/>
          <w:szCs w:val="20"/>
          <w:color w:val="auto"/>
        </w:rPr>
      </w:pPr>
    </w:p>
    <w:p>
      <w:pPr>
        <w:ind w:firstLine="8"/>
        <w:spacing w:after="0" w:line="258" w:lineRule="auto"/>
        <w:tabs>
          <w:tab w:leader="none" w:pos="456" w:val="left"/>
        </w:tabs>
        <w:numPr>
          <w:ilvl w:val="0"/>
          <w:numId w:val="36"/>
        </w:numPr>
        <w:rPr>
          <w:rFonts w:ascii="Arial" w:cs="Arial" w:eastAsia="Arial" w:hAnsi="Arial"/>
          <w:sz w:val="21"/>
          <w:szCs w:val="21"/>
          <w:i w:val="1"/>
          <w:iCs w:val="1"/>
          <w:color w:val="auto"/>
        </w:rPr>
      </w:pPr>
      <w:r>
        <w:rPr>
          <w:rFonts w:ascii="Arial" w:cs="Arial" w:eastAsia="Arial" w:hAnsi="Arial"/>
          <w:sz w:val="21"/>
          <w:szCs w:val="21"/>
          <w:i w:val="1"/>
          <w:iCs w:val="1"/>
          <w:color w:val="auto"/>
        </w:rPr>
        <w:t>In the case of scheduled or unscheduled outages or production line failures for whatever reason (and for Events of Force Majeure (as hereinafter defined)) affecting NTP or its Subcontractors, Lantheus will receive, in addition to any available supply of LEU-based Product, a share of HEU-based Product available that is not less than that which is directly proportional to its average share of the total weekly purchasing (averaged over the preceding three (3) months) from NTP and its Subcontractors. NTP and its Subcontractors will also use their best efforts to make available any additional volumes of Product requested by Lantheus and, provided that Lantheus has satisfied its purchase volume commitments set forth in Section 2.1(b) for the immediately preceding twelve (12) month period and Lantheus is the largest customer of NTP and its Subcontractors during such period (as calculated consistent with calibrations as set out in Section 2.5), shall provide Lantheus with a right to purchase any Product available for sale by NTP or its Subcontractors on a first priority basis.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 clarity and as an example:</w:t>
      </w:r>
    </w:p>
    <w:p>
      <w:pPr>
        <w:spacing w:after="0" w:line="260"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i w:val="1"/>
          <w:iCs w:val="1"/>
          <w:color w:val="auto"/>
        </w:rPr>
        <w:t>If NTP or its Subcontractors experiences a production line failure affecting the supply of Product hereunder, and NTP and its Subcontractors sold an average weekly volume of 2,000 curies of Product, and Lantheus purchased from NTP an average weekly volume of 1,000 curies of Product, in the preceding three months (each as measured using the calibration as set forth in Section 2.5), then, in addition to any available supply of LEU-based Product, Lantheus would be entitled to receive at least fifty percent (50%) of the volume of HEU-based Product available for sale by NTP and its Subcontractors.</w:t>
      </w:r>
    </w:p>
    <w:p>
      <w:pPr>
        <w:spacing w:after="0" w:line="234" w:lineRule="exact"/>
        <w:rPr>
          <w:sz w:val="20"/>
          <w:szCs w:val="20"/>
          <w:color w:val="auto"/>
        </w:rPr>
      </w:pPr>
    </w:p>
    <w:p>
      <w:pPr>
        <w:ind w:right="180" w:firstLine="8"/>
        <w:spacing w:after="0" w:line="302" w:lineRule="auto"/>
        <w:tabs>
          <w:tab w:leader="none" w:pos="420" w:val="left"/>
        </w:tabs>
        <w:numPr>
          <w:ilvl w:val="0"/>
          <w:numId w:val="37"/>
        </w:numPr>
        <w:rPr>
          <w:rFonts w:ascii="Arial" w:cs="Arial" w:eastAsia="Arial" w:hAnsi="Arial"/>
          <w:sz w:val="19"/>
          <w:szCs w:val="19"/>
          <w:i w:val="1"/>
          <w:iCs w:val="1"/>
          <w:color w:val="auto"/>
        </w:rPr>
      </w:pPr>
      <w:r>
        <w:rPr>
          <w:rFonts w:ascii="Arial" w:cs="Arial" w:eastAsia="Arial" w:hAnsi="Arial"/>
          <w:sz w:val="19"/>
          <w:szCs w:val="19"/>
          <w:i w:val="1"/>
          <w:iCs w:val="1"/>
          <w:color w:val="auto"/>
        </w:rPr>
        <w:t>In situations where (i) a global supply shortage arises due to the planned or unplanned shutdown of a reactor or Mo-99 processing facility controlled by third party suppliers other than NTP or its Subcontractors or (ii) Lantheus’ supply of Molybdenum-99 from third party suppliers other than NTP or its Subcontractors is adversely affected for whatever reason (including, but not limited to, scheduled or unscheduled reactor outages that</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340"/>
          </w:cols>
          <w:pgMar w:left="1320" w:top="375" w:right="239" w:bottom="1440" w:gutter="0" w:footer="0" w:header="0"/>
        </w:sectPr>
      </w:pPr>
    </w:p>
    <w:bookmarkStart w:id="85" w:name="page86"/>
    <w:bookmarkEnd w:id="85"/>
    <w:p>
      <w:pPr>
        <w:ind w:right="40"/>
        <w:spacing w:after="0" w:line="247" w:lineRule="auto"/>
        <w:rPr>
          <w:sz w:val="20"/>
          <w:szCs w:val="20"/>
          <w:color w:val="auto"/>
        </w:rPr>
      </w:pPr>
      <w:r>
        <w:rPr>
          <w:rFonts w:ascii="Arial" w:cs="Arial" w:eastAsia="Arial" w:hAnsi="Arial"/>
          <w:sz w:val="22"/>
          <w:szCs w:val="22"/>
          <w:i w:val="1"/>
          <w:iCs w:val="1"/>
          <w:color w:val="auto"/>
        </w:rPr>
        <w:t>result in shortages from such third party suppliers), NTP and its Subcontractors will supply routine orders for Product placed by Lantheus. NTP and its Subcontractors will also use their best efforts to make available any additional volumes of Product requested by Lantheus and, provided that, in each case, Lantheus has satisfied its purchase volume commitments set forth in Section 2.1(b) for the immediately preceding twelve (12) month period, shall provide Lantheus with a right of first refusal to purchase any Product available for sale by NTP or its Subcontractors on a first priority basis.</w:t>
      </w:r>
    </w:p>
    <w:p>
      <w:pPr>
        <w:spacing w:after="0" w:line="234" w:lineRule="exact"/>
        <w:rPr>
          <w:sz w:val="20"/>
          <w:szCs w:val="20"/>
          <w:color w:val="auto"/>
        </w:rPr>
      </w:pPr>
    </w:p>
    <w:p>
      <w:pPr>
        <w:ind w:right="40" w:firstLine="8"/>
        <w:spacing w:after="0" w:line="286" w:lineRule="auto"/>
        <w:tabs>
          <w:tab w:leader="none" w:pos="468" w:val="left"/>
        </w:tabs>
        <w:numPr>
          <w:ilvl w:val="0"/>
          <w:numId w:val="38"/>
        </w:numPr>
        <w:rPr>
          <w:rFonts w:ascii="Arial" w:cs="Arial" w:eastAsia="Arial" w:hAnsi="Arial"/>
          <w:sz w:val="19"/>
          <w:szCs w:val="19"/>
          <w:i w:val="1"/>
          <w:iCs w:val="1"/>
          <w:color w:val="auto"/>
        </w:rPr>
      </w:pPr>
      <w:r>
        <w:rPr>
          <w:rFonts w:ascii="Arial" w:cs="Arial" w:eastAsia="Arial" w:hAnsi="Arial"/>
          <w:sz w:val="19"/>
          <w:szCs w:val="19"/>
          <w:i w:val="1"/>
          <w:iCs w:val="1"/>
          <w:color w:val="auto"/>
        </w:rPr>
        <w:t>The NRU Reactor located in Chalk River, Ontario is required by the Canadian Nuclear Safety Commission within the terms of the operating license extension granted through October 31, 2016 to undergo extended shut-downs of at least one month in duration on an annual basis for inspection and maintenance. NTP and its Subcontractors share the objective of providing Lantheus with all or substantially all of Lantheus’ total requirements of Product during the NRU Reactor’s currently scheduled shutdown period in 2013, provided that Lantheus has satisfied its purchase volume commitments for the immediately preceding twelve (12) month period, and NTP and its Subcontractors will use their best efforts to provide Lantheus with all or substantially all of its total requirements of Product during any NRU Reactor’s shutdown periods in each year thereafter, provided that, in each case, Lantheus has satisfied its purchase volume commitments set forth in Section 2.1(b) for the immediately preceding calendar year. In support of these efforts, the parties will work together in good faith to identify strategies to increase NTP’s or its Subcontractors’ available production capacity for Product ordered by Lantheus during the NRU Reactor’s scheduled shutdown periods commencing in 2014 (or any similar outages or supply shortages), including, but not limited to, facility enhancements or improvements to be made by NTP or its Subcontractors, provided that, in each case, Lantheus has satisfied its purchase volume commitments set forth in Section 2.1(b) for the immediately preceding twelve (12) month period.</w:t>
      </w:r>
    </w:p>
    <w:p>
      <w:pPr>
        <w:spacing w:after="0" w:line="203" w:lineRule="exact"/>
        <w:rPr>
          <w:rFonts w:ascii="Arial" w:cs="Arial" w:eastAsia="Arial" w:hAnsi="Arial"/>
          <w:sz w:val="19"/>
          <w:szCs w:val="19"/>
          <w:i w:val="1"/>
          <w:iCs w:val="1"/>
          <w:color w:val="auto"/>
        </w:rPr>
      </w:pPr>
    </w:p>
    <w:p>
      <w:pPr>
        <w:ind w:firstLine="8"/>
        <w:spacing w:after="0" w:line="292" w:lineRule="auto"/>
        <w:tabs>
          <w:tab w:leader="none" w:pos="468" w:val="left"/>
        </w:tabs>
        <w:numPr>
          <w:ilvl w:val="0"/>
          <w:numId w:val="38"/>
        </w:numPr>
        <w:rPr>
          <w:rFonts w:ascii="Arial" w:cs="Arial" w:eastAsia="Arial" w:hAnsi="Arial"/>
          <w:sz w:val="19"/>
          <w:szCs w:val="19"/>
          <w:i w:val="1"/>
          <w:iCs w:val="1"/>
          <w:color w:val="auto"/>
        </w:rPr>
      </w:pPr>
      <w:r>
        <w:rPr>
          <w:rFonts w:ascii="Arial" w:cs="Arial" w:eastAsia="Arial" w:hAnsi="Arial"/>
          <w:sz w:val="19"/>
          <w:szCs w:val="19"/>
          <w:i w:val="1"/>
          <w:iCs w:val="1"/>
          <w:color w:val="auto"/>
        </w:rPr>
        <w:t>NTP and its Subcontractors will enter into a back-up supply agreement with IRE to support the obligations of NTP and its Subcontractors to Lantheus hereunder. Such agreement is expected to be in place by December 31, 2012 and in a form reasonably acceptable to Lantheus. In addition, NTP has established and shall maintain relationships with air carriers for the Lantheus route such that the probability of a Lantheus shipment being refused by the carrier shall be highly improbable. NTP shall liaise (via the Account Manager at NTP) with its Subcontractors, taking into account the reactor production and maintenance schedules of each facility, and supply Lantheus thirty-five (35) days in advance of the first delivery of a month, the supply schedule for the following month detailing clearly which</w:t>
      </w:r>
    </w:p>
    <w:p>
      <w:pPr>
        <w:spacing w:after="0" w:line="17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340"/>
          </w:cols>
          <w:pgMar w:left="1320" w:top="375" w:right="239" w:bottom="1440" w:gutter="0" w:footer="0" w:header="0"/>
        </w:sectPr>
      </w:pPr>
    </w:p>
    <w:bookmarkStart w:id="86" w:name="page87"/>
    <w:bookmarkEnd w:id="86"/>
    <w:p>
      <w:pPr>
        <w:ind w:left="580" w:right="20"/>
        <w:spacing w:after="0" w:line="294" w:lineRule="auto"/>
        <w:rPr>
          <w:sz w:val="20"/>
          <w:szCs w:val="20"/>
          <w:color w:val="auto"/>
        </w:rPr>
      </w:pPr>
      <w:r>
        <w:rPr>
          <w:rFonts w:ascii="Arial" w:cs="Arial" w:eastAsia="Arial" w:hAnsi="Arial"/>
          <w:sz w:val="19"/>
          <w:szCs w:val="19"/>
          <w:i w:val="1"/>
          <w:iCs w:val="1"/>
          <w:color w:val="auto"/>
        </w:rPr>
        <w:t>supplier (NTP or a Subcontractor) will supply such delivery. For clarity and as an example, NTP will provide Lantheus the March 2010 supply schedule on 27 January 2010. This supply schedule will be binding on NTP and its Subcontractors and will be used by Lantheus to register each shipment with applicable U.S. governmental authorities as dictated by U.S. regulations. If the airport of delivery is JFK, then Product will be available for pick-up by Lantheus no later than 12:00 Noon. If the airport of delivery is BOS, then Product will be available for pick-up by Lantheus no later than 3:00PM. Pick-up time for any other delivery location will be mutually agreed upon.</w:t>
      </w:r>
    </w:p>
    <w:p>
      <w:pPr>
        <w:spacing w:after="0" w:line="190" w:lineRule="exact"/>
        <w:rPr>
          <w:sz w:val="20"/>
          <w:szCs w:val="20"/>
          <w:color w:val="auto"/>
        </w:rPr>
      </w:pPr>
    </w:p>
    <w:p>
      <w:pPr>
        <w:ind w:left="580" w:firstLine="8"/>
        <w:spacing w:after="0" w:line="286" w:lineRule="auto"/>
        <w:tabs>
          <w:tab w:leader="none" w:pos="1000" w:val="left"/>
        </w:tabs>
        <w:numPr>
          <w:ilvl w:val="0"/>
          <w:numId w:val="39"/>
        </w:numPr>
        <w:rPr>
          <w:rFonts w:ascii="Arial" w:cs="Arial" w:eastAsia="Arial" w:hAnsi="Arial"/>
          <w:sz w:val="19"/>
          <w:szCs w:val="19"/>
          <w:i w:val="1"/>
          <w:iCs w:val="1"/>
          <w:color w:val="auto"/>
        </w:rPr>
      </w:pPr>
      <w:r>
        <w:rPr>
          <w:rFonts w:ascii="Arial" w:cs="Arial" w:eastAsia="Arial" w:hAnsi="Arial"/>
          <w:sz w:val="19"/>
          <w:szCs w:val="19"/>
          <w:i w:val="1"/>
          <w:iCs w:val="1"/>
          <w:color w:val="auto"/>
        </w:rPr>
        <w:t>Notwithstanding the foregoing, NTP and its Subcontractors hereby acknowledge and agree that the diversification of supply provided by NTP through its supply and back-up supply arrangements with its Subcontractors is essential to the purpose of this Agreement. NTP and its Subcontractors hereby agree to use their best efforts to avoid any supply disruptions through an increased cooperation with respect to planned inspection and maintenance activities or any other activities within the control of NTP or its Subcontractors that are reasonably likely to result in an outage or supply shortage for Lantheus (e.g., the planned shutdown of two reactors or processing facilities at any one time). In addition, NTP and its Subcontractors shall give Lantheus prompt notice of any impending or threatened events that could reasonably result in a supply shortage or failure and shall cooperate fully with Lantheus regarding any plans to avoid or mitigate any disruption in the supply of Product to Lantheus. Without limiting the rights of Lantheus elsewhere in this Agreement, if at any time during the term of this Agreement the consortium of supply partners changes or NTP or its Subcontractors does not or cannot deliver the quantities specified in this Section 2.1 on a weekly basis in a reliable manner, the parties will make a good faith effort to renegotiate the terms of this Agreement. In the event the parties are unable to agree on modification of this Agreement within a reasonable period of time (not to exceed sixty (60) days), in addition to any other remedies that it might have, Lantheus shall have the sole right, after giving NTP thirty (30) days prior written notice, to terminate this Agreement.</w:t>
      </w:r>
    </w:p>
    <w:p>
      <w:pPr>
        <w:spacing w:after="0" w:line="200" w:lineRule="exact"/>
        <w:rPr>
          <w:sz w:val="20"/>
          <w:szCs w:val="20"/>
          <w:color w:val="auto"/>
        </w:rPr>
      </w:pPr>
    </w:p>
    <w:p>
      <w:pPr>
        <w:spacing w:after="0" w:line="260" w:lineRule="exact"/>
        <w:rPr>
          <w:sz w:val="20"/>
          <w:szCs w:val="20"/>
          <w:color w:val="auto"/>
        </w:rPr>
      </w:pPr>
    </w:p>
    <w:p>
      <w:pPr>
        <w:ind w:left="480" w:right="180" w:hanging="485"/>
        <w:spacing w:after="0" w:line="263" w:lineRule="auto"/>
        <w:tabs>
          <w:tab w:leader="none" w:pos="460" w:val="left"/>
        </w:tabs>
        <w:rPr>
          <w:sz w:val="20"/>
          <w:szCs w:val="20"/>
          <w:color w:val="auto"/>
        </w:rPr>
      </w:pPr>
      <w:r>
        <w:rPr>
          <w:rFonts w:ascii="Arial" w:cs="Arial" w:eastAsia="Arial" w:hAnsi="Arial"/>
          <w:sz w:val="22"/>
          <w:szCs w:val="22"/>
          <w:color w:val="auto"/>
        </w:rPr>
        <w:t>2.2</w:t>
        <w:tab/>
        <w:t>Section 5.1 of the Agreement is hereby amended by deleting in its entirety said Section 5.1 and replacing therewith the following:</w:t>
      </w:r>
    </w:p>
    <w:p>
      <w:pPr>
        <w:spacing w:after="0" w:line="215"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22"/>
          <w:szCs w:val="22"/>
          <w:i w:val="1"/>
          <w:iCs w:val="1"/>
          <w:color w:val="auto"/>
        </w:rPr>
        <w:t>5.1</w:t>
      </w:r>
      <w:r>
        <w:rPr>
          <w:sz w:val="20"/>
          <w:szCs w:val="20"/>
          <w:color w:val="auto"/>
        </w:rPr>
        <w:tab/>
      </w:r>
      <w:r>
        <w:rPr>
          <w:rFonts w:ascii="Arial" w:cs="Arial" w:eastAsia="Arial" w:hAnsi="Arial"/>
          <w:sz w:val="19"/>
          <w:szCs w:val="19"/>
          <w:i w:val="1"/>
          <w:iCs w:val="1"/>
          <w:color w:val="auto"/>
        </w:rPr>
        <w:t>The price payable by Lantheus for Product shall be as follows:</w:t>
      </w:r>
    </w:p>
    <w:p>
      <w:pPr>
        <w:spacing w:after="0" w:line="260" w:lineRule="exact"/>
        <w:rPr>
          <w:sz w:val="20"/>
          <w:szCs w:val="20"/>
          <w:color w:val="auto"/>
        </w:rPr>
      </w:pPr>
    </w:p>
    <w:p>
      <w:pPr>
        <w:ind w:left="1120" w:right="40" w:firstLine="9"/>
        <w:spacing w:after="0" w:line="250" w:lineRule="auto"/>
        <w:tabs>
          <w:tab w:leader="none" w:pos="1588" w:val="left"/>
        </w:tabs>
        <w:numPr>
          <w:ilvl w:val="0"/>
          <w:numId w:val="40"/>
        </w:numPr>
        <w:rPr>
          <w:rFonts w:ascii="Arial" w:cs="Arial" w:eastAsia="Arial" w:hAnsi="Arial"/>
          <w:sz w:val="22"/>
          <w:szCs w:val="22"/>
          <w:i w:val="1"/>
          <w:iCs w:val="1"/>
          <w:color w:val="auto"/>
        </w:rPr>
      </w:pPr>
      <w:r>
        <w:rPr>
          <w:rFonts w:ascii="Arial" w:cs="Arial" w:eastAsia="Arial" w:hAnsi="Arial"/>
          <w:sz w:val="22"/>
          <w:szCs w:val="22"/>
          <w:i w:val="1"/>
          <w:iCs w:val="1"/>
          <w:color w:val="auto"/>
        </w:rPr>
        <w:t>Commencing October 1, 2012 and continuing through December 31, 2012, the unit price of Product shall be four hundred and ninety fixed US dollars (US$490) per Curie at calibrated date and time for the first five hundred (500) curies delivered per week and three hundred and eighty four fixed US dollars (US$384) per Curie at</w:t>
      </w:r>
    </w:p>
    <w:p>
      <w:pPr>
        <w:spacing w:after="0" w:line="21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20"/>
          </w:cols>
          <w:pgMar w:left="740" w:top="375" w:right="239" w:bottom="1440" w:gutter="0" w:footer="0" w:header="0"/>
        </w:sectPr>
      </w:pPr>
    </w:p>
    <w:bookmarkStart w:id="87" w:name="page88"/>
    <w:bookmarkEnd w:id="87"/>
    <w:p>
      <w:pPr>
        <w:ind w:left="420" w:right="380"/>
        <w:spacing w:after="0" w:line="263" w:lineRule="auto"/>
        <w:rPr>
          <w:sz w:val="20"/>
          <w:szCs w:val="20"/>
          <w:color w:val="auto"/>
        </w:rPr>
      </w:pPr>
      <w:r>
        <w:rPr>
          <w:rFonts w:ascii="Arial" w:cs="Arial" w:eastAsia="Arial" w:hAnsi="Arial"/>
          <w:sz w:val="22"/>
          <w:szCs w:val="22"/>
          <w:i w:val="1"/>
          <w:iCs w:val="1"/>
          <w:color w:val="auto"/>
        </w:rPr>
        <w:t>calibrated date and time for all curies in excess of the first five hundred (500) curies delivered per week. The calibration date and time shall be in accordance with Section 2.5.</w:t>
      </w:r>
    </w:p>
    <w:p>
      <w:pPr>
        <w:spacing w:after="0" w:line="215" w:lineRule="exact"/>
        <w:rPr>
          <w:sz w:val="20"/>
          <w:szCs w:val="20"/>
          <w:color w:val="auto"/>
        </w:rPr>
      </w:pPr>
    </w:p>
    <w:p>
      <w:pPr>
        <w:ind w:left="420" w:right="180" w:firstLine="9"/>
        <w:spacing w:after="0" w:line="263" w:lineRule="auto"/>
        <w:tabs>
          <w:tab w:leader="none" w:pos="888" w:val="left"/>
        </w:tabs>
        <w:numPr>
          <w:ilvl w:val="0"/>
          <w:numId w:val="41"/>
        </w:numPr>
        <w:rPr>
          <w:rFonts w:ascii="Arial" w:cs="Arial" w:eastAsia="Arial" w:hAnsi="Arial"/>
          <w:sz w:val="22"/>
          <w:szCs w:val="22"/>
          <w:i w:val="1"/>
          <w:iCs w:val="1"/>
          <w:color w:val="auto"/>
        </w:rPr>
      </w:pPr>
      <w:r>
        <w:rPr>
          <w:rFonts w:ascii="Arial" w:cs="Arial" w:eastAsia="Arial" w:hAnsi="Arial"/>
          <w:sz w:val="22"/>
          <w:szCs w:val="22"/>
          <w:i w:val="1"/>
          <w:iCs w:val="1"/>
          <w:color w:val="auto"/>
        </w:rPr>
        <w:t>Commencing January 1, 2013 and continuing through December 31, 2017, the unit price of Product shall be as follows:</w:t>
      </w:r>
    </w:p>
    <w:p>
      <w:pPr>
        <w:spacing w:after="0" w:line="215" w:lineRule="exact"/>
        <w:rPr>
          <w:rFonts w:ascii="Arial" w:cs="Arial" w:eastAsia="Arial" w:hAnsi="Arial"/>
          <w:sz w:val="22"/>
          <w:szCs w:val="22"/>
          <w:i w:val="1"/>
          <w:iCs w:val="1"/>
          <w:color w:val="auto"/>
        </w:rPr>
      </w:pPr>
    </w:p>
    <w:p>
      <w:pPr>
        <w:ind w:left="420" w:right="100" w:firstLine="2278"/>
        <w:spacing w:after="0" w:line="263" w:lineRule="auto"/>
        <w:tabs>
          <w:tab w:leader="none" w:pos="3109" w:val="left"/>
        </w:tabs>
        <w:numPr>
          <w:ilvl w:val="1"/>
          <w:numId w:val="41"/>
        </w:numPr>
        <w:rPr>
          <w:rFonts w:ascii="Arial" w:cs="Arial" w:eastAsia="Arial" w:hAnsi="Arial"/>
          <w:sz w:val="22"/>
          <w:szCs w:val="22"/>
          <w:i w:val="1"/>
          <w:iCs w:val="1"/>
          <w:color w:val="auto"/>
        </w:rPr>
      </w:pPr>
      <w:r>
        <w:rPr>
          <w:rFonts w:ascii="Arial" w:cs="Arial" w:eastAsia="Arial" w:hAnsi="Arial"/>
          <w:sz w:val="22"/>
          <w:szCs w:val="22"/>
          <w:i w:val="1"/>
          <w:iCs w:val="1"/>
          <w:color w:val="auto"/>
        </w:rPr>
        <w:t>The unit price of Product for the period from January 1, 2013 through December 31, 2013 shall be US$475 per Curie;</w:t>
      </w:r>
    </w:p>
    <w:p>
      <w:pPr>
        <w:spacing w:after="0" w:line="215" w:lineRule="exact"/>
        <w:rPr>
          <w:rFonts w:ascii="Arial" w:cs="Arial" w:eastAsia="Arial" w:hAnsi="Arial"/>
          <w:sz w:val="22"/>
          <w:szCs w:val="22"/>
          <w:i w:val="1"/>
          <w:iCs w:val="1"/>
          <w:color w:val="auto"/>
        </w:rPr>
      </w:pPr>
    </w:p>
    <w:p>
      <w:pPr>
        <w:ind w:left="420" w:right="40" w:firstLine="2278"/>
        <w:spacing w:after="0" w:line="263" w:lineRule="auto"/>
        <w:tabs>
          <w:tab w:leader="none" w:pos="3169" w:val="left"/>
        </w:tabs>
        <w:numPr>
          <w:ilvl w:val="1"/>
          <w:numId w:val="41"/>
        </w:numPr>
        <w:rPr>
          <w:rFonts w:ascii="Arial" w:cs="Arial" w:eastAsia="Arial" w:hAnsi="Arial"/>
          <w:sz w:val="22"/>
          <w:szCs w:val="22"/>
          <w:i w:val="1"/>
          <w:iCs w:val="1"/>
          <w:color w:val="auto"/>
        </w:rPr>
      </w:pPr>
      <w:r>
        <w:rPr>
          <w:rFonts w:ascii="Arial" w:cs="Arial" w:eastAsia="Arial" w:hAnsi="Arial"/>
          <w:sz w:val="22"/>
          <w:szCs w:val="22"/>
          <w:i w:val="1"/>
          <w:iCs w:val="1"/>
          <w:color w:val="auto"/>
        </w:rPr>
        <w:t>The unit price of Product for the period from January 1, 2014 through December 31, 2014 shall be US$494 per Curie;</w:t>
      </w:r>
    </w:p>
    <w:p>
      <w:pPr>
        <w:spacing w:after="0" w:line="215" w:lineRule="exact"/>
        <w:rPr>
          <w:rFonts w:ascii="Arial" w:cs="Arial" w:eastAsia="Arial" w:hAnsi="Arial"/>
          <w:sz w:val="22"/>
          <w:szCs w:val="22"/>
          <w:i w:val="1"/>
          <w:iCs w:val="1"/>
          <w:color w:val="auto"/>
        </w:rPr>
      </w:pPr>
    </w:p>
    <w:p>
      <w:pPr>
        <w:ind w:left="420" w:right="200" w:firstLine="2278"/>
        <w:spacing w:after="0" w:line="297" w:lineRule="auto"/>
        <w:tabs>
          <w:tab w:leader="none" w:pos="3229" w:val="left"/>
        </w:tabs>
        <w:numPr>
          <w:ilvl w:val="1"/>
          <w:numId w:val="41"/>
        </w:numPr>
        <w:rPr>
          <w:rFonts w:ascii="Arial" w:cs="Arial" w:eastAsia="Arial" w:hAnsi="Arial"/>
          <w:sz w:val="19"/>
          <w:szCs w:val="19"/>
          <w:i w:val="1"/>
          <w:iCs w:val="1"/>
          <w:color w:val="auto"/>
        </w:rPr>
      </w:pPr>
      <w:r>
        <w:rPr>
          <w:rFonts w:ascii="Arial" w:cs="Arial" w:eastAsia="Arial" w:hAnsi="Arial"/>
          <w:sz w:val="19"/>
          <w:szCs w:val="19"/>
          <w:i w:val="1"/>
          <w:iCs w:val="1"/>
          <w:color w:val="auto"/>
        </w:rPr>
        <w:t>The unit price of Product for the period from January 1, 2015 through December 31, 2015 shall be increased from the prior year’s pricing by an amount equal to the lesser of (i) four percent (4%) and (ii) one half (1/2) of the annual percentage increase, if any, for the most recent twelve-month period for which figures are available in the South African Producer Price Index published by Statistics South Africa or, if the same is no longer published, the successor index that is most similar thereto (the “PPI”);</w:t>
      </w:r>
    </w:p>
    <w:p>
      <w:pPr>
        <w:spacing w:after="0" w:line="187" w:lineRule="exact"/>
        <w:rPr>
          <w:rFonts w:ascii="Arial" w:cs="Arial" w:eastAsia="Arial" w:hAnsi="Arial"/>
          <w:sz w:val="19"/>
          <w:szCs w:val="19"/>
          <w:i w:val="1"/>
          <w:iCs w:val="1"/>
          <w:color w:val="auto"/>
        </w:rPr>
      </w:pPr>
    </w:p>
    <w:p>
      <w:pPr>
        <w:ind w:left="420" w:right="240" w:firstLine="2278"/>
        <w:spacing w:after="0" w:line="265" w:lineRule="auto"/>
        <w:tabs>
          <w:tab w:leader="none" w:pos="3205" w:val="left"/>
        </w:tabs>
        <w:numPr>
          <w:ilvl w:val="1"/>
          <w:numId w:val="41"/>
        </w:numPr>
        <w:rPr>
          <w:rFonts w:ascii="Arial" w:cs="Arial" w:eastAsia="Arial" w:hAnsi="Arial"/>
          <w:sz w:val="21"/>
          <w:szCs w:val="21"/>
          <w:i w:val="1"/>
          <w:iCs w:val="1"/>
          <w:color w:val="auto"/>
        </w:rPr>
      </w:pPr>
      <w:r>
        <w:rPr>
          <w:rFonts w:ascii="Arial" w:cs="Arial" w:eastAsia="Arial" w:hAnsi="Arial"/>
          <w:sz w:val="21"/>
          <w:szCs w:val="21"/>
          <w:i w:val="1"/>
          <w:iCs w:val="1"/>
          <w:color w:val="auto"/>
        </w:rPr>
        <w:t>The unit price of Product for the period from January 1, 2016 through December 31, 2016 shall be increased from the prior year’s pricing by an amount equal to the lesser of (i) two and one-half percent (2.5%) and (ii) one quarter (1/4) of the annual percentage increase, if any, for the most recent twelve-month period for which figures are available in the PPI; and</w:t>
      </w:r>
    </w:p>
    <w:p>
      <w:pPr>
        <w:spacing w:after="0" w:line="216" w:lineRule="exact"/>
        <w:rPr>
          <w:rFonts w:ascii="Arial" w:cs="Arial" w:eastAsia="Arial" w:hAnsi="Arial"/>
          <w:sz w:val="21"/>
          <w:szCs w:val="21"/>
          <w:i w:val="1"/>
          <w:iCs w:val="1"/>
          <w:color w:val="auto"/>
        </w:rPr>
      </w:pPr>
    </w:p>
    <w:p>
      <w:pPr>
        <w:jc w:val="both"/>
        <w:ind w:left="420" w:right="40" w:firstLine="2278"/>
        <w:spacing w:after="0" w:line="250" w:lineRule="auto"/>
        <w:tabs>
          <w:tab w:leader="none" w:pos="3145" w:val="left"/>
        </w:tabs>
        <w:numPr>
          <w:ilvl w:val="1"/>
          <w:numId w:val="41"/>
        </w:numPr>
        <w:rPr>
          <w:rFonts w:ascii="Arial" w:cs="Arial" w:eastAsia="Arial" w:hAnsi="Arial"/>
          <w:sz w:val="22"/>
          <w:szCs w:val="22"/>
          <w:i w:val="1"/>
          <w:iCs w:val="1"/>
          <w:color w:val="auto"/>
        </w:rPr>
      </w:pPr>
      <w:r>
        <w:rPr>
          <w:rFonts w:ascii="Arial" w:cs="Arial" w:eastAsia="Arial" w:hAnsi="Arial"/>
          <w:sz w:val="22"/>
          <w:szCs w:val="22"/>
          <w:i w:val="1"/>
          <w:iCs w:val="1"/>
          <w:color w:val="auto"/>
        </w:rPr>
        <w:t>The unit price of Product for the period from January 1, 2017 through December 31, 2017 shall be increased from the prior year’s pricing by an amount equal to the lesser of (i) two and one-half percent (2.5%) and (ii) one quarter (1/4) of the annual percentage increase, if any, for the most recent twelve-month period for which figures are available in the PPI.</w:t>
      </w:r>
    </w:p>
    <w:p>
      <w:pPr>
        <w:spacing w:after="0" w:line="229" w:lineRule="exact"/>
        <w:rPr>
          <w:sz w:val="20"/>
          <w:szCs w:val="20"/>
          <w:color w:val="auto"/>
        </w:rPr>
      </w:pPr>
    </w:p>
    <w:p>
      <w:pPr>
        <w:ind w:left="420" w:right="100"/>
        <w:spacing w:after="0" w:line="253" w:lineRule="auto"/>
        <w:rPr>
          <w:sz w:val="20"/>
          <w:szCs w:val="20"/>
          <w:color w:val="auto"/>
        </w:rPr>
      </w:pPr>
      <w:r>
        <w:rPr>
          <w:rFonts w:ascii="Arial" w:cs="Arial" w:eastAsia="Arial" w:hAnsi="Arial"/>
          <w:sz w:val="22"/>
          <w:szCs w:val="22"/>
          <w:i w:val="1"/>
          <w:iCs w:val="1"/>
          <w:color w:val="auto"/>
        </w:rPr>
        <w:t>Pricing for the period from January 1, 2015 through December 31, 2015 and each year thereafter will be communicated to Lantheus by NTP no later than October 1st of the previous year. The calibration date and time shall be in accordance with Section 2.5.</w:t>
      </w:r>
    </w:p>
    <w:p>
      <w:pPr>
        <w:spacing w:after="0" w:line="226" w:lineRule="exact"/>
        <w:rPr>
          <w:sz w:val="20"/>
          <w:szCs w:val="20"/>
          <w:color w:val="auto"/>
        </w:rPr>
      </w:pPr>
    </w:p>
    <w:p>
      <w:pPr>
        <w:ind w:left="420" w:firstLine="9"/>
        <w:spacing w:after="0" w:line="253" w:lineRule="auto"/>
        <w:tabs>
          <w:tab w:leader="none" w:pos="876" w:val="left"/>
        </w:tabs>
        <w:numPr>
          <w:ilvl w:val="0"/>
          <w:numId w:val="42"/>
        </w:numPr>
        <w:rPr>
          <w:rFonts w:ascii="Arial" w:cs="Arial" w:eastAsia="Arial" w:hAnsi="Arial"/>
          <w:sz w:val="22"/>
          <w:szCs w:val="22"/>
          <w:i w:val="1"/>
          <w:iCs w:val="1"/>
          <w:color w:val="auto"/>
        </w:rPr>
      </w:pPr>
      <w:r>
        <w:rPr>
          <w:rFonts w:ascii="Arial" w:cs="Arial" w:eastAsia="Arial" w:hAnsi="Arial"/>
          <w:sz w:val="22"/>
          <w:szCs w:val="22"/>
          <w:i w:val="1"/>
          <w:iCs w:val="1"/>
          <w:color w:val="auto"/>
        </w:rPr>
        <w:t>The parties will negotiate in good faith a commercially reasonable adjustment to the then-current pricing in the event there are material, substantial and sustained changes to the direct and indirect costs of material and labor inputs necessary for NTP and its</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20"/>
          </w:cols>
          <w:pgMar w:left="1440" w:top="375" w:right="239" w:bottom="1440" w:gutter="0" w:footer="0" w:header="0"/>
        </w:sectPr>
      </w:pPr>
    </w:p>
    <w:bookmarkStart w:id="88" w:name="page89"/>
    <w:bookmarkEnd w:id="88"/>
    <w:p>
      <w:pPr>
        <w:ind w:left="420" w:right="60"/>
        <w:spacing w:after="0" w:line="294" w:lineRule="auto"/>
        <w:rPr>
          <w:sz w:val="20"/>
          <w:szCs w:val="20"/>
          <w:color w:val="auto"/>
        </w:rPr>
      </w:pPr>
      <w:r>
        <w:rPr>
          <w:rFonts w:ascii="Arial" w:cs="Arial" w:eastAsia="Arial" w:hAnsi="Arial"/>
          <w:sz w:val="19"/>
          <w:szCs w:val="19"/>
          <w:i w:val="1"/>
          <w:iCs w:val="1"/>
          <w:color w:val="auto"/>
        </w:rPr>
        <w:t>Subcontractors to manufacture the Product, in each case for a period of at least twelve (12) consecutive months. In addition, in the event Lantheus directly benefits from increased third party reimbursement from public or private payors relating to technetium-derived from Lantheus’ generators utilizing LEU-based Product, then, subject to NTP and its Subcontractors providing the certifications and documentation for such Product required by the applicable laws and regulations, Lantheus and NTP will negotiate in good faith a commercially reasonable adjustment to the then-current pricing in light of such reimbursement benefit.</w:t>
      </w:r>
    </w:p>
    <w:p>
      <w:pPr>
        <w:spacing w:after="0" w:line="190" w:lineRule="exact"/>
        <w:rPr>
          <w:sz w:val="20"/>
          <w:szCs w:val="20"/>
          <w:color w:val="auto"/>
        </w:rPr>
      </w:pPr>
    </w:p>
    <w:p>
      <w:pPr>
        <w:ind w:left="900" w:hanging="471"/>
        <w:spacing w:after="0"/>
        <w:tabs>
          <w:tab w:leader="none" w:pos="900" w:val="left"/>
        </w:tabs>
        <w:numPr>
          <w:ilvl w:val="0"/>
          <w:numId w:val="43"/>
        </w:numPr>
        <w:rPr>
          <w:rFonts w:ascii="Arial" w:cs="Arial" w:eastAsia="Arial" w:hAnsi="Arial"/>
          <w:sz w:val="19"/>
          <w:szCs w:val="19"/>
          <w:i w:val="1"/>
          <w:iCs w:val="1"/>
          <w:color w:val="auto"/>
        </w:rPr>
      </w:pPr>
      <w:r>
        <w:rPr>
          <w:rFonts w:ascii="Arial" w:cs="Arial" w:eastAsia="Arial" w:hAnsi="Arial"/>
          <w:sz w:val="19"/>
          <w:szCs w:val="19"/>
          <w:i w:val="1"/>
          <w:iCs w:val="1"/>
          <w:color w:val="auto"/>
        </w:rPr>
        <w:t>For so long as Lantheus has satisfied its purchase volume commitments set forth in Section 2.1(b) as</w:t>
      </w:r>
    </w:p>
    <w:p>
      <w:pPr>
        <w:spacing w:after="0" w:line="56" w:lineRule="exact"/>
        <w:rPr>
          <w:rFonts w:ascii="Arial" w:cs="Arial" w:eastAsia="Arial" w:hAnsi="Arial"/>
          <w:sz w:val="19"/>
          <w:szCs w:val="19"/>
          <w:i w:val="1"/>
          <w:iCs w:val="1"/>
          <w:color w:val="auto"/>
        </w:rPr>
      </w:pPr>
    </w:p>
    <w:p>
      <w:pPr>
        <w:ind w:left="420"/>
        <w:spacing w:after="0" w:line="284" w:lineRule="auto"/>
        <w:rPr>
          <w:rFonts w:ascii="Arial" w:cs="Arial" w:eastAsia="Arial" w:hAnsi="Arial"/>
          <w:sz w:val="19"/>
          <w:szCs w:val="19"/>
          <w:i w:val="1"/>
          <w:iCs w:val="1"/>
          <w:color w:val="auto"/>
        </w:rPr>
      </w:pPr>
      <w:r>
        <w:rPr>
          <w:rFonts w:ascii="Arial" w:cs="Arial" w:eastAsia="Arial" w:hAnsi="Arial"/>
          <w:sz w:val="19"/>
          <w:szCs w:val="19"/>
          <w:i w:val="1"/>
          <w:iCs w:val="1"/>
          <w:color w:val="auto"/>
        </w:rPr>
        <w:t>measured with reference to the average volume of curies purchased over the immediately preceding twelve (12) month period and Lantheus is the largest customer of NTP and its Subcontractors in North America as measured during such period (as calculated consistent with calibrations as set out in Section 2.5), the prices payable by Lantheus for Product shall not be higher than the purchase price (as calculated consistent with calibration as set out in Section 2.5) paid by any other purchaser of Product from NTP or its Subcontractors for delivery into or use in North America, regardless of whether such delivery or use is direct or indirect. In addition, for so long as Lantheus purchases more than 1,500 curies per week, as measured with reference to the average volume of curies purchased in the immediately preceding twelve (12) month period (as calculated consistent with calibration as set out in Section 2.5), the prices payable by Lantheus for Product shall not be higher than the purchase price (as calculated consistent with calibration as set out in Section 2.5) paid by any other purchaser of Product from NTP or its Subcontractors for any delivery or use, as measured on a global basis. For purposes of calculating the purchase price paid by other purchasers of Product in order to determine if any price adjustment shall be made hereunder, the parties agree that the purchase price paid by each purchaser will be calculated after giving effect to all rebates, discounts, and similar pricing concessions or incentives available to such purchasers (but excluding governmental purchases or purchases for other non-commercial purposes), and, if such purchase price is paid in a currency different from the United States dollar pursuant to a written contract or spot order, such purchase price shall be determined using the exchange rate of the United States dollar against such different currency applicable to such purchases as of the date of entering into, or modifying the pricing-related terms of, such contracts or spot orders. In addition, noncompliance with the foregoing provisions will result in a reduction to the price payable by Lantheus for Product hereunder only during</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20"/>
          </w:cols>
          <w:pgMar w:left="1440" w:top="374" w:right="239" w:bottom="1440" w:gutter="0" w:footer="0" w:header="0"/>
        </w:sectPr>
      </w:pPr>
    </w:p>
    <w:bookmarkStart w:id="89" w:name="page90"/>
    <w:bookmarkEnd w:id="89"/>
    <w:p>
      <w:pPr>
        <w:ind w:left="1612" w:right="20"/>
        <w:spacing w:after="0" w:line="292" w:lineRule="auto"/>
        <w:rPr>
          <w:sz w:val="20"/>
          <w:szCs w:val="20"/>
          <w:color w:val="auto"/>
        </w:rPr>
      </w:pPr>
      <w:r>
        <w:rPr>
          <w:rFonts w:ascii="Arial" w:cs="Arial" w:eastAsia="Arial" w:hAnsi="Arial"/>
          <w:sz w:val="19"/>
          <w:szCs w:val="19"/>
          <w:i w:val="1"/>
          <w:iCs w:val="1"/>
          <w:color w:val="auto"/>
        </w:rPr>
        <w:t>the period in which the purchase price of product sold to other purchasers was lower than the then-current price set forth herein. Compliance with requirements of this Section 5.1(d) will be confirmed at the end of each calendar year, at which time NTP will furnish to Lantheus a certificate, executed by a duly authorized officer of NTP stating that such officer has reviewed the sales of such Product during such period and that NTP and its Subcontractors have complied with this Section 5.1(d). To the extent it is determined that NTP is not in compliance with this Section 5.1(d), NTP will adjust the pricing payable by Lantheus and credit Lantheus with the difference between the price paid by Lantheus and the amount otherwise contemplated by this Section 5.1(d).</w:t>
      </w:r>
    </w:p>
    <w:p>
      <w:pPr>
        <w:spacing w:after="0" w:line="192" w:lineRule="exact"/>
        <w:rPr>
          <w:sz w:val="20"/>
          <w:szCs w:val="20"/>
          <w:color w:val="auto"/>
        </w:rPr>
      </w:pPr>
    </w:p>
    <w:p>
      <w:pPr>
        <w:ind w:left="1612" w:right="40" w:firstLine="9"/>
        <w:spacing w:after="0" w:line="297" w:lineRule="auto"/>
        <w:tabs>
          <w:tab w:leader="none" w:pos="2068"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color w:val="auto"/>
        </w:rPr>
        <w:t>NTP shall invoice Lantheus at the end of each month for all Product supplied by NTP or its Subcontractors in that month. Invoicing shall be in respect of the price applicable to Product upon delivery of such conforming Product to Lantheus on an FCA basis, and in respect of container charges as the same become payable under this Agreement. Lantheus shall pay all invoices for shipments of conforming Product in any given month (as reduced by any outstanding credits for nonconforming Product) by the end of the following month to NTP.</w:t>
      </w:r>
    </w:p>
    <w:p>
      <w:pPr>
        <w:spacing w:after="0" w:line="188" w:lineRule="exact"/>
        <w:rPr>
          <w:sz w:val="20"/>
          <w:szCs w:val="20"/>
          <w:color w:val="auto"/>
        </w:rPr>
      </w:pPr>
    </w:p>
    <w:p>
      <w:pPr>
        <w:ind w:left="992" w:right="360" w:hanging="485"/>
        <w:spacing w:after="0" w:line="263" w:lineRule="auto"/>
        <w:tabs>
          <w:tab w:leader="none" w:pos="972" w:val="left"/>
        </w:tabs>
        <w:rPr>
          <w:sz w:val="20"/>
          <w:szCs w:val="20"/>
          <w:color w:val="auto"/>
        </w:rPr>
      </w:pPr>
      <w:r>
        <w:rPr>
          <w:rFonts w:ascii="Arial" w:cs="Arial" w:eastAsia="Arial" w:hAnsi="Arial"/>
          <w:sz w:val="22"/>
          <w:szCs w:val="22"/>
          <w:color w:val="auto"/>
        </w:rPr>
        <w:t>2.3</w:t>
        <w:tab/>
        <w:t>Section 11.1 of the Agreement is hereby amended by deleting the reference to the “</w:t>
      </w:r>
      <w:r>
        <w:rPr>
          <w:rFonts w:ascii="Arial" w:cs="Arial" w:eastAsia="Arial" w:hAnsi="Arial"/>
          <w:sz w:val="22"/>
          <w:szCs w:val="22"/>
          <w:i w:val="1"/>
          <w:iCs w:val="1"/>
          <w:color w:val="auto"/>
        </w:rPr>
        <w:t>31st day of December 2013</w:t>
      </w:r>
      <w:r>
        <w:rPr>
          <w:rFonts w:ascii="Arial" w:cs="Arial" w:eastAsia="Arial" w:hAnsi="Arial"/>
          <w:sz w:val="22"/>
          <w:szCs w:val="22"/>
          <w:color w:val="auto"/>
        </w:rPr>
        <w:t>” and replacing it with the “</w:t>
      </w:r>
      <w:r>
        <w:rPr>
          <w:rFonts w:ascii="Arial" w:cs="Arial" w:eastAsia="Arial" w:hAnsi="Arial"/>
          <w:sz w:val="22"/>
          <w:szCs w:val="22"/>
          <w:i w:val="1"/>
          <w:iCs w:val="1"/>
          <w:color w:val="auto"/>
        </w:rPr>
        <w:t>31st Day of December 2017</w:t>
      </w:r>
      <w:r>
        <w:rPr>
          <w:rFonts w:ascii="Arial" w:cs="Arial" w:eastAsia="Arial" w:hAnsi="Arial"/>
          <w:sz w:val="22"/>
          <w:szCs w:val="22"/>
          <w:color w:val="auto"/>
        </w:rPr>
        <w:t>.”</w:t>
      </w:r>
    </w:p>
    <w:p>
      <w:pPr>
        <w:spacing w:after="0" w:line="215" w:lineRule="exact"/>
        <w:rPr>
          <w:sz w:val="20"/>
          <w:szCs w:val="20"/>
          <w:color w:val="auto"/>
        </w:rPr>
      </w:pPr>
    </w:p>
    <w:p>
      <w:pPr>
        <w:ind w:left="992" w:right="140" w:hanging="485"/>
        <w:spacing w:after="0" w:line="302" w:lineRule="auto"/>
        <w:tabs>
          <w:tab w:leader="none" w:pos="972"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Exhibit B of the Agreement is hereby amended by removing “</w:t>
      </w:r>
      <w:r>
        <w:rPr>
          <w:rFonts w:ascii="Arial" w:cs="Arial" w:eastAsia="Arial" w:hAnsi="Arial"/>
          <w:sz w:val="19"/>
          <w:szCs w:val="19"/>
          <w:i w:val="1"/>
          <w:iCs w:val="1"/>
          <w:color w:val="auto"/>
        </w:rPr>
        <w:t>THE INSTITUT NATIONAL DES RADIOÉLÉMENTS of</w:t>
      </w:r>
      <w:r>
        <w:rPr>
          <w:rFonts w:ascii="Arial" w:cs="Arial" w:eastAsia="Arial" w:hAnsi="Arial"/>
          <w:sz w:val="19"/>
          <w:szCs w:val="19"/>
          <w:color w:val="auto"/>
        </w:rPr>
        <w:t xml:space="preserve"> </w:t>
      </w:r>
      <w:r>
        <w:rPr>
          <w:rFonts w:ascii="Arial" w:cs="Arial" w:eastAsia="Arial" w:hAnsi="Arial"/>
          <w:sz w:val="19"/>
          <w:szCs w:val="19"/>
          <w:i w:val="1"/>
          <w:iCs w:val="1"/>
          <w:color w:val="auto"/>
        </w:rPr>
        <w:t>Fleurus, Belgium</w:t>
      </w:r>
      <w:r>
        <w:rPr>
          <w:rFonts w:ascii="Arial" w:cs="Arial" w:eastAsia="Arial" w:hAnsi="Arial"/>
          <w:sz w:val="19"/>
          <w:szCs w:val="19"/>
          <w:color w:val="auto"/>
        </w:rPr>
        <w:t>” as of the effective date of this Amendment. For purposes of clarity, the parties acknowledge that all</w:t>
      </w:r>
      <w:r>
        <w:rPr>
          <w:rFonts w:ascii="Arial" w:cs="Arial" w:eastAsia="Arial" w:hAnsi="Arial"/>
          <w:sz w:val="19"/>
          <w:szCs w:val="19"/>
          <w:i w:val="1"/>
          <w:iCs w:val="1"/>
          <w:color w:val="auto"/>
        </w:rPr>
        <w:t xml:space="preserve"> </w:t>
      </w:r>
      <w:r>
        <w:rPr>
          <w:rFonts w:ascii="Arial" w:cs="Arial" w:eastAsia="Arial" w:hAnsi="Arial"/>
          <w:sz w:val="19"/>
          <w:szCs w:val="19"/>
          <w:color w:val="auto"/>
        </w:rPr>
        <w:t>references to “its Subcontractor” or “its Subcontractors” in the Agreement immediately after the effective date of this Amendment shall mean the Australian Nuclear Science and Technology Organisation (ANSTO).</w:t>
      </w:r>
    </w:p>
    <w:p>
      <w:pPr>
        <w:spacing w:after="0" w:line="183" w:lineRule="exact"/>
        <w:rPr>
          <w:sz w:val="20"/>
          <w:szCs w:val="20"/>
          <w:color w:val="auto"/>
        </w:rPr>
      </w:pPr>
    </w:p>
    <w:p>
      <w:pPr>
        <w:ind w:left="-8" w:firstLine="8"/>
        <w:spacing w:after="0" w:line="263" w:lineRule="auto"/>
        <w:tabs>
          <w:tab w:leader="none" w:pos="37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Each party hereby waives any non-compliance with the terms and provisions of the Agreement relating to the purchase volume requirements as in effect immediately prior to the amendment thereof by this Agreement.</w:t>
      </w:r>
    </w:p>
    <w:p>
      <w:pPr>
        <w:spacing w:after="0" w:line="215" w:lineRule="exact"/>
        <w:rPr>
          <w:rFonts w:ascii="Arial" w:cs="Arial" w:eastAsia="Arial" w:hAnsi="Arial"/>
          <w:sz w:val="22"/>
          <w:szCs w:val="22"/>
          <w:color w:val="auto"/>
        </w:rPr>
      </w:pPr>
    </w:p>
    <w:p>
      <w:pPr>
        <w:ind w:left="-8" w:right="40" w:firstLine="8"/>
        <w:spacing w:after="0" w:line="250" w:lineRule="auto"/>
        <w:tabs>
          <w:tab w:leader="none" w:pos="37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specifically amended hereby, the Agreement remains in full force and effect and otherwise unamended hereby. This Amendment constitutes a final written expression of the terms hereof and is a complete and exclusive statement of those terms. This Amendment shall be governed by and construed in accordance with the laws of England, without reference to the choice of laws rules of any jurisdiction.</w:t>
      </w: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92"/>
          </w:cols>
          <w:pgMar w:left="248" w:top="375" w:right="259" w:bottom="1440" w:gutter="0" w:footer="0" w:header="0"/>
        </w:sectPr>
      </w:pPr>
    </w:p>
    <w:bookmarkStart w:id="90" w:name="page91"/>
    <w:bookmarkEnd w:id="9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duly executed this Amendment as of the date first written above.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NTP:</w:t>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Don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and Title: Don Robertson, MD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Lantheus:</w:t>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Donald R. Kiepert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and Title: Don Kiepert, CEO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ANSTO:</w:t>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Doug Cubbin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and Title: Doug Cubbin, GM BD&amp;C</w:t>
      </w:r>
    </w:p>
    <w:p>
      <w:pPr>
        <w:spacing w:after="0" w:line="200" w:lineRule="exact"/>
        <w:rPr>
          <w:sz w:val="20"/>
          <w:szCs w:val="20"/>
          <w:color w:val="auto"/>
        </w:rPr>
      </w:pPr>
    </w:p>
    <w:p>
      <w:pPr>
        <w:spacing w:after="0" w:line="33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369"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Mary Anne Heino, certify that:</w:t>
      </w:r>
    </w:p>
    <w:p>
      <w:pPr>
        <w:spacing w:after="0" w:line="11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5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Crowley, certify that:</w:t>
      </w:r>
    </w:p>
    <w:p>
      <w:pPr>
        <w:spacing w:after="0" w:line="11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Mary Anne Heino, the Chief Executive Officer, and John W. Crowley, the Chief Financial Officer, of Lantheus Holdings, Inc. (the “Company”), hereby certify, that, to their knowledge:</w:t>
      </w:r>
    </w:p>
    <w:p>
      <w:pPr>
        <w:spacing w:after="0" w:line="147"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March 31, 2018 (the “Report”)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Roman"/>
      <w:start w:val="2"/>
    </w:lvl>
  </w:abstractNum>
  <w:abstractNum w:abstractNumId="5">
    <w:nsid w:val="54E49EB4"/>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Roman"/>
      <w:start w:val="2"/>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30"/>
    </w:lvl>
  </w:abstractNum>
  <w:abstractNum w:abstractNumId="19">
    <w:nsid w:val="614FD4A1"/>
    <w:multiLevelType w:val="hybridMultilevel"/>
    <w:lvl w:ilvl="0">
      <w:lvlJc w:val="left"/>
      <w:lvlText w:val="%1."/>
      <w:numFmt w:val="decimal"/>
      <w:start w:val="3"/>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decimal"/>
      <w:start w:val="400"/>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Letter"/>
      <w:start w:val="3"/>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1)"/>
      <w:numFmt w:val="lowerLetter"/>
      <w:start w:val="8"/>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3"/>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3"/>
    </w:lvl>
  </w:abstractNum>
  <w:abstractNum w:abstractNumId="35">
    <w:nsid w:val="70A64E2A"/>
    <w:multiLevelType w:val="hybridMultilevel"/>
    <w:lvl w:ilvl="0">
      <w:lvlJc w:val="left"/>
      <w:lvlText w:val="(%1)"/>
      <w:numFmt w:val="lowerLetter"/>
      <w:start w:val="5"/>
    </w:lvl>
  </w:abstractNum>
  <w:abstractNum w:abstractNumId="36">
    <w:nsid w:val="6A2342EC"/>
    <w:multiLevelType w:val="hybridMultilevel"/>
    <w:lvl w:ilvl="0">
      <w:lvlJc w:val="left"/>
      <w:lvlText w:val="(%1)"/>
      <w:numFmt w:val="lowerLetter"/>
      <w:start w:val="6"/>
    </w:lvl>
  </w:abstractNum>
  <w:abstractNum w:abstractNumId="37">
    <w:nsid w:val="2A487CB0"/>
    <w:multiLevelType w:val="hybridMultilevel"/>
    <w:lvl w:ilvl="0">
      <w:lvlJc w:val="left"/>
      <w:lvlText w:val="(%1)"/>
      <w:numFmt w:val="lowerLetter"/>
      <w:start w:val="7"/>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2"/>
    </w:lvl>
    <w:lvl w:ilvl="1">
      <w:lvlJc w:val="left"/>
      <w:lvlText w:val="(%2)"/>
      <w:numFmt w:val="lowerRoman"/>
      <w:start w:val="1"/>
    </w:lvl>
  </w:abstractNum>
  <w:abstractNum w:abstractNumId="41">
    <w:nsid w:val="57E4CCAF"/>
    <w:multiLevelType w:val="hybridMultilevel"/>
    <w:lvl w:ilvl="0">
      <w:lvlJc w:val="left"/>
      <w:lvlText w:val="(%1)"/>
      <w:numFmt w:val="lowerLetter"/>
      <w:start w:val="3"/>
    </w:lvl>
  </w:abstractNum>
  <w:abstractNum w:abstractNumId="42">
    <w:nsid w:val="7A6D8D3C"/>
    <w:multiLevelType w:val="hybridMultilevel"/>
    <w:lvl w:ilvl="0">
      <w:lvlJc w:val="left"/>
      <w:lvlText w:val="(%1)"/>
      <w:numFmt w:val="lowerLetter"/>
      <w:start w:val="4"/>
    </w:lvl>
  </w:abstractNum>
  <w:abstractNum w:abstractNumId="43">
    <w:nsid w:val="4B588F54"/>
    <w:multiLevelType w:val="hybridMultilevel"/>
    <w:lvl w:ilvl="0">
      <w:lvlJc w:val="left"/>
      <w:lvlText w:val="(%1)"/>
      <w:numFmt w:val="lowerLetter"/>
      <w:start w:val="5"/>
    </w:lvl>
  </w:abstractNum>
  <w:abstractNum w:abstractNumId="44">
    <w:nsid w:val="542289EC"/>
    <w:multiLevelType w:val="hybridMultilevel"/>
    <w:lvl w:ilvl="0">
      <w:lvlJc w:val="left"/>
      <w:lvlText w:val="%1."/>
      <w:numFmt w:val="decimal"/>
      <w:start w:val="3"/>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2019-12-08T00:05:18Z</dcterms:created>
  <dcterms:modified xsi:type="dcterms:W3CDTF">2019-12-08T00:05:18Z</dcterms:modified>
</cp:coreProperties>
</file>