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446d8k.htm"/>
      <w:bookmarkStart w:id="1" w:name="ksd1674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35-2318913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360" w:after="0"/>
        <w:jc w:val="left"/>
        <w:rPr>
          <w:rFonts w:ascii="Times New Roman" w:hAnsi="Times New Roman"/>
          <w:i/>
          <w:sz w:val="20"/>
        </w:rPr>
      </w:pPr>
      <w:r>
        <w:rPr>
          <w:rFonts w:ascii="Times New Roman" w:hAnsi="Times New Roman"/>
          <w:i/>
          <w:sz w:val="20"/>
        </w:rPr>
        <w:t xml:space="preserve">Effect on Capital Stock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set forth in the Merger Agreement, at the effective time of the Merger (the “</w:t>
      </w:r>
      <w:r>
        <w:rPr>
          <w:rFonts w:ascii="Times New Roman" w:hAnsi="Times New Roman"/>
          <w:b/>
          <w:i/>
          <w:sz w:val="20"/>
        </w:rPr>
        <w:t>Effective Time</w:t>
      </w:r>
      <w:r>
        <w:rPr>
          <w:rFonts w:ascii="Times New Roman" w:hAnsi="Times New Roman"/>
          <w:sz w:val="20"/>
        </w:rPr>
        <w:t>”), each issued and outstanding share of common stock of the Company, par value $0.01 per share (the “</w:t>
      </w:r>
      <w:r>
        <w:rPr>
          <w:rFonts w:ascii="Times New Roman" w:hAnsi="Times New Roman"/>
          <w:b/>
          <w:i/>
          <w:sz w:val="20"/>
        </w:rPr>
        <w:t>Company Common Stock</w:t>
      </w:r>
      <w:r>
        <w:rPr>
          <w:rFonts w:ascii="Times New Roman" w:hAnsi="Times New Roman"/>
          <w:sz w:val="20"/>
        </w:rPr>
        <w:t>”), other than (i)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(ii) shares issued and outstanding immediately prior to the Effective Time and held by a holder who did not vote in favor of the adoption of the Merger Agreement, and is entitled to demand and properly exercises and demands appraisal of such shares pursuant to, and who complies in all respects with the Delaware General Corporation Law, will be automatically converted into the right to receive (x) $102.50 per share in cash, without interest (the “</w:t>
      </w:r>
      <w:r>
        <w:rPr>
          <w:rFonts w:ascii="Times New Roman" w:hAnsi="Times New Roman"/>
          <w:b/>
          <w:i/>
          <w:sz w:val="20"/>
        </w:rPr>
        <w:t>Per Share Cash Consideration</w:t>
      </w:r>
      <w:r>
        <w:rPr>
          <w:rFonts w:ascii="Times New Roman" w:hAnsi="Times New Roman"/>
          <w:sz w:val="20"/>
        </w:rPr>
        <w:t>”) and (y) one contractual contingent value right (each, a “</w:t>
      </w:r>
      <w:r>
        <w:rPr>
          <w:rFonts w:ascii="Times New Roman" w:hAnsi="Times New Roman"/>
          <w:b/>
          <w:i/>
          <w:sz w:val="20"/>
        </w:rPr>
        <w:t>CVR</w:t>
      </w:r>
      <w:r>
        <w:rPr>
          <w:rFonts w:ascii="Times New Roman" w:hAnsi="Times New Roman"/>
          <w:sz w:val="20"/>
        </w:rPr>
        <w:t>”), which represents the right to receive up to $12.00 in cash upon the achievement of certain specified commercial milestones, all subject to the terms and conditions set forth in a contingent value rights agreement to be entered into between Parent and a rights agent selected by Parent and reasonably acceptable to the Company (such rights agent, the “</w:t>
      </w:r>
      <w:r>
        <w:rPr>
          <w:rFonts w:ascii="Times New Roman" w:hAnsi="Times New Roman"/>
          <w:b/>
          <w:i/>
          <w:sz w:val="20"/>
        </w:rPr>
        <w:t>Rights Agent,</w:t>
      </w:r>
      <w:r>
        <w:rPr>
          <w:rFonts w:ascii="Times New Roman" w:hAnsi="Times New Roman"/>
          <w:sz w:val="20"/>
        </w:rPr>
        <w:t>” and such agreement, the “</w:t>
      </w:r>
      <w:r>
        <w:rPr>
          <w:rFonts w:ascii="Times New Roman" w:hAnsi="Times New Roman"/>
          <w:b/>
          <w:i/>
          <w:sz w:val="20"/>
        </w:rPr>
        <w:t>CVR Agreement</w:t>
      </w:r>
      <w:r>
        <w:rPr>
          <w:rFonts w:ascii="Times New Roman" w:hAnsi="Times New Roman"/>
          <w:sz w:val="20"/>
        </w:rPr>
        <w:t>”) setting forth the terms of the CVRs (the consideration contemplated by clauses (x) and (y), together, the “</w:t>
      </w:r>
      <w:r>
        <w:rPr>
          <w:rFonts w:ascii="Times New Roman" w:hAnsi="Times New Roman"/>
          <w:b/>
          <w:i/>
          <w:sz w:val="20"/>
        </w:rPr>
        <w:t>Merger Consideration</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Pursuant to the Merger Agreement, immediately prior to the Effective Time, (i) each option to purchase shares (the “</w:t>
      </w:r>
      <w:r>
        <w:rPr>
          <w:rFonts w:ascii="Times New Roman" w:hAnsi="Times New Roman"/>
          <w:b/>
          <w:i/>
          <w:sz w:val="20"/>
        </w:rPr>
        <w:t>Company Options</w:t>
      </w:r>
      <w:r>
        <w:rPr>
          <w:rFonts w:ascii="Times New Roman" w:hAnsi="Times New Roman"/>
          <w:sz w:val="20"/>
        </w:rPr>
        <w:t>”) under any Company equity plan that is outstanding, unvested and unexercised will,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will, automatically and without any action on the part of Parent, Merger Sub, the Company or the holder thereof, be canceled and, in exchange therefor, will be entitled to receive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b/>
          <w:i/>
          <w:sz w:val="20"/>
        </w:rPr>
        <w:t>Option Cash Consideration</w:t>
      </w:r>
      <w:r>
        <w:rPr>
          <w:rFonts w:ascii="Times New Roman" w:hAnsi="Times New Roman"/>
          <w:sz w:val="20"/>
        </w:rPr>
        <w:t>”) and (B) one CVR for each share for which such Company Option remains outstanding and unexercised immediately prior to the Effective Time (the “</w:t>
      </w:r>
      <w:r>
        <w:rPr>
          <w:rFonts w:ascii="Times New Roman" w:hAnsi="Times New Roman"/>
          <w:b/>
          <w:i/>
          <w:sz w:val="20"/>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b/>
          <w:i/>
          <w:sz w:val="20"/>
        </w:rPr>
        <w:t>Closing Date Underwater Option</w:t>
      </w:r>
      <w:r>
        <w:rPr>
          <w:rFonts w:ascii="Times New Roman" w:hAnsi="Times New Roman"/>
          <w:sz w:val="20"/>
        </w:rPr>
        <w:t xml:space="preserve">”) will, automatically and without any action on the part of Parent, Merger Sub, the Company or the holder thereof, be canceled and converted into the right to receive the Option CVR Consideration, except that if a Milestone (as defined below) is achieved in respect of a CVR for a Closing Date Underwater Option, the cash amount to be paid in respect of such Milestone, if any, will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rPr>
      </w:pPr>
      <w:r>
        <w:rPr>
          <w:rFonts w:ascii="Times New Roman" w:hAnsi="Times New Roman"/>
          <w:sz w:val="20"/>
        </w:rPr>
        <w:t>Immediately prior to the Effective Time, all performance-based restricted stock units under any Company equity plan (the “</w:t>
      </w:r>
      <w:r>
        <w:rPr>
          <w:rFonts w:ascii="Times New Roman" w:hAnsi="Times New Roman"/>
          <w:b/>
          <w:i/>
          <w:sz w:val="20"/>
        </w:rPr>
        <w:t>Company PSUs</w:t>
      </w:r>
      <w:r>
        <w:rPr>
          <w:rFonts w:ascii="Times New Roman" w:hAnsi="Times New Roman"/>
          <w:sz w:val="20"/>
        </w:rPr>
        <w:t xml:space="preserve">”) that are outstanding will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relevant contract governing such original Company PSU, but, in accordance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therewith, will be converted into an award representing the right to receive (a “</w:t>
      </w:r>
      <w:r>
        <w:rPr>
          <w:rFonts w:ascii="Times New Roman" w:hAnsi="Times New Roman"/>
          <w:b/>
          <w:i/>
          <w:sz w:val="20"/>
        </w:rPr>
        <w:t>Converted PSU Award</w:t>
      </w:r>
      <w:r>
        <w:rPr>
          <w:rFonts w:ascii="Times New Roman" w:hAnsi="Times New Roman"/>
          <w:sz w:val="20"/>
        </w:rPr>
        <w:t>”)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w:t>
      </w:r>
      <w:r>
        <w:rPr>
          <w:rFonts w:ascii="Times New Roman" w:hAnsi="Times New Roman"/>
          <w:b/>
          <w:i/>
          <w:sz w:val="20"/>
        </w:rPr>
        <w:t>Earned Share</w:t>
      </w:r>
      <w:r>
        <w:rPr>
          <w:rFonts w:ascii="Times New Roman" w:hAnsi="Times New Roman"/>
          <w:sz w:val="20"/>
        </w:rPr>
        <w:t>”) by (B) the Per Share Cash Consideration (“</w:t>
      </w:r>
      <w:r>
        <w:rPr>
          <w:rFonts w:ascii="Times New Roman" w:hAnsi="Times New Roman"/>
          <w:b/>
          <w:i/>
          <w:sz w:val="20"/>
        </w:rPr>
        <w:t>PSU Cash Consideration</w:t>
      </w:r>
      <w:r>
        <w:rPr>
          <w:rFonts w:ascii="Times New Roman" w:hAnsi="Times New Roman"/>
          <w:sz w:val="20"/>
        </w:rPr>
        <w:t>”) and (ii) one CVR for each Earned Share (the “</w:t>
      </w:r>
      <w:r>
        <w:rPr>
          <w:rFonts w:ascii="Times New Roman" w:hAnsi="Times New Roman"/>
          <w:b/>
          <w:i/>
          <w:sz w:val="20"/>
        </w:rPr>
        <w:t>PSU CVRs</w:t>
      </w:r>
      <w:r>
        <w:rPr>
          <w:rFonts w:ascii="Times New Roman" w:hAnsi="Times New Roman"/>
          <w:sz w:val="20"/>
        </w:rPr>
        <w:t xml:space="preserve">”). The Converted PSU Awards will vest, the PSU Cash Consideration under Converted PSU Awards will become payable and the PSU CVRs under Converted PSU Awards will be delivered in accordance with the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sz w:val="20"/>
        </w:rPr>
        <w:t>Immediately prior to the Effective Time, (i) all restricted stock units that are not Company PSUs (“</w:t>
      </w:r>
      <w:r>
        <w:rPr>
          <w:rFonts w:ascii="Times New Roman" w:hAnsi="Times New Roman"/>
          <w:b/>
          <w:i/>
          <w:sz w:val="20"/>
        </w:rPr>
        <w:t>Company RSUs</w:t>
      </w:r>
      <w:r>
        <w:rPr>
          <w:rFonts w:ascii="Times New Roman" w:hAnsi="Times New Roman"/>
          <w:sz w:val="20"/>
        </w:rPr>
        <w:t>”) that are outstanding as of the date of the Merger Agreement will immediately vest and all restrictions will lapse, and such Company RSUs will be canceled in exchange for the right to receive, with respect to each share for which such Company RSUs remain outstanding immediately prior to the Effective Time, the Merger Consideration and (ii) all Company RSUs that are outstanding and were issued after the date of the Merger Agreement will, automatically and without any action on the part of Parent, Merger Sub, the Company or the holder thereof, be assumed by Parent and will remain subject to the same terms and conditions (including vesting conditions and timing) set forth under the relevant contract governing such original Company RSU, but, in accordance therewith, will be converted into an award representing the right to receive (a “</w:t>
      </w:r>
      <w:r>
        <w:rPr>
          <w:rFonts w:ascii="Times New Roman" w:hAnsi="Times New Roman"/>
          <w:b/>
          <w:i/>
          <w:sz w:val="20"/>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w:t>
      </w:r>
      <w:r>
        <w:rPr>
          <w:rFonts w:ascii="Times New Roman" w:hAnsi="Times New Roman"/>
          <w:b/>
          <w:i/>
          <w:sz w:val="20"/>
        </w:rPr>
        <w:t>Converted RSU Cash Consideration</w:t>
      </w:r>
      <w:r>
        <w:rPr>
          <w:rFonts w:ascii="Times New Roman" w:hAnsi="Times New Roman"/>
          <w:sz w:val="20"/>
        </w:rPr>
        <w:t>”) and (ii) one CVR for each share for which such Company RSU remains outstanding immediately prior to the Effective Time (the “</w:t>
      </w:r>
      <w:r>
        <w:rPr>
          <w:rFonts w:ascii="Times New Roman" w:hAnsi="Times New Roman"/>
          <w:b/>
          <w:i/>
          <w:sz w:val="20"/>
        </w:rPr>
        <w:t>RSU CVRs</w:t>
      </w:r>
      <w:r>
        <w:rPr>
          <w:rFonts w:ascii="Times New Roman" w:hAnsi="Times New Roman"/>
          <w:sz w:val="20"/>
        </w:rPr>
        <w:t xml:space="preserve">”).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sz w:val="20"/>
        </w:rPr>
        <w:t>Prior to the Effective Time, the Company will take all necessary and appropriate actions so that participation in the Company Employee Stock Purchase Program (the “</w:t>
      </w:r>
      <w:r>
        <w:rPr>
          <w:rFonts w:ascii="Times New Roman" w:hAnsi="Times New Roman"/>
          <w:b/>
          <w:i/>
          <w:sz w:val="20"/>
        </w:rPr>
        <w:t>Company ESPP</w:t>
      </w:r>
      <w:r>
        <w:rPr>
          <w:rFonts w:ascii="Times New Roman" w:hAnsi="Times New Roman"/>
          <w:sz w:val="20"/>
        </w:rPr>
        <w:t xml:space="preserve">”)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based on each Company ESPP participant’s accumulated distributions under the Company ESPP on such date. </w:t>
      </w:r>
    </w:p>
    <w:p>
      <w:pPr>
        <w:pStyle w:val="TextBody"/>
        <w:bidi w:val="0"/>
        <w:spacing w:before="240" w:after="0"/>
        <w:jc w:val="left"/>
        <w:rPr>
          <w:rFonts w:ascii="Times New Roman" w:hAnsi="Times New Roman"/>
          <w:sz w:val="20"/>
        </w:rPr>
      </w:pPr>
      <w:r>
        <w:rPr>
          <w:rFonts w:ascii="Times New Roman" w:hAnsi="Times New Roman"/>
          <w:sz w:val="20"/>
        </w:rPr>
        <w:t>If the Merger is consummated, the Company Common Stock will be delisted from the Nasdaq Global Market and deregistered under the Securities Exchange Act of 1934, as amended (the “</w:t>
      </w:r>
      <w:r>
        <w:rPr>
          <w:rFonts w:ascii="Times New Roman" w:hAnsi="Times New Roman"/>
          <w:b/>
          <w:i/>
          <w:sz w:val="20"/>
        </w:rPr>
        <w:t>Exchange Act</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is subject to the fulfillment or waiver of certain customary mutual closing conditions, including, among other things, (i) the adoption of the Merger Agreement by the affirmative vote of the holders of a majority of the outstanding shares of Company Common Stock entitled to vote at the Company stockholders meeting, (ii) the absence of any law or order by a governmental authority of competent jurisdiction prohibiting or otherwise making illegal the consummation of the Merger, (iii) the expiration or termination of the applicable waiting period (or any extensions thereof) under the Hart-Scott-Rodino Antitrust Improvements Act of 1976, as amended, (iv) that no voluntary agreement between the parties and a governmental entity not to consummate the Merger will be in effect and (v) that certain other specified approvals, filings, notifications, clearances or expirations or terminations of waiting periods will have occurred or been obtained, made or waived, as applicable. The obligation of each party to consummate the Merger is also conditioned upon (i) the accuracy of the other party’s representations and warranties, (subject in certain cases, to certain customary materiality qualifications) and (ii) the other party’s performance or compliance in all material respects with its obligations under the Merger Agreement. In addition, the obligation of Parent and Merger Sub to consummate the Merger is also conditioned upon there being no continuing Material Adverse Effect (as defined in the Merger Agreement) having occurred that is continuing at the Effective Time. The consummation of the Merger is not subject to any financing condition.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Termination Rights and Fees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certain termination rights for each of Parent and the Company, including, among others, (i) mutual written agreement of Parent and the Company, (ii) by either party, if the Merger is not consummated on or before 11:59 p.m. Eastern Time on May 2, 2027 (the “</w:t>
      </w:r>
      <w:r>
        <w:rPr>
          <w:rFonts w:ascii="Times New Roman" w:hAnsi="Times New Roman"/>
          <w:b/>
          <w:i/>
          <w:sz w:val="20"/>
        </w:rPr>
        <w:t>Outside Date</w:t>
      </w:r>
      <w:r>
        <w:rPr>
          <w:rFonts w:ascii="Times New Roman" w:hAnsi="Times New Roman"/>
          <w:sz w:val="20"/>
        </w:rPr>
        <w:t>”), subject to extension in the event a government shutdown delays the parties’ submission of required filings under the HSR Act and to one additional three-month extension if on such date all of the closing conditions in the Merger Agreement have been satisfied, except for those relating to antitrust and foreign direct investment approvals and those conditions that are to be satisfied at closing but which are capable of being satisfied at such time (provided that the Outside Date shall be not extended beyond November 30, 2027), (iii) by either party, if any court or governmental authority of competent jurisdiction has enacted, issued, promulgated, entered or enforced any final and non-appealable order that permanently enjoins or otherwise permanently prohibits the consummation of the Merger or any law that prohibits or makes illegal the consummation of the Merger, (iv) by the Company, if all conditions to Parent’s obligation to consummate the Merger are satisfied except for certain antitrust and FDI approvals, and Parent does not make certain regulatory commitments as specified in the Merger Agreement within 10 business days following receipt of a proposed recommendation from the applicable governing body (which recommendation the parties will use reasonable best efforts to obtain prior to the Outside Date), (v) by Parent, if all conditions to the Company’s obligation to consummate the Merger are satisfied except for certain antitrust and FDI approvals and a proposed recommendation from the applicable governing body includes a Burdensome Condition (as defined in the Merger Agreement), (vi) by either party, if the approval of the Company’s stockholders is not obtained following the meeting of the Company’s stockholders for purposes of obtaining such approval if a vote will have been taken thereon, (vii) by either party, for a breach by the other party of its representations, warranties, covenant or agreement in the Merger Agreement, subject to certain qualifications, (viii) by Parent, in the event of a change of recommendation by the Company’s Board of Directors (the “</w:t>
      </w:r>
      <w:r>
        <w:rPr>
          <w:rFonts w:ascii="Times New Roman" w:hAnsi="Times New Roman"/>
          <w:b/>
          <w:i/>
          <w:sz w:val="20"/>
        </w:rPr>
        <w:t>Board</w:t>
      </w:r>
      <w:r>
        <w:rPr>
          <w:rFonts w:ascii="Times New Roman" w:hAnsi="Times New Roman"/>
          <w:sz w:val="20"/>
        </w:rPr>
        <w:t xml:space="preserve">”), (ix) by the Company, to enter into a binding and definitive agreement with respect to a superior proposal and (x) by the Company, for Parent’s failure to consummate the Merger under certain circumstances set forth in the Merger Agreement. If the Merger Agreement is terminated under certain circumstances, Parent would be required to pay the Company a termination fee of $385 million or a regulatory termination fee of $100 million, as the case may be, and the Company would be required to pay Parent a termination fee of $228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not subject to any financing condition. Parent has obtained equity financing commitments on the terms set forth in an equity commitment letter for the purpose of financing in part the transactions contemplated by the Merger Agreement and paying related fees and expenses. In addition, certain affiliates of Parent have provided a limited guarantee in favor of the Company, subject to certain limitations and caps, of the payment of the termination fees owed by Parent. Parent has also obtained commitments for debt financing on the terms set forth in certain debt commitment letters. The obligations of the lenders to provide debt financing under the debt commitment letter are subject to customary conditions consistent with the conditions set forth in the Merger Agreement. Pursuant to the Merger Agreement, each of Parent and Merger Sub are required to use its reasonable best efforts to obtain the financing on the terms and subject to the conditions set forth in the debt commitment letter. </w:t>
      </w:r>
    </w:p>
    <w:p>
      <w:pPr>
        <w:pStyle w:val="TextBody"/>
        <w:bidi w:val="0"/>
        <w:spacing w:before="360" w:after="0"/>
        <w:jc w:val="left"/>
        <w:rPr>
          <w:rFonts w:ascii="Times New Roman" w:hAnsi="Times New Roman"/>
          <w:i/>
          <w:sz w:val="20"/>
        </w:rPr>
      </w:pPr>
      <w:r>
        <w:rPr>
          <w:rFonts w:ascii="Times New Roman" w:hAnsi="Times New Roman"/>
          <w:i/>
          <w:sz w:val="20"/>
        </w:rPr>
        <w:t xml:space="preserve">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customary representations, warranties and covenants in the Merger Agreement, including, among others, covenants to use commercially reasonable efforts to conduct its business in the ordinary course during the period between the date of the Merger Agreement and the closing. The parties have agreed to use reasonable best efforts to take all actions necessary, proper or advisable under applicable laws to consummate the Merger, including cooperating to obtain all regulatory approvals necessary to complete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customary non-solicitation covenants that prohibit it from soliciting competing proposals or entering into discussions or negotiations or providing confidential information in connection with certain proposals for an alternative transaction. These non-solicitation provisions allow the Company, under certain circumstances and in compliance with certain obligations under the Merger Agreement, to provide non-public information to, and enter into discussions or negotiations with, third parties in response to an unsolicited competing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 Under the terms of the Merger Agreement, the Board may change its recommendation to stockholders regarding the Merger in response to an unsolicited competing proposal that the Board determines is more favorable to its stockholders than the Merger, or another intervening event as specified in the Merger Agreement, if the Board determines that the failure to take such action would be inconsistent with the directors’ fiduciary duties under applicable law. The foregoing description of the Merger Agreement does not purport to be complete and is subject to, and qualified in its entirety by, the full text of the Merger Agreement, a copy of which is filed as Exhibit 2.1 hereto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The Merger Agreement and the above descriptions have been included to provide investors with information regarding its terms. It is not intended to provide any other factual information about the Company, Parent, Merger Sub or their respective affiliates. The representations, warranties and covenants contained in the Merger Agreement were made only for the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w:t>
      </w:r>
      <w:r>
        <w:rPr>
          <w:rFonts w:ascii="Times New Roman" w:hAnsi="Times New Roman"/>
          <w:b/>
          <w:i/>
          <w:sz w:val="20"/>
        </w:rPr>
        <w:t>SEC</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Parent, and the Rights Agent will enter into the CVR Agreement. Parent will issue contractual CVRs entitling the holder thereof to receive the Milestone Payment Amounts (as defined in the CVR Agreement) contingent upon the achievement of the applicable Milestones (as defined in the CVR Agreement) with respect to Adjusted Sales (as defined below) of the Company’s Global Prostate Cancer Diagnostics Franchise, Global Neurology Diagnostics Franchise and Global DEFINITY Franchise (each, as defined in the CVR Agreement) for each Milestone Period (as defined below), to the holders of the outstanding Company Common Stock (other than the excluded shares) and certain Company equity awards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Each CVR represents the right to receive up to $12.00 per share in non-transferable contingent value rights, entitling holders to cash payments upon achievement of applicable milestones: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7"/>
        <w:gridCol w:w="60"/>
        <w:gridCol w:w="60"/>
        <w:gridCol w:w="1620"/>
        <w:gridCol w:w="60"/>
        <w:gridCol w:w="60"/>
        <w:gridCol w:w="160"/>
        <w:gridCol w:w="1667"/>
        <w:gridCol w:w="60"/>
        <w:gridCol w:w="60"/>
        <w:gridCol w:w="3551"/>
      </w:tblGrid>
      <w:tr>
        <w:trPr/>
        <w:tc>
          <w:tcPr>
            <w:tcW w:w="2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284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Franchise</w:t>
            </w:r>
          </w:p>
        </w:tc>
        <w:tc>
          <w:tcPr>
            <w:tcW w:w="60" w:type="dxa"/>
            <w:tcBorders/>
            <w:vAlign w:val="center"/>
          </w:tcPr>
          <w:p>
            <w:pPr>
              <w:pStyle w:val="TableContents"/>
              <w:bidi w:val="0"/>
              <w:spacing w:before="0" w:after="283"/>
              <w:jc w:val="left"/>
              <w:rPr/>
            </w:pPr>
            <w:r>
              <w:rPr/>
              <w:t> </w:t>
            </w:r>
          </w:p>
        </w:tc>
        <w:tc>
          <w:tcPr>
            <w:tcW w:w="1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Aggregate</w:t>
              <w:br/>
              <w:t>Sales1 Milestone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CVR</w:t>
              <w:br/>
              <w:t>Payment (in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Measurement Period</w:t>
            </w:r>
          </w:p>
        </w:tc>
      </w:tr>
      <w:tr>
        <w:trPr/>
        <w:tc>
          <w:tcPr>
            <w:tcW w:w="2847" w:type="dxa"/>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Global Prostate Cancer Diagnostics2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&gt; $950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$1.00/share</w:t>
            </w:r>
          </w:p>
        </w:tc>
        <w:tc>
          <w:tcPr>
            <w:tcW w:w="60" w:type="dxa"/>
            <w:tcBorders/>
            <w:shd w:fill="CCEEFF" w:val="clear"/>
            <w:vAlign w:val="center"/>
          </w:tcPr>
          <w:p>
            <w:pPr>
              <w:pStyle w:val="TableContents"/>
              <w:bidi w:val="0"/>
              <w:spacing w:before="0" w:after="283"/>
              <w:jc w:val="left"/>
              <w:rPr/>
            </w:pPr>
            <w:r>
              <w:rPr/>
              <w:t> </w:t>
            </w:r>
          </w:p>
        </w:tc>
        <w:tc>
          <w:tcPr>
            <w:tcW w:w="60" w:type="dxa"/>
            <w:vMerge w:val="restart"/>
            <w:tcBorders/>
            <w:shd w:fill="CCEEFF" w:val="clear"/>
            <w:vAlign w:val="center"/>
          </w:tcPr>
          <w:p>
            <w:pPr>
              <w:pStyle w:val="TableContents"/>
              <w:bidi w:val="0"/>
              <w:spacing w:before="0" w:after="283"/>
              <w:jc w:val="left"/>
              <w:rPr/>
            </w:pPr>
            <w:r>
              <w:rPr/>
              <w:t> </w:t>
            </w:r>
          </w:p>
        </w:tc>
        <w:tc>
          <w:tcPr>
            <w:tcW w:w="3551" w:type="dxa"/>
            <w:vMerge w:val="restart"/>
            <w:tcBorders/>
            <w:shd w:fill="CCEEFF" w:val="clear"/>
            <w:vAlign w:val="center"/>
          </w:tcPr>
          <w:p>
            <w:pPr>
              <w:pStyle w:val="TableContents"/>
              <w:bidi w:val="0"/>
              <w:spacing w:before="0" w:after="283"/>
              <w:jc w:val="left"/>
              <w:rPr/>
            </w:pPr>
            <w:r>
              <w:rPr/>
              <w:t>Fiscal year ending December 31, 2030</w:t>
            </w:r>
          </w:p>
        </w:tc>
      </w:tr>
      <w:tr>
        <w:trPr/>
        <w:tc>
          <w:tcPr>
            <w:tcW w:w="2847"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&gt; $1,100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$1.00/share</w:t>
            </w:r>
          </w:p>
        </w:tc>
        <w:tc>
          <w:tcPr>
            <w:tcW w:w="60" w:type="dxa"/>
            <w:tcBorders/>
            <w:shd w:fill="CCEEFF" w:val="clear"/>
            <w:vAlign w:val="center"/>
          </w:tcPr>
          <w:p>
            <w:pPr>
              <w:pStyle w:val="TableContents"/>
              <w:bidi w:val="0"/>
              <w:spacing w:before="0" w:after="283"/>
              <w:jc w:val="left"/>
              <w:rPr/>
            </w:pPr>
            <w:r>
              <w:rPr/>
              <w:t> </w:t>
            </w:r>
          </w:p>
        </w:tc>
        <w:tc>
          <w:tcPr>
            <w:tcW w:w="60" w:type="dxa"/>
            <w:vMerge w:val="continue"/>
            <w:tcBorders/>
            <w:shd w:fill="CCEEFF" w:val="clear"/>
            <w:vAlign w:val="center"/>
          </w:tcPr>
          <w:p>
            <w:pPr>
              <w:pStyle w:val="Normal"/>
              <w:bidi w:val="0"/>
              <w:jc w:val="left"/>
              <w:rPr/>
            </w:pPr>
            <w:r>
              <w:rPr/>
            </w:r>
          </w:p>
        </w:tc>
        <w:tc>
          <w:tcPr>
            <w:tcW w:w="3551" w:type="dxa"/>
            <w:vMerge w:val="continue"/>
            <w:tcBorders/>
            <w:shd w:fill="CCEEFF" w:val="clear"/>
            <w:vAlign w:val="center"/>
          </w:tcPr>
          <w:p>
            <w:pPr>
              <w:pStyle w:val="Normal"/>
              <w:bidi w:val="0"/>
              <w:jc w:val="left"/>
              <w:rPr/>
            </w:pPr>
            <w:r>
              <w:rPr/>
            </w:r>
          </w:p>
        </w:tc>
      </w:tr>
      <w:tr>
        <w:trPr/>
        <w:tc>
          <w:tcPr>
            <w:tcW w:w="2847"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&gt; $1,200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$2.00/share</w:t>
            </w:r>
          </w:p>
        </w:tc>
        <w:tc>
          <w:tcPr>
            <w:tcW w:w="60" w:type="dxa"/>
            <w:tcBorders/>
            <w:shd w:fill="CCEEFF" w:val="clear"/>
            <w:vAlign w:val="center"/>
          </w:tcPr>
          <w:p>
            <w:pPr>
              <w:pStyle w:val="TableContents"/>
              <w:bidi w:val="0"/>
              <w:spacing w:before="0" w:after="283"/>
              <w:jc w:val="left"/>
              <w:rPr/>
            </w:pPr>
            <w:r>
              <w:rPr/>
              <w:t> </w:t>
            </w:r>
          </w:p>
        </w:tc>
        <w:tc>
          <w:tcPr>
            <w:tcW w:w="60" w:type="dxa"/>
            <w:vMerge w:val="continue"/>
            <w:tcBorders/>
            <w:shd w:fill="CCEEFF" w:val="clear"/>
            <w:vAlign w:val="center"/>
          </w:tcPr>
          <w:p>
            <w:pPr>
              <w:pStyle w:val="Normal"/>
              <w:bidi w:val="0"/>
              <w:jc w:val="left"/>
              <w:rPr/>
            </w:pPr>
            <w:r>
              <w:rPr/>
            </w:r>
          </w:p>
        </w:tc>
        <w:tc>
          <w:tcPr>
            <w:tcW w:w="3551" w:type="dxa"/>
            <w:vMerge w:val="continue"/>
            <w:tcBorders/>
            <w:shd w:fill="CCEEFF" w:val="clear"/>
            <w:vAlign w:val="center"/>
          </w:tcPr>
          <w:p>
            <w:pPr>
              <w:pStyle w:val="Normal"/>
              <w:bidi w:val="0"/>
              <w:jc w:val="left"/>
              <w:rPr/>
            </w:pPr>
            <w:r>
              <w:rPr/>
            </w:r>
          </w:p>
        </w:tc>
      </w:tr>
      <w:tr>
        <w:trPr/>
        <w:tc>
          <w:tcPr>
            <w:tcW w:w="2847"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&gt; $1,500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$2.00/share</w:t>
            </w:r>
          </w:p>
        </w:tc>
        <w:tc>
          <w:tcPr>
            <w:tcW w:w="60" w:type="dxa"/>
            <w:tcBorders/>
            <w:shd w:fill="CCEEFF" w:val="clear"/>
            <w:vAlign w:val="center"/>
          </w:tcPr>
          <w:p>
            <w:pPr>
              <w:pStyle w:val="TableContents"/>
              <w:bidi w:val="0"/>
              <w:spacing w:before="0" w:after="283"/>
              <w:jc w:val="left"/>
              <w:rPr/>
            </w:pPr>
            <w:r>
              <w:rPr/>
              <w:t> </w:t>
            </w:r>
          </w:p>
        </w:tc>
        <w:tc>
          <w:tcPr>
            <w:tcW w:w="60" w:type="dxa"/>
            <w:vMerge w:val="continue"/>
            <w:tcBorders/>
            <w:shd w:fill="CCEEFF" w:val="clear"/>
            <w:vAlign w:val="center"/>
          </w:tcPr>
          <w:p>
            <w:pPr>
              <w:pStyle w:val="Normal"/>
              <w:bidi w:val="0"/>
              <w:jc w:val="left"/>
              <w:rPr/>
            </w:pPr>
            <w:r>
              <w:rPr/>
            </w:r>
          </w:p>
        </w:tc>
        <w:tc>
          <w:tcPr>
            <w:tcW w:w="3551" w:type="dxa"/>
            <w:vMerge w:val="continue"/>
            <w:tcBorders/>
            <w:shd w:fill="CCEEFF" w:val="clear"/>
            <w:vAlign w:val="center"/>
          </w:tcPr>
          <w:p>
            <w:pPr>
              <w:pStyle w:val="Normal"/>
              <w:bidi w:val="0"/>
              <w:jc w:val="left"/>
              <w:rPr/>
            </w:pPr>
            <w:r>
              <w:rPr/>
            </w:r>
          </w:p>
        </w:tc>
      </w:tr>
      <w:tr>
        <w:trPr/>
        <w:tc>
          <w:tcPr>
            <w:tcW w:w="2847"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&gt; $1,750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$2.00/share</w:t>
            </w:r>
          </w:p>
        </w:tc>
        <w:tc>
          <w:tcPr>
            <w:tcW w:w="60" w:type="dxa"/>
            <w:tcBorders/>
            <w:shd w:fill="CCEEFF" w:val="clear"/>
            <w:vAlign w:val="center"/>
          </w:tcPr>
          <w:p>
            <w:pPr>
              <w:pStyle w:val="TableContents"/>
              <w:bidi w:val="0"/>
              <w:spacing w:before="0" w:after="283"/>
              <w:jc w:val="left"/>
              <w:rPr/>
            </w:pPr>
            <w:r>
              <w:rPr/>
              <w:t> </w:t>
            </w:r>
          </w:p>
        </w:tc>
        <w:tc>
          <w:tcPr>
            <w:tcW w:w="60" w:type="dxa"/>
            <w:vMerge w:val="continue"/>
            <w:tcBorders/>
            <w:shd w:fill="CCEEFF" w:val="clear"/>
            <w:vAlign w:val="center"/>
          </w:tcPr>
          <w:p>
            <w:pPr>
              <w:pStyle w:val="Normal"/>
              <w:bidi w:val="0"/>
              <w:jc w:val="left"/>
              <w:rPr/>
            </w:pPr>
            <w:r>
              <w:rPr/>
            </w:r>
          </w:p>
        </w:tc>
        <w:tc>
          <w:tcPr>
            <w:tcW w:w="3551" w:type="dxa"/>
            <w:vMerge w:val="continue"/>
            <w:tcBorders/>
            <w:shd w:fill="CCEEFF" w:val="clear"/>
            <w:vAlign w:val="center"/>
          </w:tcPr>
          <w:p>
            <w:pPr>
              <w:pStyle w:val="Normal"/>
              <w:bidi w:val="0"/>
              <w:jc w:val="left"/>
              <w:rPr/>
            </w:pPr>
            <w:r>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2101"/>
        <w:gridCol w:w="60"/>
        <w:gridCol w:w="335"/>
        <w:gridCol w:w="1100"/>
        <w:gridCol w:w="60"/>
        <w:gridCol w:w="60"/>
        <w:gridCol w:w="140"/>
        <w:gridCol w:w="832"/>
        <w:gridCol w:w="60"/>
        <w:gridCol w:w="60"/>
        <w:gridCol w:w="5397"/>
      </w:tblGrid>
      <w:tr>
        <w:trPr/>
        <w:tc>
          <w:tcPr>
            <w:tcW w:w="2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7" w:type="dxa"/>
            <w:tcBorders/>
            <w:vAlign w:val="center"/>
          </w:tcPr>
          <w:p>
            <w:pPr>
              <w:pStyle w:val="TableContents"/>
              <w:bidi w:val="0"/>
              <w:spacing w:before="0" w:after="283"/>
              <w:jc w:val="left"/>
              <w:rPr>
                <w:sz w:val="4"/>
                <w:szCs w:val="4"/>
              </w:rPr>
            </w:pPr>
            <w:r>
              <w:rPr>
                <w:sz w:val="4"/>
                <w:szCs w:val="4"/>
              </w:rPr>
            </w:r>
          </w:p>
        </w:tc>
      </w:tr>
      <w:tr>
        <w:trPr/>
        <w:tc>
          <w:tcPr>
            <w:tcW w:w="2101"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Global Neurology Diagnostics3</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&gt; $</w:t>
            </w:r>
          </w:p>
        </w:tc>
        <w:tc>
          <w:tcPr>
            <w:tcW w:w="1100" w:type="dxa"/>
            <w:tcBorders/>
            <w:vAlign w:val="center"/>
          </w:tcPr>
          <w:p>
            <w:pPr>
              <w:pStyle w:val="TableContents"/>
              <w:bidi w:val="0"/>
              <w:spacing w:before="0" w:after="283"/>
              <w:jc w:val="right"/>
              <w:rPr/>
            </w:pPr>
            <w:r>
              <w:rPr/>
              <w:t>300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2.00/share</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5397" w:type="dxa"/>
            <w:vMerge w:val="restart"/>
            <w:tcBorders/>
            <w:vAlign w:val="center"/>
          </w:tcPr>
          <w:p>
            <w:pPr>
              <w:pStyle w:val="TableContents"/>
              <w:bidi w:val="0"/>
              <w:spacing w:before="0" w:after="283"/>
              <w:jc w:val="left"/>
              <w:rPr/>
            </w:pPr>
            <w:r>
              <w:rPr/>
              <w:t>Any of the three fiscal years ending December 31, 2028, 2029, or 2030</w:t>
            </w:r>
          </w:p>
        </w:tc>
      </w:tr>
      <w:tr>
        <w:trPr/>
        <w:tc>
          <w:tcPr>
            <w:tcW w:w="210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&gt; $</w:t>
            </w:r>
          </w:p>
        </w:tc>
        <w:tc>
          <w:tcPr>
            <w:tcW w:w="1100" w:type="dxa"/>
            <w:tcBorders/>
            <w:vAlign w:val="center"/>
          </w:tcPr>
          <w:p>
            <w:pPr>
              <w:pStyle w:val="TableContents"/>
              <w:bidi w:val="0"/>
              <w:spacing w:before="0" w:after="283"/>
              <w:jc w:val="right"/>
              <w:rPr/>
            </w:pPr>
            <w:r>
              <w:rPr/>
              <w:t>350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1.00/share</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5397" w:type="dxa"/>
            <w:vMerge w:val="continue"/>
            <w:tcBorders/>
            <w:vAlign w:val="center"/>
          </w:tcPr>
          <w:p>
            <w:pPr>
              <w:pStyle w:val="Normal"/>
              <w:bidi w:val="0"/>
              <w:jc w:val="left"/>
              <w:rPr/>
            </w:pPr>
            <w:r>
              <w:rPr/>
            </w:r>
          </w:p>
        </w:tc>
      </w:tr>
      <w:tr>
        <w:trPr/>
        <w:tc>
          <w:tcPr>
            <w:tcW w:w="21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Global DEFINITY® Business4</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&gt; $</w:t>
            </w:r>
          </w:p>
        </w:tc>
        <w:tc>
          <w:tcPr>
            <w:tcW w:w="1100" w:type="dxa"/>
            <w:tcBorders/>
            <w:shd w:fill="CCEEFF" w:val="clear"/>
            <w:vAlign w:val="center"/>
          </w:tcPr>
          <w:p>
            <w:pPr>
              <w:pStyle w:val="TableContents"/>
              <w:bidi w:val="0"/>
              <w:spacing w:before="0" w:after="283"/>
              <w:jc w:val="right"/>
              <w:rPr/>
            </w:pPr>
            <w:r>
              <w:rPr/>
              <w:t>400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1.00/share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7" w:type="dxa"/>
            <w:tcBorders/>
            <w:shd w:fill="CCEEFF" w:val="clear"/>
            <w:vAlign w:val="center"/>
          </w:tcPr>
          <w:p>
            <w:pPr>
              <w:pStyle w:val="TableContents"/>
              <w:bidi w:val="0"/>
              <w:spacing w:before="0" w:after="283"/>
              <w:jc w:val="left"/>
              <w:rPr/>
            </w:pPr>
            <w:r>
              <w:rPr/>
              <w:t>Fiscal year ending December 31, 2030</w:t>
            </w:r>
          </w:p>
        </w:tc>
      </w:tr>
    </w:tbl>
    <w:p>
      <w:pPr>
        <w:pStyle w:val="TextBody"/>
        <w:bidi w:val="0"/>
        <w:spacing w:before="240" w:after="0"/>
        <w:jc w:val="left"/>
        <w:rPr>
          <w:rFonts w:ascii="Times New Roman" w:hAnsi="Times New Roman"/>
          <w:sz w:val="20"/>
        </w:rPr>
      </w:pPr>
      <w:r>
        <w:rPr>
          <w:rFonts w:ascii="Times New Roman" w:hAnsi="Times New Roman"/>
          <w:sz w:val="20"/>
        </w:rPr>
        <w:t xml:space="preserve">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w:t>
      </w:r>
    </w:p>
    <w:p>
      <w:pPr>
        <w:pStyle w:val="TextBody"/>
        <w:bidi w:val="0"/>
        <w:spacing w:before="0" w:after="0"/>
        <w:jc w:val="left"/>
        <w:rPr>
          <w:rFonts w:ascii="Times New Roman" w:hAnsi="Times New Roman"/>
          <w:sz w:val="20"/>
        </w:rPr>
      </w:pPr>
      <w:r>
        <w:rPr>
          <w:rFonts w:ascii="Times New Roman" w:hAnsi="Times New Roman"/>
          <w:sz w:val="20"/>
        </w:rPr>
        <w:t xml:space="preserve">2 “Global Prostate Cancer Diagnostics” consists of PYLARIFY, PYLARIFY TruVu, and LNTH-2401; any radiodiagnostic containing piflufolastat or RM2; and any future PSMA-targeted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3 “Global Neurology Diagnostics” consists of Neuraceq, MK-6240, NAV-4694, LNTH-2620; any radiodiagnostic containing florbetaben, florquinitau, flutafuranol, or PI-2620; and any future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4 “Global DEFINITY Business” consists of DEFINITY and microbubble technology products containing perflutren; and any future microbubble technology products derived from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provides that Parent will use Commercially Reasonable Efforts (as defined in the CVR Agreement) to achieve each Milestone and will not take any action or fail to take any action with the purpose or intent of avoiding or impeding the obligation to pay, or of reducing, the Milestone Payment Amounts. </w:t>
      </w:r>
    </w:p>
    <w:p>
      <w:pPr>
        <w:pStyle w:val="TextBody"/>
        <w:bidi w:val="0"/>
        <w:spacing w:before="240" w:after="0"/>
        <w:jc w:val="left"/>
        <w:rPr>
          <w:rFonts w:ascii="Times New Roman" w:hAnsi="Times New Roman"/>
          <w:sz w:val="20"/>
        </w:rPr>
      </w:pPr>
      <w:r>
        <w:rPr>
          <w:rFonts w:ascii="Times New Roman" w:hAnsi="Times New Roman"/>
          <w:sz w:val="20"/>
        </w:rPr>
        <w:t xml:space="preserve">The CVRs are non-tradeable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the Company or any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of the Milestones will be achieved for the relevant Milestone Period, or that any of the resulting CVR payments will occur. Any potential payout of the CVR is subject to various risks and uncertainties related to the Global Prostate Cancer Diagnostics Franchise, Global Neurology Diagnostics Franchise and Global DEFINITY Franchise of the Company, as more fully described in the Company’s periodic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is qualified in all respects by reference to the full text of the form thereof, which is attached as Exhibit B to the Merger Agreement filed as Exhibit 2.1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In connection with the transactions contemplated by the Merger Agreement, the Board approved a $6.0 million transaction bonus pool for certain employees of the Company, including certain executive officers. Pursuant to individual transaction bonus agreements (each, a “</w:t>
      </w:r>
      <w:r>
        <w:rPr>
          <w:rFonts w:ascii="Times New Roman" w:hAnsi="Times New Roman"/>
          <w:b/>
          <w:i/>
          <w:sz w:val="20"/>
        </w:rPr>
        <w:t>Transaction Bonus Agreement</w:t>
      </w:r>
      <w:r>
        <w:rPr>
          <w:rFonts w:ascii="Times New Roman" w:hAnsi="Times New Roman"/>
          <w:sz w:val="20"/>
        </w:rPr>
        <w:t xml:space="preserve">”), the Company allocated $4.0 million and $500,000 to Mary Anne Heino and Daniel M. Niedzwiecki, respectively, two of the Company’s named executive officers, from the transaction bonus pool. Each bonus is payable in cash no later than five business days after the closing date of the Merger, subject to the individual’s continued employment through the Effective Time. The foregoing description of the Transaction Bonus Agreements is qualified in all respects by reference to the full text of the form thereof, a copy of which is filed as Exhibit 10.1 hereto and is incorporated by reference herein.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Amended Severance Letter Agreement </w:t>
      </w:r>
    </w:p>
    <w:p>
      <w:pPr>
        <w:pStyle w:val="TextBody"/>
        <w:bidi w:val="0"/>
        <w:spacing w:before="120" w:after="0"/>
        <w:jc w:val="left"/>
        <w:rPr>
          <w:rFonts w:ascii="Times New Roman" w:hAnsi="Times New Roman"/>
          <w:sz w:val="20"/>
        </w:rPr>
      </w:pPr>
      <w:r>
        <w:rPr>
          <w:rFonts w:ascii="Times New Roman" w:hAnsi="Times New Roman"/>
          <w:sz w:val="20"/>
        </w:rPr>
        <w:t>On August 1, 2026, the Company entered into amendments to the existing severance letter agreements (the “</w:t>
      </w:r>
      <w:r>
        <w:rPr>
          <w:rFonts w:ascii="Times New Roman" w:hAnsi="Times New Roman"/>
          <w:b/>
          <w:i/>
          <w:sz w:val="20"/>
        </w:rPr>
        <w:t>Severance Letter Agreements</w:t>
      </w:r>
      <w:r>
        <w:rPr>
          <w:rFonts w:ascii="Times New Roman" w:hAnsi="Times New Roman"/>
          <w:sz w:val="20"/>
        </w:rPr>
        <w:t>”) with each of its named executive officers, Mary Anne Heino, Dr. Ludger Dinkelborg, Robert J. Marshall, Jr., Amanda Morgan and Daniel M. Niedzwiecki, (each, an “</w:t>
      </w:r>
      <w:r>
        <w:rPr>
          <w:rFonts w:ascii="Times New Roman" w:hAnsi="Times New Roman"/>
          <w:b/>
          <w:i/>
          <w:sz w:val="20"/>
        </w:rPr>
        <w:t>Executive</w:t>
      </w:r>
      <w:r>
        <w:rPr>
          <w:rFonts w:ascii="Times New Roman" w:hAnsi="Times New Roman"/>
          <w:sz w:val="20"/>
        </w:rPr>
        <w:t>”, and such agreements, the “</w:t>
      </w:r>
      <w:r>
        <w:rPr>
          <w:rFonts w:ascii="Times New Roman" w:hAnsi="Times New Roman"/>
          <w:b/>
          <w:i/>
          <w:sz w:val="20"/>
        </w:rPr>
        <w:t>Amended Severance Letter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Amended Severance Letter Agreements clarify that (a) for the avoidance of doubt, Converted PSU Awards issued to the Executive will not be treated as performance-based awards but instead will be subject to solely time-vesting without any re-determination of performance conditions and that such vesting will apply to a Qualifying Termination (as defined by the Severance Letter Agreements) that occurs as of or within 12 months following the closing of the Merger, and (b) the Executive will be eligible for payment of any earned but unpaid annual bonus for 2026 in connection with a Qualifying Termination of employment as of or following the closing date of the Merger. The foregoing description of the Amended Severance Letter Agreements is qualified in all respects by reference to the full text of the form thereof, a copy of which is filed as Exhibit 10.2 hereto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 “</w:t>
      </w:r>
      <w:r>
        <w:rPr>
          <w:rFonts w:ascii="Times New Roman" w:hAnsi="Times New Roman"/>
          <w:b/>
          <w:i/>
          <w:sz w:val="20"/>
        </w:rPr>
        <w:t>Exchange Act</w:t>
      </w:r>
      <w:r>
        <w:rPr>
          <w:rFonts w:ascii="Times New Roman" w:hAnsi="Times New Roman"/>
          <w:sz w:val="20"/>
        </w:rPr>
        <w:t xml:space="preserve">”). These forward-looking statements may be identified by their use of terms such as “advance,” “believe,” “continue,” “could,” “driving,” “expect,” “guidance,” “maintain,” “may,” “on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9"/>
        <w:gridCol w:w="120"/>
        <w:gridCol w:w="9516"/>
      </w:tblGrid>
      <w:tr>
        <w:trPr/>
        <w:tc>
          <w:tcPr>
            <w:tcW w:w="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6" w:type="dxa"/>
            <w:tcBorders/>
            <w:vAlign w:val="center"/>
          </w:tcPr>
          <w:p>
            <w:pPr>
              <w:pStyle w:val="TableContents"/>
              <w:bidi w:val="0"/>
              <w:spacing w:before="0" w:after="283"/>
              <w:jc w:val="left"/>
              <w:rPr>
                <w:sz w:val="4"/>
                <w:szCs w:val="4"/>
              </w:rPr>
            </w:pPr>
            <w:r>
              <w:rPr>
                <w:sz w:val="4"/>
                <w:szCs w:val="4"/>
              </w:rPr>
            </w:r>
          </w:p>
        </w:tc>
      </w:tr>
      <w:tr>
        <w:trPr/>
        <w:tc>
          <w:tcPr>
            <w:tcW w:w="56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1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16" w:type="dxa"/>
            <w:tcBorders/>
            <w:vAlign w:val="center"/>
          </w:tcPr>
          <w:p>
            <w:pPr>
              <w:pStyle w:val="TableContents"/>
              <w:bidi w:val="0"/>
              <w:spacing w:before="0" w:after="283"/>
              <w:jc w:val="left"/>
              <w:rPr/>
            </w:pPr>
            <w:hyperlink w:anchor="d167446dex21.htm">
              <w:r>
                <w:rPr>
                  <w:rStyle w:val="InternetLink"/>
                </w:rPr>
                <w:t xml:space="preserve">Agreement and Plan of Merger, dated as of August 3, 2026, by and among Lantheus Holdings, Inc., Coco Merger Sub Inc. and Curium US Holdings LLC. </w:t>
              </w:r>
            </w:hyperlink>
          </w:p>
        </w:tc>
      </w:tr>
      <w:tr>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6" w:type="dxa"/>
            <w:tcBorders/>
            <w:vAlign w:val="center"/>
          </w:tcPr>
          <w:p>
            <w:pPr>
              <w:pStyle w:val="TableContents"/>
              <w:bidi w:val="0"/>
              <w:spacing w:before="0" w:after="283"/>
              <w:jc w:val="left"/>
              <w:rPr/>
            </w:pPr>
            <w:hyperlink w:anchor="d167446dex101.htm">
              <w:r>
                <w:rPr>
                  <w:rStyle w:val="InternetLink"/>
                </w:rPr>
                <w:t xml:space="preserve">Form of Transaction Bonus Agreement. </w:t>
              </w:r>
            </w:hyperlink>
          </w:p>
        </w:tc>
      </w:tr>
      <w:tr>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16" w:type="dxa"/>
            <w:tcBorders/>
            <w:vAlign w:val="center"/>
          </w:tcPr>
          <w:p>
            <w:pPr>
              <w:pStyle w:val="TableContents"/>
              <w:bidi w:val="0"/>
              <w:spacing w:before="0" w:after="283"/>
              <w:jc w:val="left"/>
              <w:rPr/>
            </w:pPr>
            <w:hyperlink w:anchor="d167446dex102.htm">
              <w:r>
                <w:rPr>
                  <w:rStyle w:val="InternetLink"/>
                </w:rPr>
                <w:t xml:space="preserve">Form of Amended Severance Letter Agreement between Lantheus Holdings, Inc. and certain employees. </w:t>
              </w:r>
            </w:hyperlink>
          </w:p>
        </w:tc>
      </w:tr>
      <w:tr>
        <w:trPr/>
        <w:tc>
          <w:tcPr>
            <w:tcW w:w="569" w:type="dxa"/>
            <w:tcBorders/>
            <w:vAlign w:val="center"/>
          </w:tcPr>
          <w:p>
            <w:pPr>
              <w:pStyle w:val="TableContents"/>
              <w:bidi w:val="0"/>
              <w:spacing w:before="0" w:after="283"/>
              <w:jc w:val="left"/>
              <w:rPr>
                <w:sz w:val="4"/>
                <w:szCs w:val="4"/>
              </w:rPr>
            </w:pPr>
            <w:r>
              <w:rPr>
                <w:sz w:val="4"/>
                <w:szCs w:val="4"/>
              </w:rPr>
            </w:r>
          </w:p>
        </w:tc>
        <w:tc>
          <w:tcPr>
            <w:tcW w:w="963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6"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w:t>
            </w:r>
          </w:p>
        </w:tc>
        <w:tc>
          <w:tcPr>
            <w:tcW w:w="10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601(a)(5) of Regulation S-K, certain schedules and similar attachments have been omitted. The registrant hereby agrees to furnish a copy of any omitted schedule or similar attachment to the SEC upon request; provided, however, that the Company may request confidential treatment pursuant to Rule 24b-2 of the Exchange Act for any schedule or exhibit so furnished.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601(b)(2)(ii) of Regulation S-K promulgated by the SEC, certain portions of this exhibit have been redacted because the Company customarily and actually treats such omitted information as private or confidential and because such omitted information is not material.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August 3, 2026</w:t>
      </w:r>
    </w:p>
    <w:p>
      <w:pPr>
        <w:pStyle w:val="TextBody"/>
        <w:bidi w:val="0"/>
        <w:spacing w:before="0" w:after="0"/>
        <w:jc w:val="right"/>
        <w:rPr>
          <w:rFonts w:ascii="Times New Roman" w:hAnsi="Times New Roman"/>
          <w:b/>
          <w:sz w:val="20"/>
        </w:rPr>
      </w:pPr>
      <w:bookmarkStart w:id="2" w:name="d167446dex21.htm"/>
      <w:bookmarkStart w:id="3" w:name="ksd167446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CURIUM US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COCO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6"/>
        <w:gridCol w:w="95"/>
        <w:gridCol w:w="7776"/>
        <w:gridCol w:w="149"/>
        <w:gridCol w:w="96"/>
        <w:gridCol w:w="419"/>
        <w:gridCol w:w="64"/>
      </w:tblGrid>
      <w:tr>
        <w:trPr/>
        <w:tc>
          <w:tcPr>
            <w:tcW w:w="160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77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77" w:type="dxa"/>
            <w:gridSpan w:val="3"/>
            <w:tcBorders/>
          </w:tcPr>
          <w:p>
            <w:pPr>
              <w:pStyle w:val="TableContents"/>
              <w:bidi w:val="0"/>
              <w:spacing w:before="0" w:after="283"/>
              <w:jc w:val="left"/>
              <w:rPr/>
            </w:pPr>
            <w:r>
              <w:rPr/>
              <w:t>ARTICLE I THE MERGER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The Merger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Closing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Effective Time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Directors and Officers of the Surviving Corporation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283"/>
              <w:jc w:val="left"/>
              <w:rPr/>
            </w:pPr>
            <w:r>
              <w:rPr/>
              <w:t>ARTICLE II CONVERSION OF SECURITIES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Conversion of Capital Stock</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Payment for Securities; Surrender of Certificates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Dissenting Shares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Treatment of Company Equity Awards.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Withholding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283"/>
              <w:jc w:val="left"/>
              <w:rPr/>
            </w:pPr>
            <w:r>
              <w:rPr/>
              <w:t>ARTICLE III REPRESENTATIONS AND WARRANTIES OF THE COMPANY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Organization and Qualification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Capitalization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Authorization; Validity of Agreement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Board Approvals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No Violations; Consents and Approvals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Company SEC Documents; Financial Statements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Absence of Certain Changes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No Undisclosed Liabilities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Litigation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Employee Benefit Plans; ERISA</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Labor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Taxes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Contracts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Title to Assets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Real Property.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Environmental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Intellectual Property; Data Privacy and Security.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Compliance with Laws; Permits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Regulatory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Anti-Corruption and Trade Control Laws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Privacy and Information Security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Proxy Statement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Opinion of Financial Advisor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Insurance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Related Party Transactions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Brokers; Expenses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0350" w:type="dxa"/>
        <w:jc w:val="center"/>
        <w:tblInd w:w="0" w:type="dxa"/>
        <w:tblLayout w:type="fixed"/>
        <w:tblCellMar>
          <w:top w:w="0" w:type="dxa"/>
          <w:left w:w="0" w:type="dxa"/>
          <w:bottom w:w="0" w:type="dxa"/>
          <w:right w:w="0" w:type="dxa"/>
        </w:tblCellMar>
      </w:tblPr>
      <w:tblGrid>
        <w:gridCol w:w="1040"/>
        <w:gridCol w:w="60"/>
        <w:gridCol w:w="875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Government Contracts and Government Bids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IV REPRESENTATIONS AND WARRANTIES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Organization and Qualification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Authorization; Validity of Agreement; Necessary 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Violations; Consents and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Information in the 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Ownership of Company Capital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Sufficient Funds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Ownership and Operations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Vote/Approval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Brokers;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Agreements with Stockholders or Management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Other Investments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Investigation; Limitation on Warranties; Disclaimer of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V CERTAIN COVENANTS OF THE COMPANY AND PARENT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Conduct of Business by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Company Stockholders Meeting; 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VI ADDITIONAL AGREEMENTS OF THE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Access; 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Regulatory Filings;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Publicity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Directors’ and Officers’ Insurance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State Takeover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Obligations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Employee Benefits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Control of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Conduct of Parent.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Transaction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Deregistration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Financing; Financing Cooperation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CVR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Company Convertible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29"/>
        <w:gridCol w:w="78"/>
        <w:gridCol w:w="8282"/>
        <w:gridCol w:w="133"/>
        <w:gridCol w:w="60"/>
        <w:gridCol w:w="260"/>
        <w:gridCol w:w="63"/>
      </w:tblGrid>
      <w:tr>
        <w:trPr/>
        <w:tc>
          <w:tcPr>
            <w:tcW w:w="1329"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28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Further Assurance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Director Resignations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Certain Tax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VII CONDITIONS TO CONSUMMATION OF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Each Party’s Obligations to Effect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Obligations of Parent and Merger Sub</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Obligations of the Company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VIII 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Effect of 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Termination Fees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IX MISCELLANEOUS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Amendment and Modification;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Non-Survival of Representations, Warranties, Covenants and Agreements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Expenses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Notices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Interpretation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Counterparts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Entire Agreement; Third-Party Beneficiaries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Severability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Governing Law; Jurisdiction; Specific Performance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Assignment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Defined Terms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0"/>
        <w:gridCol w:w="120"/>
        <w:gridCol w:w="9035"/>
      </w:tblGrid>
      <w:tr>
        <w:trPr/>
        <w:tc>
          <w:tcPr>
            <w:tcW w:w="10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35" w:type="dxa"/>
            <w:tcBorders/>
            <w:vAlign w:val="center"/>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u w:val="single"/>
              </w:rPr>
              <w:t>Exhibits</w:t>
            </w:r>
            <w:r>
              <w:rPr/>
              <w:t>:</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pPr>
            <w:r>
              <w:rPr/>
              <w:t>Form of Certificate of Incorporation of the Surviving Corporation</w:t>
            </w:r>
          </w:p>
        </w:tc>
      </w:tr>
      <w:tr>
        <w:trPr/>
        <w:tc>
          <w:tcPr>
            <w:tcW w:w="1050"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pPr>
            <w:r>
              <w:rPr/>
              <w:t>Form of Contingent Value Rights Agreement</w:t>
            </w:r>
          </w:p>
        </w:tc>
      </w:tr>
      <w:tr>
        <w:trPr>
          <w:trHeight w:val="240" w:hRule="atLeast"/>
        </w:trPr>
        <w:tc>
          <w:tcPr>
            <w:tcW w:w="105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u w:val="single"/>
              </w:rPr>
              <w:t>Schedule</w:t>
            </w:r>
            <w:r>
              <w:rPr/>
              <w:t>:</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Company Disclosure Schedule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3, 2026, is by and among Curium US Holdings LLC, a Delaware limited liability company (“</w:t>
      </w:r>
      <w:r>
        <w:rPr>
          <w:rFonts w:ascii="Times New Roman" w:hAnsi="Times New Roman"/>
          <w:sz w:val="20"/>
          <w:u w:val="single"/>
        </w:rPr>
        <w:t>Parent</w:t>
      </w:r>
      <w:r>
        <w:rPr>
          <w:rFonts w:ascii="Times New Roman" w:hAnsi="Times New Roman"/>
          <w:sz w:val="20"/>
        </w:rPr>
        <w:t>”), Coco Merger Sub Inc., a Delaware corporation and a wholly-owned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 ascribed to such terms in </w:t>
      </w:r>
      <w:r>
        <w:rPr>
          <w:rFonts w:ascii="Times New Roman" w:hAnsi="Times New Roman"/>
          <w:sz w:val="20"/>
          <w:u w:val="single"/>
        </w:rPr>
        <w:t>Section 9.11</w:t>
      </w:r>
      <w:r>
        <w:rPr>
          <w:rFonts w:ascii="Times New Roman" w:hAnsi="Times New Roman"/>
          <w:sz w:val="20"/>
        </w:rPr>
        <w:t xml:space="preserve"> or as otherwise defined elsewhere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unanimously approved and declared advisable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(i) determined that this Agreement and the Transactions, including the Merger, are fair to, and in the best interests of, Merger Sub and its sole stockholder, (ii) approved, adopted and declared advisable this Agreement and the Transactions, including the Merger, in accordance with the requirements of the DGCL and (iii) resolved to recommend that the sole stockholder of Merger Sub approve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Parent has delivered to the Company (i) the Equity Commitment Letter providing for the commitment of the Equity Investors in favor of the Company with respect to certain obligations of Parent and Merger Sub under this Agreement, as specified therein, (ii) the Guarantee and (iii) the Debt Commitment Letters providing for the commitment of the Debt Financing Sources in favor of Parent and/or its Affiliates (as applicable) with respect to certain obligations of Parent and Merger Sub under this Agreement, as specified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desire to make certain representations, warranties, covenants and agreements in connection with the Merger and also provide for various conditions governing the Transactions, including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mutual covenants and premises contained in this Agreement and for other good and valuable consideration, the receipt and adequacy of which are hereby acknowledged, the parties to this Agreement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of this Agreement, and in accordance with the relevant provisions of the DGCL, at the Effective Time, Merger Sub shall be merged with and into the Company in accordance with the DGCL (the “</w:t>
      </w:r>
      <w:r>
        <w:rPr>
          <w:rFonts w:ascii="Times New Roman" w:hAnsi="Times New Roman"/>
          <w:sz w:val="20"/>
          <w:u w:val="single"/>
        </w:rPr>
        <w:t>Merger</w:t>
      </w:r>
      <w:r>
        <w:rPr>
          <w:rFonts w:ascii="Times New Roman" w:hAnsi="Times New Roman"/>
          <w:sz w:val="20"/>
        </w:rPr>
        <w:t>”), whereupon the separate existence of Merger Sub shall cease and the Company shall be the surviving corporation (the “</w:t>
      </w:r>
      <w:r>
        <w:rPr>
          <w:rFonts w:ascii="Times New Roman" w:hAnsi="Times New Roman"/>
          <w:sz w:val="20"/>
          <w:u w:val="single"/>
        </w:rPr>
        <w:t>Surviving Corporation</w:t>
      </w:r>
      <w:r>
        <w:rPr>
          <w:rFonts w:ascii="Times New Roman" w:hAnsi="Times New Roman"/>
          <w:sz w:val="20"/>
        </w:rPr>
        <w:t xml:space="preserve">”). The Merger shall have the effects set forth in this Agreement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(i) the Company Charter shall, by virtue of the Merger, be amended and restated in its entirety so as to read in the form attached hereto as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in accordance with the provisions thereof and applicable Law, subject to </w:t>
      </w:r>
      <w:r>
        <w:rPr>
          <w:rFonts w:ascii="Times New Roman" w:hAnsi="Times New Roman"/>
          <w:sz w:val="20"/>
          <w:u w:val="single"/>
        </w:rPr>
        <w:t>Section 6.4</w:t>
      </w:r>
      <w:r>
        <w:rPr>
          <w:rFonts w:ascii="Times New Roman" w:hAnsi="Times New Roman"/>
          <w:sz w:val="20"/>
        </w:rPr>
        <w:t xml:space="preserve"> and (ii) the Company Bylaws will be amended and restated in their entirety to read in their entirety in the form of the bylaws of Merger Sub, but with such modifications to reflect (A) any provisions required pursuant to </w:t>
      </w:r>
      <w:r>
        <w:rPr>
          <w:rFonts w:ascii="Times New Roman" w:hAnsi="Times New Roman"/>
          <w:sz w:val="20"/>
          <w:u w:val="single"/>
        </w:rPr>
        <w:t>Section 6.4</w:t>
      </w:r>
      <w:r>
        <w:rPr>
          <w:rFonts w:ascii="Times New Roman" w:hAnsi="Times New Roman"/>
          <w:sz w:val="20"/>
        </w:rPr>
        <w:t xml:space="preserve"> and (B) that the name of the Surviving Corporation shall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will take place remotely by electronic exchange of signatures and documents as promptly as practicable, and in any event no later than the fifth (5th) Business Day after the satisfaction or, to the extent permitted by Law, waiver by the party or parties entitled to the benefit thereof of the last of the conditions set forth in </w:t>
      </w:r>
      <w:r>
        <w:rPr>
          <w:rFonts w:ascii="Times New Roman" w:hAnsi="Times New Roman"/>
          <w:sz w:val="20"/>
          <w:u w:val="single"/>
        </w:rPr>
        <w:t>Article VII</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The date on which the Closing actually takes place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Subject to the terms and conditions of this Agreement, Parent, Merger Sub and the Company shall cause a certificate of merger (the “</w:t>
      </w:r>
      <w:r>
        <w:rPr>
          <w:rFonts w:ascii="Times New Roman" w:hAnsi="Times New Roman"/>
          <w:sz w:val="20"/>
          <w:u w:val="single"/>
        </w:rPr>
        <w:t>Certificate of Merger</w:t>
      </w:r>
      <w:r>
        <w:rPr>
          <w:rFonts w:ascii="Times New Roman" w:hAnsi="Times New Roman"/>
          <w:sz w:val="20"/>
        </w:rPr>
        <w:t>”) to be executed and filed on the Closing Date with the Secretary of State of the State of Delaware in accordance with the relevant provisions of the DGCL, and shall make all other filings or recordings required under the DGCL. The Merger shall become effective at the time such Certificate of Merger shall have been duly filed with, and accepted by, the Secretary of State of the State of Delaware or such other date and time as is agreed upon in writing by the parties and specified in the Certificate of Merger. The time as of which the Merger becomes effective is referred to herein as the “</w:t>
      </w:r>
      <w:r>
        <w:rPr>
          <w:rFonts w:ascii="Times New Roman" w:hAnsi="Times New Roman"/>
          <w:sz w:val="20"/>
          <w:u w:val="single"/>
        </w:rPr>
        <w:t>Effective Time</w:t>
      </w:r>
      <w:r>
        <w:rPr>
          <w:rFonts w:ascii="Times New Roman" w:hAnsi="Times New Roman"/>
          <w:sz w:val="20"/>
        </w:rPr>
        <w:t xml:space="preserve">.” From and after the Effective Time, the Surviving Corporation shall possess all rights, privileges, powers, immunities, and property of the Company and Merger Sub, and all of the debts, liabilities and duties of the Company and Merger Sub shall become the debts, liabilities,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Directors and Officers of the Surviving Corporation</w:t>
      </w:r>
      <w:r>
        <w:rPr>
          <w:rFonts w:ascii="Times New Roman" w:hAnsi="Times New Roman"/>
          <w:sz w:val="20"/>
        </w:rPr>
        <w:t xml:space="preserve">. The directors of Merger Sub immediately prior to the Effective Time shall, from and after the Effective Time, be appointed as the directors of the Surviving Corporation, and the officers of Merger Sub immediately prior to the Effective Time shall,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CONVERSION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Conversion of Capital Stock</w:t>
      </w:r>
      <w:r>
        <w:rPr>
          <w:rFonts w:ascii="Times New Roman" w:hAnsi="Times New Roman"/>
          <w:sz w:val="20"/>
        </w:rPr>
        <w:t xml:space="preserve">. At the Effective Time, by virtue of the Merger and without any action on the part of the holders of any securities of the Company or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Each share of common stock, par value $0.01 per share, of the Company (the “</w:t>
      </w:r>
      <w:r>
        <w:rPr>
          <w:rFonts w:ascii="Times New Roman" w:hAnsi="Times New Roman"/>
          <w:sz w:val="20"/>
          <w:u w:val="single"/>
        </w:rPr>
        <w:t>Common Stock</w:t>
      </w:r>
      <w:r>
        <w:rPr>
          <w:rFonts w:ascii="Times New Roman" w:hAnsi="Times New Roman"/>
          <w:sz w:val="20"/>
        </w:rPr>
        <w:t>,” and each such share, a “</w:t>
      </w:r>
      <w:r>
        <w:rPr>
          <w:rFonts w:ascii="Times New Roman" w:hAnsi="Times New Roman"/>
          <w:sz w:val="20"/>
          <w:u w:val="single"/>
        </w:rPr>
        <w:t>Share</w:t>
      </w:r>
      <w:r>
        <w:rPr>
          <w:rFonts w:ascii="Times New Roman" w:hAnsi="Times New Roman"/>
          <w:sz w:val="20"/>
        </w:rPr>
        <w:t xml:space="preserve">”)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xml:space="preserve"> and other than Dissenting Shares) shall be converted into the right to receive (i) an amount per Share in cash equal to $102.50, without interest (the “</w:t>
      </w:r>
      <w:r>
        <w:rPr>
          <w:rFonts w:ascii="Times New Roman" w:hAnsi="Times New Roman"/>
          <w:sz w:val="20"/>
          <w:u w:val="single"/>
        </w:rPr>
        <w:t>Per Share Cash Consideration</w:t>
      </w:r>
      <w:r>
        <w:rPr>
          <w:rFonts w:ascii="Times New Roman" w:hAnsi="Times New Roman"/>
          <w:sz w:val="20"/>
        </w:rPr>
        <w:t>”), and (ii) one (1) contractual contingent value right (a “</w:t>
      </w:r>
      <w:r>
        <w:rPr>
          <w:rFonts w:ascii="Times New Roman" w:hAnsi="Times New Roman"/>
          <w:sz w:val="20"/>
          <w:u w:val="single"/>
        </w:rPr>
        <w:t>CVR</w:t>
      </w:r>
      <w:r>
        <w:rPr>
          <w:rFonts w:ascii="Times New Roman" w:hAnsi="Times New Roman"/>
          <w:sz w:val="20"/>
        </w:rPr>
        <w:t xml:space="preserve">”) per Share, which shall represent the right to receive one or more Milestone Payments, without interest, if and when payable pursuant to, and subject to the terms and conditions of, the CVR Agreement (the consideration contemplated by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together, the “</w:t>
      </w:r>
      <w:r>
        <w:rPr>
          <w:rFonts w:ascii="Times New Roman" w:hAnsi="Times New Roman"/>
          <w:sz w:val="20"/>
          <w:u w:val="single"/>
        </w:rPr>
        <w:t>Merger Consideration</w:t>
      </w:r>
      <w:r>
        <w:rPr>
          <w:rFonts w:ascii="Times New Roman" w:hAnsi="Times New Roman"/>
          <w:sz w:val="20"/>
        </w:rPr>
        <w:t xml:space="preserve">”), in each case, subject to any applicable withholding Tax. From and after the Effective Time, all such Shares shall no longer be outstanding and shall automatically be canceled and shall cease to exist, and each holder of a Share shall cease to have any rights with respect thereto, except for the right to receive the applicable Merger Consideration therefor upon the surrender of such Share in accordance with </w:t>
      </w:r>
      <w:r>
        <w:rPr>
          <w:rFonts w:ascii="Times New Roman" w:hAnsi="Times New Roman"/>
          <w:sz w:val="20"/>
          <w:u w:val="single"/>
        </w:rPr>
        <w:t>Section 2.2</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Treasury Stock and Parent-Owned Company Common Stock</w:t>
      </w:r>
      <w:r>
        <w:rPr>
          <w:rFonts w:ascii="Times New Roman" w:hAnsi="Times New Roman"/>
          <w:sz w:val="20"/>
        </w:rPr>
        <w:t xml:space="preserve">. All Shares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shall be canceled and shall cease to exist, and no payment shall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Sub Common Stock</w:t>
      </w:r>
      <w:r>
        <w:rPr>
          <w:rFonts w:ascii="Times New Roman" w:hAnsi="Times New Roman"/>
          <w:sz w:val="20"/>
        </w:rPr>
        <w:t>. Each issued and outstanding share of common stock, par value $0.01 per share, of Merger Sub (the “</w:t>
      </w:r>
      <w:r>
        <w:rPr>
          <w:rFonts w:ascii="Times New Roman" w:hAnsi="Times New Roman"/>
          <w:sz w:val="20"/>
          <w:u w:val="single"/>
        </w:rPr>
        <w:t>Merger Sub Common Stock</w:t>
      </w:r>
      <w:r>
        <w:rPr>
          <w:rFonts w:ascii="Times New Roman" w:hAnsi="Times New Roman"/>
          <w:sz w:val="20"/>
        </w:rPr>
        <w:t xml:space="preserve">”) shall be converted into and become one fully paid and nonassessable share of common stock of the Surviving Corporation and shall constitute the only outstanding shares of capital stock of the Surviving Corporation. From and after the Effective Time, all certificates representing Merger Sub Common Stock shall be deemed for all purposes to represent the number of shares of common stock of the Surviving Corporation into which they were converted in accordance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Merger Consideration</w:t>
      </w:r>
      <w:r>
        <w:rPr>
          <w:rFonts w:ascii="Times New Roman" w:hAnsi="Times New Roman"/>
          <w:sz w:val="20"/>
        </w:rPr>
        <w:t xml:space="preserve">. The Merger Consideration shall be equitably adjusted appropriately, without duplication, to reflect the effect of any stock split, reverse stock split, stock dividend (including any dividend or distribution of securities convertible into Shares), cash dividend, reorganization, recapitalization, reclassification, combination, exchange of shares or other like change with respect to the Shares occurring on or after the date hereof and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Effective Time, Parent or Merger Sub shall designate a nationally recognized bank or trust company, which shall be reasonably acceptable to the Company, to act as the payment agent in connection with the Merger (the “</w:t>
      </w:r>
      <w:r>
        <w:rPr>
          <w:rFonts w:ascii="Times New Roman" w:hAnsi="Times New Roman"/>
          <w:sz w:val="20"/>
          <w:u w:val="single"/>
        </w:rPr>
        <w:t>Paying Agent</w:t>
      </w:r>
      <w:r>
        <w:rPr>
          <w:rFonts w:ascii="Times New Roman" w:hAnsi="Times New Roman"/>
          <w:sz w:val="20"/>
        </w:rPr>
        <w:t xml:space="preserve">”) and shall enter into an agreement in writing with the Paying Agent in a form reasonably acceptable to the Company and Parent. Prior to or at the Effective Time, Parent or Merger Sub shall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w:t>
      </w:r>
      <w:r>
        <w:rPr>
          <w:rFonts w:ascii="Times New Roman" w:hAnsi="Times New Roman"/>
          <w:sz w:val="20"/>
          <w:u w:val="single"/>
        </w:rPr>
        <w:t>Section 2.1(a)</w:t>
      </w:r>
      <w:r>
        <w:rPr>
          <w:rFonts w:ascii="Times New Roman" w:hAnsi="Times New Roman"/>
          <w:sz w:val="20"/>
        </w:rPr>
        <w:t xml:space="preserve"> (the “</w:t>
      </w:r>
      <w:r>
        <w:rPr>
          <w:rFonts w:ascii="Times New Roman" w:hAnsi="Times New Roman"/>
          <w:sz w:val="20"/>
          <w:u w:val="single"/>
        </w:rPr>
        <w:t>Exchange Fund</w:t>
      </w:r>
      <w:r>
        <w:rPr>
          <w:rFonts w:ascii="Times New Roman" w:hAnsi="Times New Roman"/>
          <w:sz w:val="20"/>
        </w:rPr>
        <w:t xml:space="preserve">”). In the event the Exchange Fund shall be, at any time, insufficient to make the cash payments contemplated by </w:t>
      </w:r>
      <w:r>
        <w:rPr>
          <w:rFonts w:ascii="Times New Roman" w:hAnsi="Times New Roman"/>
          <w:sz w:val="20"/>
          <w:u w:val="single"/>
        </w:rPr>
        <w:t>Section 2.1(a)</w:t>
      </w:r>
      <w:r>
        <w:rPr>
          <w:rFonts w:ascii="Times New Roman" w:hAnsi="Times New Roman"/>
          <w:sz w:val="20"/>
        </w:rPr>
        <w:t xml:space="preserve">, Parent shall, or shall cause Merger Sub to, promptly deposit additional funds with the Paying Agent in an amount which is equal to the deficiency in the amount required to make such payment. The Exchange Fund shall not be used for any purpose that is not expressly provided for in this Agreement. The Exchange Fund shall be invested by the Paying Agent as reasonably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any Shares represented by Certificates or any Book-Entry Shares pursuant to this </w:t>
      </w:r>
      <w:r>
        <w:rPr>
          <w:rFonts w:ascii="Times New Roman" w:hAnsi="Times New Roman"/>
          <w:sz w:val="20"/>
          <w:u w:val="single"/>
        </w:rPr>
        <w:t>Article II</w:t>
      </w:r>
      <w:r>
        <w:rPr>
          <w:rFonts w:ascii="Times New Roman" w:hAnsi="Times New Roman"/>
          <w:sz w:val="20"/>
        </w:rPr>
        <w:t xml:space="preserve">. Parent shall promptly replace or restore the cash in the Exchange Fund so as to ensure that the Exchange Fund is at all times maintained at a level sufficient for the Paying Agent to make all payments of the aggregate Per Share Cash Consideration in accordance herewith. Any interest and other income resulting from such investments shall be paid to the Surviving Corporation on the earlier to occur of 12 months after the Effective Time or full disbursement of the Exchange Fund.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As promptly as practicable after the Effective Time (but in no event later than two (2) Business Days after the Effective Time), Parent shall, and shall cause the Surviving Corporation to, cause the Paying Agent to mail to each holder of record of a certificate or certificates which immediately prior to the Effective Time represented outstanding Shares (the “</w:t>
      </w:r>
      <w:r>
        <w:rPr>
          <w:rFonts w:ascii="Times New Roman" w:hAnsi="Times New Roman"/>
          <w:sz w:val="20"/>
          <w:u w:val="single"/>
        </w:rPr>
        <w:t>Certificates</w:t>
      </w:r>
      <w:r>
        <w:rPr>
          <w:rFonts w:ascii="Times New Roman" w:hAnsi="Times New Roman"/>
          <w:sz w:val="20"/>
        </w:rPr>
        <w:t>”) or non-certificated Shares represented by book-entry (“</w:t>
      </w:r>
      <w:r>
        <w:rPr>
          <w:rFonts w:ascii="Times New Roman" w:hAnsi="Times New Roman"/>
          <w:sz w:val="20"/>
          <w:u w:val="single"/>
        </w:rPr>
        <w:t>Book-Entry Shares</w:t>
      </w:r>
      <w:r>
        <w:rPr>
          <w:rFonts w:ascii="Times New Roman" w:hAnsi="Times New Roman"/>
          <w:sz w:val="20"/>
        </w:rPr>
        <w:t xml:space="preserve">”) and whose Shares were converted pursuant to </w:t>
      </w:r>
      <w:r>
        <w:rPr>
          <w:rFonts w:ascii="Times New Roman" w:hAnsi="Times New Roman"/>
          <w:sz w:val="20"/>
          <w:u w:val="single"/>
        </w:rPr>
        <w:t>Section 2.1</w:t>
      </w:r>
      <w:r>
        <w:rPr>
          <w:rFonts w:ascii="Times New Roman" w:hAnsi="Times New Roman"/>
          <w:sz w:val="20"/>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Paying Agent and shall be in such customary form and have such other provisions as Parent and the Company may reasonably agree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shall be entitled to receive in exchange therefor the Merger Consideration for each Share formerly represented by such Certificate or Book-Entry Share, to be delivered or paid, as applicable, within five (5) Business Days following the later to occur of (A) the Effective Time or (B) the Paying Agent’s receipt of such Certificate (or affidavit of loss in lieu thereof) or Book-Entry Share, and the Certificate (or affidavit of loss in lieu thereof) or Book-Entry Share so surrendered shall be forthwith canceled. The Paying Agent shall accept such Certificates (or affidavits of loss in lieu thereof) or Book-Entry Shares upon compliance with such reasonable terms and conditions as the Paying Agent may impose to effect an orderly exchange thereof in accordance with normal exchange practices. If payment of any Per Share Cash Consideration or delivery of any CVR is to be made to a Person other than the Person in whose name the surrendered Certificate is registered, it shall be a condition precedent of payment or delivery that (1) the Certificate so surrendered shall be properly endorsed or shall be otherwise in proper form for transfer and (2) the Person requesting such payment or delivery shall have paid any transfer and other similar Taxes required by reason of the payment of the Per Share Cash Consideration or delivery of such CVR to a Person other than the registered holder of the Certificate surrendered or shall have established to the satisfaction of the Paying Agent that such Tax either has been paid or is not required to be paid. Payment of the Per Share Cash Consideration and delivery of the CVR with respect to Book-Entry Shares shall only be made to the Person in whose name such Book-Entry Shares are registered. Until surrendered as contemplated by this </w:t>
      </w:r>
      <w:r>
        <w:rPr>
          <w:rFonts w:ascii="Times New Roman" w:hAnsi="Times New Roman"/>
          <w:sz w:val="20"/>
          <w:u w:val="single"/>
        </w:rPr>
        <w:t>Section 2.2</w:t>
      </w:r>
      <w:r>
        <w:rPr>
          <w:rFonts w:ascii="Times New Roman" w:hAnsi="Times New Roman"/>
          <w:sz w:val="20"/>
        </w:rPr>
        <w:t xml:space="preserve">, each Share represented by a Certificate and each Book-Entry Share shall be deemed at any time after the Effective Time to represent only the right to receive the Merger Consideration as contemplated by this </w:t>
      </w:r>
      <w:r>
        <w:rPr>
          <w:rFonts w:ascii="Times New Roman" w:hAnsi="Times New Roman"/>
          <w:sz w:val="20"/>
          <w:u w:val="single"/>
        </w:rPr>
        <w:t>Article II</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(c) Parent and the Company shall reasonably cooperate to establish procedures with the Paying Agent, the Rights Agent, DTC, DTC’s nominees and any other necessary third party intermediaries to ensure that (i) the Paying Agent will transmit to DTC or its nominee as soon as practicable after the Effective Time (but in no event more than one (1) Business Day thereafter), upon surrender of Shares held of record by DTC or its nominee in accordance with DTC’s customary surrender procedures, the Per Share Cash Consideration payable pursuant to </w:t>
      </w:r>
      <w:r>
        <w:rPr>
          <w:rFonts w:ascii="Times New Roman" w:hAnsi="Times New Roman"/>
          <w:sz w:val="20"/>
          <w:u w:val="single"/>
        </w:rPr>
        <w:t>Section 2.1</w:t>
      </w:r>
      <w:r>
        <w:rPr>
          <w:rFonts w:ascii="Times New Roman" w:hAnsi="Times New Roman"/>
          <w:sz w:val="20"/>
        </w:rPr>
        <w:t xml:space="preserve">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Books; No Further Ownership Rights in Shares</w:t>
      </w:r>
      <w:r>
        <w:rPr>
          <w:rFonts w:ascii="Times New Roman" w:hAnsi="Times New Roman"/>
          <w:sz w:val="20"/>
        </w:rPr>
        <w:t xml:space="preserve">. At the Effective Time, the stock transfer books of the Company shall be closed and thereafter there shall be no further registration of transfers of Shares on the records of the Company. From and after the Effective Time, the holders of Certificates or Book-Entry Shares outstanding immediately prior to the Effective Time shall cease to have any rights with respect to such Shares except as otherwise provided for herein or by applicable Law. If, after the Effective Time, any Certificates or Book-Entry Shares are presented to the Surviving Corporation or the Paying Agent for any reason, they shall be canceled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 No Liability</w:t>
      </w:r>
      <w:r>
        <w:rPr>
          <w:rFonts w:ascii="Times New Roman" w:hAnsi="Times New Roman"/>
          <w:sz w:val="20"/>
        </w:rPr>
        <w:t xml:space="preserve">. At any time beginning on the date that is 12 months after the Effective Time, the Surviving Corporation shall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shall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w:t>
      </w:r>
      <w:r>
        <w:rPr>
          <w:rFonts w:ascii="Times New Roman" w:hAnsi="Times New Roman"/>
          <w:sz w:val="20"/>
          <w:u w:val="single"/>
        </w:rPr>
        <w:t>Section 2.2(b)</w:t>
      </w:r>
      <w:r>
        <w:rPr>
          <w:rFonts w:ascii="Times New Roman" w:hAnsi="Times New Roman"/>
          <w:sz w:val="20"/>
        </w:rPr>
        <w:t xml:space="preserve">, without any interest thereon. Parent and the Surviving Corporation shall remain jointly and severally liable for payment of claims for the Merger Consideration made pursuant to this </w:t>
      </w:r>
      <w:r>
        <w:rPr>
          <w:rFonts w:ascii="Times New Roman" w:hAnsi="Times New Roman"/>
          <w:sz w:val="20"/>
          <w:u w:val="single"/>
        </w:rPr>
        <w:t>Article II</w:t>
      </w:r>
      <w:r>
        <w:rPr>
          <w:rFonts w:ascii="Times New Roman" w:hAnsi="Times New Roman"/>
          <w:sz w:val="20"/>
        </w:rPr>
        <w:t xml:space="preserve">. Notwithstanding the foregoing, none of the Surviving Corporation, Parent, the Rights Agent or the Paying Agent shall be liable to any holder of a Certificate or Book-Entry Share for any Merger Consideration delivered to a public official pursuant to any applicable abandoned property, escheat or similar Law. Any Merger Consideration remaining unclaimed by holders of Certificates or Book-Entry Shares immediately prior to such time as such amounts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Parent shall cause the Paying Agent to pay, and shall cause the Rights Agent to deliver, as applicable, in exchange for such lost, stolen or destroyed Certificates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upon the making of an affidavit of that fact by the holder thereof; </w:t>
      </w:r>
      <w:r>
        <w:rPr>
          <w:rFonts w:ascii="Times New Roman" w:hAnsi="Times New Roman"/>
          <w:sz w:val="20"/>
          <w:u w:val="single"/>
        </w:rPr>
        <w:t>provided</w:t>
      </w:r>
      <w:r>
        <w:rPr>
          <w:rFonts w:ascii="Times New Roman" w:hAnsi="Times New Roman"/>
          <w:sz w:val="20"/>
        </w:rPr>
        <w:t xml:space="preserve">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in this Agreement to the contrary, Shares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and held by a holder who is entitled to, but did not vote in favor of the adoption of this Agreement (or consent thereto in writing) and is entitled to demand and properly exercises and demands appraisal of such Shares pursuant to, and who complies in all respects with the DGCL (the “</w:t>
      </w:r>
      <w:r>
        <w:rPr>
          <w:rFonts w:ascii="Times New Roman" w:hAnsi="Times New Roman"/>
          <w:sz w:val="20"/>
          <w:u w:val="single"/>
        </w:rPr>
        <w:t>Dissenting Shares</w:t>
      </w:r>
      <w:r>
        <w:rPr>
          <w:rFonts w:ascii="Times New Roman" w:hAnsi="Times New Roman"/>
          <w:sz w:val="20"/>
        </w:rPr>
        <w:t xml:space="preserve">”) shall be entitled to the right to appraisal under the DGCL in respect of such Dissenting Shares (it being understood that at the Effective Time, such Dissenting Shares shall no longer be outstanding, shall automatically be canceled and shall cease to exist, and such holder shall cease to have any rights with respect thereto other than the right to appraisal under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the DGCL in respect of such Dissenting Shares, then the right of such holder to appraisal under the DGCL in respect of such Dissenting Shares shall cease and such Dissenting Shares shall be deemed to have been converted as of the Effective Time into, and to have become exchangeable solely for the right to receive, the applicable Merger Consideration, without interest thereon, upon the surrender of such Shares in accordance with </w:t>
      </w:r>
      <w:r>
        <w:rPr>
          <w:rFonts w:ascii="Times New Roman" w:hAnsi="Times New Roman"/>
          <w:sz w:val="20"/>
          <w:u w:val="single"/>
        </w:rPr>
        <w:t>Section 2.2(b)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give prompt written notice to Parent and Merger Sub of any demands received by the Company for appraisal of any Shares, of any withdrawals of such demands and of any other instruments served pursuant to the DGCL and received by the Company relating to appraisal rights, and prior to the Effective Time, the Company shall control all negotiations and proceedings with respect to such demands, and Parent shall have the right to participate in such negotiations and proceedings in consultation with the Company. Prior to the Effective Time, the Company shall not, without the prior written consent of Parent,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Immediately prior to the Effective Time, (i) each option to purchase Shares (the “</w:t>
      </w:r>
      <w:r>
        <w:rPr>
          <w:rFonts w:ascii="Times New Roman" w:hAnsi="Times New Roman"/>
          <w:sz w:val="20"/>
          <w:u w:val="single"/>
        </w:rPr>
        <w:t>Company Options</w:t>
      </w:r>
      <w:r>
        <w:rPr>
          <w:rFonts w:ascii="Times New Roman" w:hAnsi="Times New Roman"/>
          <w:sz w:val="20"/>
        </w:rPr>
        <w:t>”) under any Company Equity Plan that is outstanding, unvested and unexercised shall,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shall, automatically and without any action on the part of Parent, Merger Sub, the Company or the holder thereof, be canceled and, in exchange therefor, each holder of any such canceled Company Option shall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sz w:val="20"/>
          <w:u w:val="single"/>
        </w:rPr>
        <w:t>Option Cash Consideration</w:t>
      </w:r>
      <w:r>
        <w:rPr>
          <w:rFonts w:ascii="Times New Roman" w:hAnsi="Times New Roman"/>
          <w:sz w:val="20"/>
        </w:rPr>
        <w:t>”) and (B) one (1) CVR for each Share for which such Company Option remains outstanding and unexercised immediately prior to the Effective Time (the “</w:t>
      </w:r>
      <w:r>
        <w:rPr>
          <w:rFonts w:ascii="Times New Roman" w:hAnsi="Times New Roman"/>
          <w:sz w:val="20"/>
          <w:u w:val="single"/>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sz w:val="20"/>
          <w:u w:val="single"/>
        </w:rPr>
        <w:t>Closing Date Underwater Option</w:t>
      </w:r>
      <w:r>
        <w:rPr>
          <w:rFonts w:ascii="Times New Roman" w:hAnsi="Times New Roman"/>
          <w:sz w:val="20"/>
        </w:rPr>
        <w:t xml:space="preserve">”) shall, automatically and without any action on the part of Parent, Merger Sub, the Company or the holder thereof, be canceled and converted into the right to receive the Option CVR Consideration, except that if a Milestone is achieved in respect of a CVR, the cash amount to be paid in respect of such Milestone, if any, shall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shall, automatically and without any action on the part of Parent, Merger Sub, the Company or the holder thereof, be canceled for no consideration. Any Option Cash Consideration payable in respect of Company Options at the Effective Time shall be paid by the Surviving Corporation as soon as practicable following the Effective Time, but in no event later than the date that is fifteen (15) Business Days after the Closing, and any CVR deliverable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Company Options (including, for the avoidance of doubt, the Closing Date Underwater Options) shall be delivered in accordance with the CVR Agreement. Any payments in respect of a CVR delivered for a Company Option (including, for the avoidance of doubt, the Closing Date Underwater Options) shall be made on the same schedule and under the same terms and conditions as apply to payments to holders of Shares, except to the extent necessary for such payment to comply with or be exempt from Section 409A of the Code. From and after the Effective Time, any such canceled Company Option shall no longer be exercisable by the former holder thereof, but shall only entitle such holder to the consideration, if any, payable pursuant to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Effective Time, all performance-based restricted stock units under any Company Equity Plan (“</w:t>
      </w:r>
      <w:r>
        <w:rPr>
          <w:rFonts w:ascii="Times New Roman" w:hAnsi="Times New Roman"/>
          <w:sz w:val="20"/>
          <w:u w:val="single"/>
        </w:rPr>
        <w:t>Company PSUs</w:t>
      </w:r>
      <w:r>
        <w:rPr>
          <w:rFonts w:ascii="Times New Roman" w:hAnsi="Times New Roman"/>
          <w:sz w:val="20"/>
        </w:rPr>
        <w:t>”) that are outstanding shall,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shall be converted into an award representing the right to receive (a “</w:t>
      </w:r>
      <w:r>
        <w:rPr>
          <w:rFonts w:ascii="Times New Roman" w:hAnsi="Times New Roman"/>
          <w:sz w:val="20"/>
          <w:u w:val="single"/>
        </w:rPr>
        <w:t>Converted PSU Award</w:t>
      </w:r>
      <w:r>
        <w:rPr>
          <w:rFonts w:ascii="Times New Roman" w:hAnsi="Times New Roman"/>
          <w:sz w:val="20"/>
        </w:rPr>
        <w:t xml:space="preser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Contracts governing such Company PSU as set forth on </w:t>
      </w:r>
      <w:r>
        <w:rPr>
          <w:rFonts w:ascii="Times New Roman" w:hAnsi="Times New Roman"/>
          <w:sz w:val="20"/>
          <w:u w:val="single"/>
        </w:rPr>
        <w:t>Section 2.4(b)(i)</w:t>
      </w:r>
      <w:r>
        <w:rPr>
          <w:rFonts w:ascii="Times New Roman" w:hAnsi="Times New Roman"/>
          <w:sz w:val="20"/>
        </w:rPr>
        <w:t xml:space="preserve"> of the Company Disclosure Schedule (each, an “</w:t>
      </w:r>
      <w:r>
        <w:rPr>
          <w:rFonts w:ascii="Times New Roman" w:hAnsi="Times New Roman"/>
          <w:sz w:val="20"/>
          <w:u w:val="single"/>
        </w:rPr>
        <w:t>Earned Share</w:t>
      </w:r>
      <w:r>
        <w:rPr>
          <w:rFonts w:ascii="Times New Roman" w:hAnsi="Times New Roman"/>
          <w:sz w:val="20"/>
        </w:rPr>
        <w:t>”) by (B) the Per Share Cash Consideration (“</w:t>
      </w:r>
      <w:r>
        <w:rPr>
          <w:rFonts w:ascii="Times New Roman" w:hAnsi="Times New Roman"/>
          <w:sz w:val="20"/>
          <w:u w:val="single"/>
        </w:rPr>
        <w:t>PSU Cash Consideration</w:t>
      </w:r>
      <w:r>
        <w:rPr>
          <w:rFonts w:ascii="Times New Roman" w:hAnsi="Times New Roman"/>
          <w:sz w:val="20"/>
        </w:rPr>
        <w:t>”) and (ii) one (1) CVR for each Earned Share (the “</w:t>
      </w:r>
      <w:r>
        <w:rPr>
          <w:rFonts w:ascii="Times New Roman" w:hAnsi="Times New Roman"/>
          <w:sz w:val="20"/>
          <w:u w:val="single"/>
        </w:rPr>
        <w:t>PSU CVRs</w:t>
      </w:r>
      <w:r>
        <w:rPr>
          <w:rFonts w:ascii="Times New Roman" w:hAnsi="Times New Roman"/>
          <w:sz w:val="20"/>
        </w:rPr>
        <w:t xml:space="preserve">”). The Converted PSU Awards shall vest, the PSU Cash Consideration under Converted PSU Awards shall become payable, and the PSU CVRs under Converted PSU Awards shall be delivered in accordance with the CVR Agreement, in each case, pursuant to the same time-based vesting schedule applicable to the Company PSU from which they were converted (subject to earlier vesting and payment pursuant to any accelerated vesting terms set forth under the Contract governing such original Company PSU or as otherwise provided under any other Contract governing such Company PSU as set forth on </w:t>
      </w:r>
      <w:r>
        <w:rPr>
          <w:rFonts w:ascii="Times New Roman" w:hAnsi="Times New Roman"/>
          <w:sz w:val="20"/>
          <w:u w:val="single"/>
        </w:rPr>
        <w:t>Section 2.4(b)(ii)</w:t>
      </w:r>
      <w:r>
        <w:rPr>
          <w:rFonts w:ascii="Times New Roman" w:hAnsi="Times New Roman"/>
          <w:sz w:val="20"/>
        </w:rPr>
        <w:t xml:space="preserve"> of the Company Disclosure Schedule). Any payment under a vested Converted PSU Award shall be paid by the Surviving Corporation as soon as practicable following the date on which such payment becomes due, but in no event later than the date that is twenty (20) calendar days after such date. Any payments in respect of a PSU CVR under a vested Converted PSU Award shall be made on the same schedule and under the same terms and conditions as apply to payments to holders of Shares under the CVR Agreement or, if such PSU CVRs become payable prior to the vesting date applicable to the Converted PSU Award of which the PSU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(c) Immediately prior to the Effective Time, (i) all restricted stock units that are not Company PSUs (“</w:t>
      </w:r>
      <w:r>
        <w:rPr>
          <w:rFonts w:ascii="Times New Roman" w:hAnsi="Times New Roman"/>
          <w:sz w:val="20"/>
          <w:u w:val="single"/>
        </w:rPr>
        <w:t>Company RSUs</w:t>
      </w:r>
      <w:r>
        <w:rPr>
          <w:rFonts w:ascii="Times New Roman" w:hAnsi="Times New Roman"/>
          <w:sz w:val="20"/>
        </w:rPr>
        <w:t>”) (all Company RSUs together with all Company PSUs, collectively, the “</w:t>
      </w:r>
      <w:r>
        <w:rPr>
          <w:rFonts w:ascii="Times New Roman" w:hAnsi="Times New Roman"/>
          <w:sz w:val="20"/>
          <w:u w:val="single"/>
        </w:rPr>
        <w:t>Restricted Awards</w:t>
      </w:r>
      <w:r>
        <w:rPr>
          <w:rFonts w:ascii="Times New Roman" w:hAnsi="Times New Roman"/>
          <w:sz w:val="20"/>
        </w:rPr>
        <w:t xml:space="preserve">”) under any Company Equity Plan that are outstanding as of the date hereof shall become immediately vested and all restrictions thereupon shall lapse, and such Company RSUs shall be canceled in exchange for the right to receive, with respect to each Share for which such Company RSUs remain outstanding immediately prior to the Effective Time, the Merger Consideration and (ii) all Company RSUs that are outstanding and were issued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date hereof shall,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shall be converted into an award representing the right to receive (a “</w:t>
      </w:r>
      <w:r>
        <w:rPr>
          <w:rFonts w:ascii="Times New Roman" w:hAnsi="Times New Roman"/>
          <w:sz w:val="20"/>
          <w:u w:val="single"/>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(1) CVR for each Share for which such Company RSU remains outstanding immediately prior to the Effective Time (the “</w:t>
      </w:r>
      <w:r>
        <w:rPr>
          <w:rFonts w:ascii="Times New Roman" w:hAnsi="Times New Roman"/>
          <w:sz w:val="20"/>
          <w:u w:val="single"/>
        </w:rPr>
        <w:t>RSU CVRs</w:t>
      </w:r>
      <w:r>
        <w:rPr>
          <w:rFonts w:ascii="Times New Roman" w:hAnsi="Times New Roman"/>
          <w:sz w:val="20"/>
        </w:rPr>
        <w:t xml:space="preserve">”). Any Per Share Cash Consideration payable in respect of Company RSUs shall be paid by the Surviving Corporation as soon as practicable following the Effective Time, but in no event later than the date that is fifteen (15) Business Days after the Closing, and any CVR deliverable in respect of Company RSUs shall be delivered in accordance with the CVR Agreement. Any payments in respect of a CVR delivered for Company RSUs shall be made on the same schedule and under the same terms and conditions as apply to payments to holders of Shares under the CVR Agreement, except to the extent necessary for such payment to comply with or be exempt from Section 409A of the Code. The Converted RSU Awards shall vest, the Converted RSU Cash Consideration under Converted RSU Awards shall become payable, and the RSU CVRs under Converted RSU Awards shall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under any other Contract governing such Company RSU as set forth on </w:t>
      </w:r>
      <w:r>
        <w:rPr>
          <w:rFonts w:ascii="Times New Roman" w:hAnsi="Times New Roman"/>
          <w:sz w:val="20"/>
          <w:u w:val="single"/>
        </w:rPr>
        <w:t>Section 2.4(c)</w:t>
      </w:r>
      <w:r>
        <w:rPr>
          <w:rFonts w:ascii="Times New Roman" w:hAnsi="Times New Roman"/>
          <w:sz w:val="20"/>
        </w:rPr>
        <w:t xml:space="preserve"> of the Company Disclosure Schedule). Any payment under a vested Converted RSU Award shall be paid by the Surviving Corporation as soon as practicable following the date on which such payment becomes due, but in no event later than the date that is twenty (20) calendar days after such date. Any payments in respect of a RSU CVR under a vested Converted RSU Award shall be made on the same schedule and under the same terms and conditions as apply to payments to holders of Shares under the CVR Agreement or, if such RSU CVRs become payable prior to the vesting date applicable to the Converted RSU Award of which the RSU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(d) The Company shall take appropriate corporate actions to effectuate the treatment of the Company Options and Restricted Awards (collectively, the “</w:t>
      </w:r>
      <w:r>
        <w:rPr>
          <w:rFonts w:ascii="Times New Roman" w:hAnsi="Times New Roman"/>
          <w:sz w:val="20"/>
          <w:u w:val="single"/>
        </w:rPr>
        <w:t>Company Equity Awards</w:t>
      </w:r>
      <w:r>
        <w:rPr>
          <w:rFonts w:ascii="Times New Roman" w:hAnsi="Times New Roman"/>
          <w:sz w:val="20"/>
        </w:rPr>
        <w:t xml:space="preserve">”) as contemplated by this </w:t>
      </w:r>
      <w:r>
        <w:rPr>
          <w:rFonts w:ascii="Times New Roman" w:hAnsi="Times New Roman"/>
          <w:sz w:val="20"/>
          <w:u w:val="single"/>
        </w:rPr>
        <w:t>Section 2.4</w:t>
      </w:r>
      <w:r>
        <w:rPr>
          <w:rFonts w:ascii="Times New Roman" w:hAnsi="Times New Roman"/>
          <w:sz w:val="20"/>
        </w:rPr>
        <w:t xml:space="preserve">. All payments in respect of CVRs delivered for a Company Option or Restricted Award shall be made by the Surviving Corporation (or one of its Affiliates) through such entity’s payroll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take all necessary and appropriate actions so that (i) participation in the Company ESPP is limited to those employees who participated in the Company ESPP as of the date immediately prior to the date of this Agreement, (ii) participants in the Company ESPP are prevented from increasing their payroll deductions or purchase elections from those in effect immediately prior to the date of this Agreement, (iii) except for any offering period in existence under the Company ESPP on the date of this Agreement, no offering period is authorized or commenced on or after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and no offering period is extended, (iv) if the Closing occurs prior to the end of any offering period in existence under the Company ESPP on the date of this Agreement, all outstanding purchase rights under the Company ESPP shall automatically be exercised, in accordance with the terms of the Company ESPP, on a date that is no later than five (5) Business Days prior to the Effective Time (the “</w:t>
      </w:r>
      <w:r>
        <w:rPr>
          <w:rFonts w:ascii="Times New Roman" w:hAnsi="Times New Roman"/>
          <w:sz w:val="20"/>
          <w:u w:val="single"/>
        </w:rPr>
        <w:t>Final Exercise Date</w:t>
      </w:r>
      <w:r>
        <w:rPr>
          <w:rFonts w:ascii="Times New Roman" w:hAnsi="Times New Roman"/>
          <w:sz w:val="20"/>
        </w:rPr>
        <w:t xml:space="preserve">”) based on each Company ESPP participant’s accumulated distributions under the Company ESPP on the Final Exercise Date and (v) subject to the consummation of the Merger, the Company ESPP shall terminate on the Final Exercise Date and no further rights shall be granted or exercised under the Company ESPP thereafter. All Shares purchased on the Final Exercise Date shall be cancelled at the Effective Time and converted into the right to receive the Merger Consideration in accordance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Withholding</w:t>
      </w:r>
      <w:r>
        <w:rPr>
          <w:rFonts w:ascii="Times New Roman" w:hAnsi="Times New Roman"/>
          <w:sz w:val="20"/>
        </w:rPr>
        <w:t>. Parent, Merger Sub, the Surviving Corporation, the Paying Agent and their respective agents (each, a “</w:t>
      </w:r>
      <w:r>
        <w:rPr>
          <w:rFonts w:ascii="Times New Roman" w:hAnsi="Times New Roman"/>
          <w:sz w:val="20"/>
          <w:u w:val="single"/>
        </w:rPr>
        <w:t>Withholding Agent</w:t>
      </w:r>
      <w:r>
        <w:rPr>
          <w:rFonts w:ascii="Times New Roman" w:hAnsi="Times New Roman"/>
          <w:sz w:val="20"/>
        </w:rPr>
        <w:t xml:space="preserve">”) shall be authorized to deduct and withhold from any payment made pursuant to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any Taxes that they are required to deduct and withhold therefrom under applicable Law. The applicable Withholding Agent shall reasonably cooperate with the Company and the applicable payee to reduce or eliminate any such deduction or withholding to the maximum extent permitted under applicable Law. Amounts deducted and withheld by the applicable Withholding Agent in accordance with this </w:t>
      </w:r>
      <w:r>
        <w:rPr>
          <w:rFonts w:ascii="Times New Roman" w:hAnsi="Times New Roman"/>
          <w:sz w:val="20"/>
          <w:u w:val="single"/>
        </w:rPr>
        <w:t>Section 2.5</w:t>
      </w:r>
      <w:r>
        <w:rPr>
          <w:rFonts w:ascii="Times New Roman" w:hAnsi="Times New Roman"/>
          <w:sz w:val="20"/>
        </w:rPr>
        <w:t xml:space="preserve"> and timely remitted to the appropriate taxing authority shall be treated for all purposes of this Agreement as having been paid to the Person in respect of which such deduction and withholding was made.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(a) the Company SEC Documents (without giving effect to any amendment to any such Company SEC Documents filed on or after the date hereof and excluding any disclosures in “risk factors” or otherwise relating to forward-looking statements to the extent that they are cautionary, predictive or forward-looking in nature (it being understood that any factual information contained within such disclosures shall not be excluded)) (</w:t>
      </w:r>
      <w:r>
        <w:rPr>
          <w:rFonts w:ascii="Times New Roman" w:hAnsi="Times New Roman"/>
          <w:sz w:val="20"/>
          <w:u w:val="single"/>
        </w:rPr>
        <w:t>provided</w:t>
      </w:r>
      <w:r>
        <w:rPr>
          <w:rFonts w:ascii="Times New Roman" w:hAnsi="Times New Roman"/>
          <w:sz w:val="20"/>
        </w:rPr>
        <w:t xml:space="preserve">, that nothing in the Company SEC Documents shall be deemed to modify or qualify the representations and warranties set forth in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3.7(b)</w:t>
      </w:r>
      <w:r>
        <w:rPr>
          <w:rFonts w:ascii="Times New Roman" w:hAnsi="Times New Roman"/>
          <w:sz w:val="20"/>
        </w:rPr>
        <w:t>) or (b) the correspondingly numbered section of the disclosure schedule delivered by the Company to Parent in connection with the execution of this Agreement (the “</w:t>
      </w:r>
      <w:r>
        <w:rPr>
          <w:rFonts w:ascii="Times New Roman" w:hAnsi="Times New Roman"/>
          <w:sz w:val="20"/>
          <w:u w:val="single"/>
        </w:rPr>
        <w:t>Company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agree that each disclosure set forth in the Company Disclosure Schedule shall qualify or modify each other Section of the representations and warranties set forth in this </w:t>
      </w:r>
      <w:r>
        <w:rPr>
          <w:rFonts w:ascii="Times New Roman" w:hAnsi="Times New Roman"/>
          <w:sz w:val="20"/>
          <w:u w:val="single"/>
        </w:rPr>
        <w:t>Article III</w:t>
      </w:r>
      <w:r>
        <w:rPr>
          <w:rFonts w:ascii="Times New Roman" w:hAnsi="Times New Roman"/>
          <w:sz w:val="20"/>
        </w:rPr>
        <w:t xml:space="preserve"> to the extent the applicability of the disclosure to such other Section is reasonably apparent from the text of the disclosure made), the Company hereby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Organization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(to the extent that such concept is recognized in the relevant jurisdiction) under the Laws of its jurisdiction of organization, and has the requisite corporate or similar power and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to conduct its business as now being conducted. Each Company Subsidiary is a legal entity (i) duly organized, validly existing and in good standing (to the extent that such concept is recognized in the relevant jurisdiction) under the Laws of its respective jurisdiction of organization, and (ii) has the requisite corporate or similar power and authority necessary to conduct its business as now being conducted, except, in each case of clauses (i) and (ii), as has not had and would not reasonably be expected to have, individually or in the aggregate, a Company Material Adverse Effect. Each of the Company and each of the Company Subsidiaries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delivered to or made available to Parent and Merger Sub correct and complete copies of the Company Governing Documents (and all amendments thereto) to the extent not filed with the Securities and Exchange Commission (the “</w:t>
      </w:r>
      <w:r>
        <w:rPr>
          <w:rFonts w:ascii="Times New Roman" w:hAnsi="Times New Roman"/>
          <w:sz w:val="20"/>
          <w:u w:val="single"/>
        </w:rPr>
        <w:t>SEC</w:t>
      </w:r>
      <w:r>
        <w:rPr>
          <w:rFonts w:ascii="Times New Roman" w:hAnsi="Times New Roman"/>
          <w:sz w:val="20"/>
        </w:rPr>
        <w:t xml:space="preserve">”) as of the date hereof. As of the date hereof, the Company is in compliance with the terms of the Company Governing Documents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(i) 250,000,000 shares of Common Stock, par value $0.01 per share and (ii) 25,000,000 shares of preferred stock, par value $0.01 per share. As of the close of business on July 30, 2026 (the “</w:t>
      </w:r>
      <w:r>
        <w:rPr>
          <w:rFonts w:ascii="Times New Roman" w:hAnsi="Times New Roman"/>
          <w:sz w:val="20"/>
          <w:u w:val="single"/>
        </w:rPr>
        <w:t>Reference Date</w:t>
      </w:r>
      <w:r>
        <w:rPr>
          <w:rFonts w:ascii="Times New Roman" w:hAnsi="Times New Roman"/>
          <w:sz w:val="20"/>
        </w:rPr>
        <w:t xml:space="preserve">”), (A) 65,271,881 Shares were issued and outstanding, (B) no shares of preferred stock were issued and outstanding, (C) 7,241,217 Shares were held in treasury, (D) 1,190,322 Shares were subject to outstanding Company Options, (E) 1,544,052 Shares were subject to outstanding Company RSUs, (F) 580,683 Shares were subject to outstanding Company PSUs (assuming target performance) and 1,133,227 Shares were subject to outstanding Company PSUs (assuming maximum performance), (G) 3,562,133 Shares were reserved for issuance under the Company Equity Plans (all under the Company’s Amended and Restated 2026 Equity Incentive Plan), (H) 340,393 Shares were reserved for issuance under the Company ESPP, and (I) $574,996,000 aggregate principal amount of the Company Convertible Notes were issued and outstanding with a Conversion Rate (as defined in the Indenture) of 12.5291 Shares per $1,000 principal amount of Company Convertible Notes (subject to adjustment in accordance with the Indenture), with 10,265,993 Shares reserved for future issuance in connection therewith. From the close of business on the Reference Date to the execution of this Agreement, no Shares, Company Equity Awards or Equity Interests have been issued except Shares issued pursuant to the exercise of Company Options or settlement of Restricted Awards, or the Company Convertible Notes, in each case, outstanding as of the Reference Date as set forth in the preceding sentence to the extent required or permitted under the terms thereof as in effect on the Reference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of the issued and outstanding Shares have been duly authorized, validly issued, fully paid and non-assessable, and were issued in compliance in all material respects with applicable securities laws and not in violation of the Company Governing Documents or any preemptive rights, rights of first refusal or similar rights. All Shares that may be issued prior to the Effective Time pursuant to the Company Equity Plans or the Company ESPP or as permitted or contemplated by this Agreement will be, when issued in accordance with the respective terms thereof, duly authorized, validly issued, fully paid and non-assessable, and issued in compliance in all material respects with applicable securities laws and not in violation of the Company Governing Documents or any preemptive rights, rights of first refusal or similar rights. Except for the Company Convertible Notes, neither the Company nor any of the Company Subsidiaries has outstanding bonds, debentures, notes or other similar obligations the holders of which have the right to vote (or that are convertible into, exercisable for or exchangeable for securities having the right to vote) with the stockholders of the Company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or in </w:t>
      </w:r>
      <w:r>
        <w:rPr>
          <w:rFonts w:ascii="Times New Roman" w:hAnsi="Times New Roman"/>
          <w:sz w:val="20"/>
          <w:u w:val="single"/>
        </w:rPr>
        <w:t>Section 3.2</w:t>
      </w:r>
      <w:r>
        <w:rPr>
          <w:rFonts w:ascii="Times New Roman" w:hAnsi="Times New Roman"/>
          <w:sz w:val="20"/>
        </w:rPr>
        <w:t xml:space="preserve"> of the Company Disclosure Schedule, and other than the Convertible Notes, as of the date hereof, there are no (i) shares of capital stock of, or other equity interest in, the Company or any Company Subsidiary or securities convertible into or exchangeable for such shares or options, warrants, calls, pre-emptive rights, subscriptions or other rights, agreements or commitments, relating to the issued or unissued capital stock of the Company, obligating the Company or any Company Subsidiary to issue, transfer or sell or cause to be issued, transferred or sold any shares of capital stock of, or other equity interest in, the Company or any Company Subsidiary or securities convertible into or exchangeable for such shares or equity interests, or obligating the Company or any Company Subsidiary to grant, extend or enter into any such option, warrant, call, subscription or other right, agreement, arrangement or commitment (collectively, the “</w:t>
      </w:r>
      <w:r>
        <w:rPr>
          <w:rFonts w:ascii="Times New Roman" w:hAnsi="Times New Roman"/>
          <w:sz w:val="20"/>
          <w:u w:val="single"/>
        </w:rPr>
        <w:t>Equity Interests</w:t>
      </w:r>
      <w:r>
        <w:rPr>
          <w:rFonts w:ascii="Times New Roman" w:hAnsi="Times New Roman"/>
          <w:sz w:val="20"/>
        </w:rPr>
        <w:t xml:space="preserve">”) or (ii) other than the Company Convertible Notes and the Indenture, outstanding contractual obligations of the Company to repurchase, redeem or otherwise acquire any Shares or any capital stock of, or other Equity Interests in, the Company or any Company Subsidiary. As of the date hereof, the Company has no declared and unpaid dividends with respect to any outstanding Shares or Company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3.2(d)</w:t>
      </w:r>
      <w:r>
        <w:rPr>
          <w:rFonts w:ascii="Times New Roman" w:hAnsi="Times New Roman"/>
          <w:sz w:val="20"/>
        </w:rPr>
        <w:t xml:space="preserve"> of the Company Disclosure Schedule sets forth a list of all outstanding Company Equity Awards on an individual by individual basis, as of the close of business on the Reference Date, including with respect to each such Company Equity Award, (i) the holder’s name, (ii) the date of grant, (iii) the total number of Shares subject to such Company Equity Award (based on maximum performance, as applicable), (iv) the vesting schedule, (v) the exercise price, (vi) the expiration date, if applicable and (vii) if applicable, whether such Company Option is intended to constitute an “incentive stock option” within the meaning of Section 422 of the Code. Each Company Option grant was made in accordance in all material respects with the terms of the Company Equity Plans and Section 409A of the Code, and each Company Option’s per share exercise price is equal to or greater than the fair market value of a Share on the date of grant of such Company Option.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this Agreement, the Indenture, the Company Governing Documents and the organizational or governing documents of the Company Subsidiaries, (i) there are no voting trusts or other agreements to which the Company or any Company Subsidiary is a party with respect to the voting of any Equity Interests of the Company or any Company Subsidiary and (ii) neither the Company nor any Company Subsidiary is bound by any obligations granting any preemptive rights, anti-dilutive rights or rights of first refusal or similar rights with respect to any of its respective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or another Company Subsidiary owns, directly or indirectly, all of the issued and outstanding shares of capital stock or other Equity Interests of each of the Company Subsidiaries, free and clear of any Liens (other than Permitted Liens), and all of such shares of capital stock or other Equity Interests have been duly authorized and validly issued and are fully paid, nonassessable and free of preemptive rights, and were not issued in violation of the organizational documents of such Company Subsidiary. Except for the Equity Interests in the Company Subsidiaries, neither the Company nor any Company Subsidiary owns directly or indirectly any Equity Interest in any Person or has any obligation to acquire any such Equity Interest. There are no outstanding obligations to which the Company or any Company Subsidiary is a party (i) restricting the transfer of any Equity Interests in any Company Subsidiary or (ii) limiting the exercise of voting rights with respect to any Equity Interests in any Company Subsidiary. </w:t>
      </w:r>
      <w:r>
        <w:rPr>
          <w:rFonts w:ascii="Times New Roman" w:hAnsi="Times New Roman"/>
          <w:sz w:val="20"/>
          <w:u w:val="single"/>
        </w:rPr>
        <w:t>Section 3.2(f)</w:t>
      </w:r>
      <w:r>
        <w:rPr>
          <w:rFonts w:ascii="Times New Roman" w:hAnsi="Times New Roman"/>
          <w:sz w:val="20"/>
        </w:rPr>
        <w:t xml:space="preserve"> of the Company Disclosure Schedule sets forth a true, correct and complete list of each Company Subsidiary, together with (A) the jurisdiction of organization of each Company Subsidiary and (B) each Company Subsidiary’s authorized and outstanding equity interests and the record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Authorization; Validity of Agreement</w:t>
      </w:r>
      <w:r>
        <w:rPr>
          <w:rFonts w:ascii="Times New Roman" w:hAnsi="Times New Roman"/>
          <w:sz w:val="20"/>
        </w:rPr>
        <w:t xml:space="preserve">. The Company has all necessary corporate power and authority to execute and deliver this Agreement, to perform its obligations hereunder and to consummate the Transactions. The execution, delivery and performance by the Company of this Agreement, and the consummation by it of the Transactions, have been duly and validly authorized by the Company Board of Directors and no other corporate action on the part of the Company is necessary to authorize the execution and delivery by the Company of this Agreement, and the consummation by it of the Transactions, subject to the adoption of this Agreement by the Requisite Stockholder Approval and the filing of the Certificate of Merger as required by the DGCL. This Agreement has been duly executed and delivered by the Company and, assuming due and valid authorization, execution and delivery hereof by Parent and Merger Sub, is a valid and binding obligation of the Company enforceable against the Company in accordance with its terms, subject to (a) bankruptcy, insolvency, reorganization, moratorium or other similar Laws, now or hereafter in effect, relating to creditors’ rights generally and (b) general principles of equity (regardless of whether enforceability is considered in a proceeding in equity or at law) (the exceptions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Board Approvals</w:t>
      </w:r>
      <w:r>
        <w:rPr>
          <w:rFonts w:ascii="Times New Roman" w:hAnsi="Times New Roman"/>
          <w:sz w:val="20"/>
        </w:rPr>
        <w:t>. The Company Board of Directors has, at a meeting duly called and held,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(such recommendation, the “</w:t>
      </w:r>
      <w:r>
        <w:rPr>
          <w:rFonts w:ascii="Times New Roman" w:hAnsi="Times New Roman"/>
          <w:sz w:val="20"/>
          <w:u w:val="single"/>
        </w:rPr>
        <w:t>Company Board Recommendation</w:t>
      </w:r>
      <w:r>
        <w:rPr>
          <w:rFonts w:ascii="Times New Roman" w:hAnsi="Times New Roman"/>
          <w:sz w:val="20"/>
        </w:rPr>
        <w:t xml:space="preserve">”), which Company Board Recommendation has not been withdrawn, rescinded or modified in any way as of the date of this Agreement; and (iv) directed that this Agreement be submitted to the Company’s stockholders for their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the Company and the consummation by the Company of the Transactions does not and will not, (i) conflict with or violate the Company Governing Documents, (ii) assuming that all consents, approvals, authorizations, expirations or terminations of waiting periods, permits, actions, filings and notifications contemplated by </w:t>
      </w:r>
      <w:r>
        <w:rPr>
          <w:rFonts w:ascii="Times New Roman" w:hAnsi="Times New Roman"/>
          <w:sz w:val="20"/>
          <w:u w:val="single"/>
        </w:rPr>
        <w:t>Section 3.5(b)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any of the Company or the Company Subsidiaries is a party or by which any of the Company or the Company Subsidiaries or any of their respective properties are bound or (B) result in the creation of any Lien (other than Permitted Liens) on any of the properties or assets of the Company or the Company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execution and delivery of this Agreement by the Company and the consummation by the Company of the Merger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Hart-Scott-Rodino Antitrust Improvements Act of 1976 (the “</w:t>
      </w:r>
      <w:r>
        <w:rPr>
          <w:rFonts w:ascii="Times New Roman" w:hAnsi="Times New Roman"/>
          <w:sz w:val="20"/>
          <w:u w:val="single"/>
        </w:rPr>
        <w:t>HSR Act</w:t>
      </w:r>
      <w:r>
        <w:rPr>
          <w:rFonts w:ascii="Times New Roman" w:hAnsi="Times New Roman"/>
          <w:sz w:val="20"/>
        </w:rPr>
        <w:t>”), the Sherman Act, the Clayton Act, the Federal Trade Commission Act, and any other federal, state or foreign Law designed to prohibit, restrict or regulate actions for the purpose or effect of monopolization or restraint of trade or the lessening of competition (such non-U.S. Laws, the “</w:t>
      </w:r>
      <w:r>
        <w:rPr>
          <w:rFonts w:ascii="Times New Roman" w:hAnsi="Times New Roman"/>
          <w:sz w:val="20"/>
          <w:u w:val="single"/>
        </w:rPr>
        <w:t>Foreign Antitrust Laws</w:t>
      </w:r>
      <w:r>
        <w:rPr>
          <w:rFonts w:ascii="Times New Roman" w:hAnsi="Times New Roman"/>
          <w:sz w:val="20"/>
        </w:rPr>
        <w:t xml:space="preserve">”) (all Laws set forth in </w:t>
      </w:r>
      <w:r>
        <w:rPr>
          <w:rFonts w:ascii="Times New Roman" w:hAnsi="Times New Roman"/>
          <w:sz w:val="20"/>
          <w:u w:val="single"/>
        </w:rPr>
        <w:t>clause (ii)</w:t>
      </w:r>
      <w:r>
        <w:rPr>
          <w:rFonts w:ascii="Times New Roman" w:hAnsi="Times New Roman"/>
          <w:sz w:val="20"/>
        </w:rPr>
        <w:t>, collectively, the “</w:t>
      </w:r>
      <w:r>
        <w:rPr>
          <w:rFonts w:ascii="Times New Roman" w:hAnsi="Times New Roman"/>
          <w:sz w:val="20"/>
          <w:u w:val="single"/>
        </w:rPr>
        <w:t>Antitrust Laws</w:t>
      </w:r>
      <w:r>
        <w:rPr>
          <w:rFonts w:ascii="Times New Roman" w:hAnsi="Times New Roman"/>
          <w:sz w:val="20"/>
        </w:rPr>
        <w:t>”) or designed or intended to prohibit, restrict or regulate foreign investments (including Laws that provide for review of national security matters) (the “</w:t>
      </w:r>
      <w:r>
        <w:rPr>
          <w:rFonts w:ascii="Times New Roman" w:hAnsi="Times New Roman"/>
          <w:sz w:val="20"/>
          <w:u w:val="single"/>
        </w:rPr>
        <w:t>FDI Laws</w:t>
      </w:r>
      <w:r>
        <w:rPr>
          <w:rFonts w:ascii="Times New Roman" w:hAnsi="Times New Roman"/>
          <w:sz w:val="20"/>
        </w:rPr>
        <w:t xml:space="preserve">”), (iii) applicable requirements of Nasdaq, (iv) the filing of the Certificate of Merger with the Secretary of State of the State of Delaware and appropriate documents with the relevant authorities of other jurisdictions in which the Company is qualified to do business, (v) applicable requirements of the DGCL, (vi) applicable Required Nuclear Approvals, and (vii) any such consent, approval, authorization, expiration or termination of waiting period, permit, action, filing or notification the failure of which to make or obtain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Company SEC Documents;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reports, statements, certifications and other documents (including all exhibits, amendments and supplements thereto and all reports and filings incorporated by reference therein) required to be filed or furnished by it with the SEC under the Exchange Act or the Securities Act since January 1, 2023 (such documents filed or furnished since January 1, 2023 and prior to the date hereof, the “</w:t>
      </w:r>
      <w:r>
        <w:rPr>
          <w:rFonts w:ascii="Times New Roman" w:hAnsi="Times New Roman"/>
          <w:sz w:val="20"/>
          <w:u w:val="single"/>
        </w:rPr>
        <w:t>Company SEC Documents</w:t>
      </w:r>
      <w:r>
        <w:rPr>
          <w:rFonts w:ascii="Times New Roman" w:hAnsi="Times New Roman"/>
          <w:sz w:val="20"/>
        </w:rPr>
        <w:t xml:space="preserve">”). As of their respective filing dates (or, if amended, supplemented or superseded by a filing, then on the date of such amendment, supplement or superseding filing) (and, in the case of registration statements on the dates of effectiveness), (i) each of the Company SEC Documents complied as to form in all material respects with the applicable requirements of the Securities Act, the Exchange Act or the Sarbanes-Oxley Act, as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the date of the filing of such amendment, supplement or superseding filing with respect to the portions that are amended, supplemented or superseded (in the case of all other Company SEC Documents) and (ii) none of the Company SEC Documents when filed or furnished with the SEC contained any untrue statement of a material fact or omitted to state a material fact required to be stated or incorporated by reference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None of the Company SEC Documents is, to the knowledge of the Company, the subject of ongoing SEC review as of the date hereof. None of the Company Subsidiaries is required to file or furnish any forms, reports, schedules, statements or other documents with the SEC pursuant to Section 13(a)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(b) The audited and unaudited consolidated financial statements (including the related notes thereto) of the Company included in the Company SEC Documents (the “</w:t>
      </w:r>
      <w:r>
        <w:rPr>
          <w:rFonts w:ascii="Times New Roman" w:hAnsi="Times New Roman"/>
          <w:sz w:val="20"/>
          <w:u w:val="single"/>
        </w:rPr>
        <w:t>Financial Statements</w:t>
      </w:r>
      <w:r>
        <w:rPr>
          <w:rFonts w:ascii="Times New Roman" w:hAnsi="Times New Roman"/>
          <w:sz w:val="20"/>
        </w:rPr>
        <w:t xml:space="preserve">”), as amended or supplemented prior to the date of this Agreement, (i) comply as to form in all material respects with the published rules and regulations of the SEC applicable thereto and (ii) have been prepared in accordance with GAAP in all material respects applied on a consistent basis throughout the periods involved (except as may otherwise be indicated therein or in the notes thereto, or in the case of unaudited quarterly statements, as permitted by Form 10-Q of the SEC or other rules and regulations of the SEC or disclosed in the applicable Company SEC Document as of the date filed with or furnished to the SEC) and fairly present in all material respects in conformity with GAAP the consolidated financial position of the Company and the Company Subsidiaries at the respective dates thereof and the consolidated statements of operations and consolidated statements of cash flows for the periods indicated therein (subject, in the case of unaudited Financial Statements, to normal and recurring year-end audit adjustments and condensed notes). As of the date hereof, the books and records of the Company are maintained in accordance with GAAP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established and maintains, and at all times since January 1, 2023 has maintained, a system of internal control over financial reporting (as defined in Rules 13a-15 and 15d-15 under the Exchange Act) that is designed to provide reasonable assurance regarding the reliability of financial reporting and the preparation of consolidated financial statements for external purposes in accordance with GAAP. The Company has established and maintains disclosure controls and procedures (as defined in Rules 13a-15 and 15d-15 under the Exchange Act) that are designed to ensure that information required to be disclosed by the Company in the reports it files or submits under the Exchange Act is recorded, processed, summarized and reported within the timeframes specified by the SEC’s rules and forms and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employee of the Company or the Company Subsidiaries has provided, from January 1, 2023 to the date hereof, information to any law enforcement agency regarding the violation by the Company or the Company Subsidiaries of any applicable Law of the type described in Section 806 of the Sarbanes-Oxley Act. Since January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2023, none of the Company, its Subsidiaries or, to the knowledge of the Company, any director, executive officer, or outside auditor of the Company, has identified or been made aware of (i) any significant deficiency or material weakness in the design or operation of internal controls over financial reporting that would reasonably be expected to adversely affect in any material respect the Company’s ability to record, process, summarize and report financial information, in each case which has not been subsequently remediated, (ii) any fraud, whether or not material, that involves the Company’s management or other employees who have a significant role in the Company’s internal control over financial reporting (with respect to or pertaining to the Company or when acting in his or her capacity as an officer or employee of the Company) or (iii) any written complaint, allegation, assertion or claim of any matter in clause (i) or (ii). Neither the Company nor its principal executive officer or principal financial officer has received written notice from any Governmental Entity challenging or questioning the Company’s accounting practices, methodologies or methods or the accuracy, completeness, form or manner of filing of any certifications required by Rules 13a-14 and 15d-14 under the Exchange Act and Sections 302 and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the Company Subsidiaries is a party to, or has any commitment to become a party to, any joint venture, off balance sheet partnership, or any similar Contract (including any Contract relating to any transaction between or among the Company and any of the Company Subsidiaries, on the one hand, and any unconsolidated Affiliate, including any structured finance, special purpose or limited purpose entity or Person, on the other hand, or any “off balance sheet arrangements” (as defined in Item 303(a)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the Transactions, or the consideration of other potential strategic transactions, since the Balance Sheet Date through the date of this Agreement, the Company has conducted, in all material respects, its business in the ordinary course of business consistent with past practice. Since the Balance Sheet Date through the date of this Agreement, the Company has not taken any action that, if taken after the date of this Agreement without Parent’s consent, would constitute a breach of the covenants set forth in any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(q)</w:t>
      </w:r>
      <w:r>
        <w:rPr>
          <w:rFonts w:ascii="Times New Roman" w:hAnsi="Times New Roman"/>
          <w:sz w:val="20"/>
        </w:rPr>
        <w:t xml:space="preserve">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through the date of this Agreement, no Effects have occurred, which have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No Undisclosed Liabilities</w:t>
      </w:r>
      <w:r>
        <w:rPr>
          <w:rFonts w:ascii="Times New Roman" w:hAnsi="Times New Roman"/>
          <w:sz w:val="20"/>
        </w:rPr>
        <w:t xml:space="preserve">. As of the date hereof, neither the Company nor any Company Subsidiary has incurred any liabilities that would be required by GAAP to be reflected on a consolidated balance sheet, except (a) as disclosed, reflected or otherwise reserved against on the Balance Sheet, (b) for liabilities incurred since the Balance Sheet Date in the ordinary course of business consistent with past practice, (c) for liabilities incurred in connection with the negotiation, execution, delivery and performance of this Agreement, the Transactions or any other agreements or instruments delivered in connection herewith or contemplated hereunder and transactions contemplated thereby, (d) for liabilities that are based on executory performance obligations arising under Contracts to which the Company or any Company Subsidiary is a party (other than to the extent arising from a breach or acceleration thereof by the Company or any Company Subsidiary) or (e) for liabilities that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the Company, threatened in writing, against the Company or any of the Company Subsidiaries or any of its or their respective properties, or, to the knowledge of the Company, any of their respective executive officers or directors in his or her capacity as such, other than any such Legal Proceeding that has not had and would not reasonably be expected to have, individually or in the aggregate, a Company Material Adverse Effect. As of the date hereof, none of the Company, the Company Subsidiaries or any of their respective properties is subject to any outstanding judgment, order, writ, injunction, award or decree,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Employee Benefit Plans; 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Schedule sets forth a correct and complete list of all material Benefit Plans. For purposes of this Agreement, the term “Benefit Plan” shall mean each “employee benefit plan” (as that term is defined in Section 3(3) of ERISA, whether or not subject to ERISA), and all individual consulting, employment, severance, termination, bonus, commission, profit sharing, retirement, pension, welfare and post-employment welfare, vacation, paid time off, change-in-control, transaction, retention, equity or equity-based or other incentive plans, policies, programs, Contracts, and agreements, in each case, sponsored, maintained, contributed to or required to be contributed to be maintained or contributed to by the Company or any Company Subsidiary, or with respect to which the Company or any Company Subsidiary has any liability (other than any plan or arrangement sponsored, maintained and required by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Each Benefit Plan that is intended to be qualified under Section 401(a) of the Code has received a determination, opinion or advisory letter from the Internal Revenue Service and, to the knowledge of the Company, nothing has occurred since the date of such letter that would reasonably be expected to adversely affect the qualification or tax exemption of any such Benefit Plan. Each Benefit Plan and any related trust has been established, maintained, funded and administered in compliance in all material respects with its terms and the requirements of ERISA, the Code, and other applicable Laws, and, to the knowledge of the Company, no event has occurred and no condition exists with respect to any Benefit Plan, that would reasonably be expected to subject the Parent or any of its Affiliates to any material Tax, fine, lien, penalty or other liability imposed by ERISA, the Code or any other applicable Laws. Neither the Company nor any Company Subsidiary has incurred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(c) No Benefit Plan is, and neither the Company nor any Company Subsidiary sponsors, maintains, contributes to, has any obligation to contribute to or has any current or contingent liability under or with respect to any: (i) “multiemployer plan” (as defined in Section 3(37) or 4001(a)(3) of ERISA), (ii) plan subject to Title IV of ERISA or Section 412 of the Code or any other defined benefit pension plan, (iii) “multiple employer plan” (as defined in Section 210 of ERISA or Section 413(c) of the Code), (iv) “multiple employer welfare arrangement”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defined in Section 3(40) of ERISA), or (v) plan or arrangement that provides for post-employment medical, or other welfare benefits to retired or former employees of the Company or any Company Subsidiary (other than as required under Code Section 4980B, similar state Law, or applicable non-U.S. Law), in each case including as a consequence of at any time being considered a single employer with any other Person under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result in a material liability to the Company or the Company Subsidiaries, all contributions, reimbursements, and premium payments with respect to each Benefit Plan have been made within the time periods prescribed by the terms of each Benefit Plan, ERISA and the Code, and all contributions, reimbursements, and premium payments not yet due have been made or properly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each material Benefit Plan, each to the extent applicable, correct and complete copies of the following have been delivered or made available to Parent by the Company: (i) the plan document (including all amendments thereto), (ii) all related trust agreements, (iii) all insurance Contracts or other material funding arrangements, (iv) the most recently filed annual report (Form 5500), (v) the most recent determination, opinion or advisory letter from the Internal Revenue Service, (vi) the most recent summary plan description, and (vii) all non-routine material correspondence with any Governmental Entity within the prior two (2) years to the date hereof. </w:t>
      </w:r>
    </w:p>
    <w:p>
      <w:pPr>
        <w:pStyle w:val="TextBody"/>
        <w:bidi w:val="0"/>
        <w:spacing w:before="240" w:after="0"/>
        <w:jc w:val="left"/>
        <w:rPr>
          <w:rFonts w:ascii="Times New Roman" w:hAnsi="Times New Roman"/>
          <w:sz w:val="20"/>
        </w:rPr>
      </w:pPr>
      <w:r>
        <w:rPr>
          <w:rFonts w:ascii="Times New Roman" w:hAnsi="Times New Roman"/>
          <w:sz w:val="20"/>
        </w:rPr>
        <w:t>(f) With respect to each Benefit Plan that is subject to the Laws of a jurisdiction other than the United States (a “</w:t>
      </w:r>
      <w:r>
        <w:rPr>
          <w:rFonts w:ascii="Times New Roman" w:hAnsi="Times New Roman"/>
          <w:sz w:val="20"/>
          <w:u w:val="single"/>
        </w:rPr>
        <w:t>Non-U.S. Plan</w:t>
      </w:r>
      <w:r>
        <w:rPr>
          <w:rFonts w:ascii="Times New Roman" w:hAnsi="Times New Roman"/>
          <w:sz w:val="20"/>
        </w:rPr>
        <w:t xml:space="preserve">”): (i) except as would not be reasonably expected to be material to the Company or the Company Subsidiaries each Non-U.S. Plan required to be registered has been registered and has been maintained in good standing in all material respects with applicable regulatory authorities, (ii) each Non-U.S. Plan intended to receive favorable tax treatment under applicable Tax Laws has been qualified or similarly determined to satisfy the requirements of such Laws, (iii) no Non-U.S. Plan is a defined benefit plan, and (iv) no Non-U.S. Plan has any material unfunded liabilities, nor are such unfunded liabilities reasonably expected to arise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combination with another event, could reasonably be expected to: (i) entitle any current or former employee, officer, director or other individual service provider of the Company or any Company Subsidiary (or any dependent or beneficiary thereof) to any payment of compensation or benefits (whether in cash, property or the vesting of property); (ii) increase the amount of compensation or benefits due or payable to any such person set forth in the preceding </w:t>
      </w:r>
      <w:r>
        <w:rPr>
          <w:rFonts w:ascii="Times New Roman" w:hAnsi="Times New Roman"/>
          <w:sz w:val="20"/>
          <w:u w:val="single"/>
        </w:rPr>
        <w:t>clause (i)</w:t>
      </w:r>
      <w:r>
        <w:rPr>
          <w:rFonts w:ascii="Times New Roman" w:hAnsi="Times New Roman"/>
          <w:sz w:val="20"/>
        </w:rPr>
        <w:t xml:space="preserve">; (iii) accelerate the vesting, funding or time of payment of any compensation, equity award or other benefit; (iv) require a contribution by the Company or any Company Subsidiary to any Benefit Plan; (v) restrict the ability of the Company to merge, amend or terminate any Benefit Plan; or (vi) result in the forgiveness of any employee or individual service provider loan.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is expected to be received (whether in cash, property or the vesting of property), as a result of the Transactions, either alone or in combination with another event, by any current or former employee, officer, director or other individual service provider of the Company or any Company Subsidiary would reasonably be expected to be nondeductible by reason of Section 280G of the Code or subject to an excise tax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has no current or contingent obligation to indemnify, gross-up, reimburse or otherwise make whole any Person for any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Benefit Plan that constitutes in any part a “nonqualified deferred compensation plan” (as defined under Section 409A(d)(1) of the Code) subject to Section 409A of the Code has been operated and administered by the Company or the applicable Company Subsidiary in all material respects in operational compliance with, and is in all material respects in documentary compliance with, Section 409A of the Code and all Internal Revenue Service guidance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no and since January 1, 2023 there has not been any pending or, to the knowledge of the Company, threatened material labor dispute, strike, lockout, picketing, hand billing, material labor grievance, material labor arbitration, unfair labor practice charge or work stoppage against the Company or any Company Subsidiary. Except as set forth on </w:t>
      </w:r>
      <w:r>
        <w:rPr>
          <w:rFonts w:ascii="Times New Roman" w:hAnsi="Times New Roman"/>
          <w:sz w:val="20"/>
          <w:u w:val="single"/>
        </w:rPr>
        <w:t>Section 3.11</w:t>
      </w:r>
      <w:r>
        <w:rPr>
          <w:rFonts w:ascii="Times New Roman" w:hAnsi="Times New Roman"/>
          <w:sz w:val="20"/>
        </w:rPr>
        <w:t xml:space="preserve"> of the Company Disclosure Schedule, as of the date hereof, (i) neither the Company nor any Company Subsidiary is party to or bound by any Collective Bargaining Agreement, (ii) none are being negotiated by the Company or a Company Subsidiary, and (iii) to the knowledge of the Company, there are no labor unions, works councils, or other labor organizations representing any employees of the Company or any Company Subsidiary. To the knowledge of the Company, as of the date hereof, no union organization campaign is in progress with respect to any employees of the Company or any Company Subsidiary, and there have been no such material organizing efforts since January 1, 2023. To the knowledge of the Company, as of the date hereof, the Company and the Company Subsidiaries do not have any legal or contractual obligation to inform, consult with, bargain with, obtain consent from, or provide information to any union, works council, employee representative, or labor organization,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Company and each Company Subsidiary are, and since January 1, 2023 have been, in compliance in all material respects with all Laws governing labor and employment, including those related to wages, hours, employee classification, independent contractor classification, collective bargaining, terms and conditions of employment, employment discrimination, equal employment opportunity, workplace harassment, retaliation, immigration, employee leave, paid time off, workers’ compensation, mass layoffs, plant closings (including the WARN Act), unemployment compensation, occupational health and safety, disability rights or benefits, labor relations, affirmative action, and unemployment insurance.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the Company and each Company Subsidiary has reasonably investigated all material sexual harassment, or other material harassment, discrimination or retaliation allegations against current or former officers, directors, partners, executives, or employees of the Company or any Company Subsidiary that have been reported to the Company or any Company Subsidiary or of which the Company or any Company Subsidiary was otherwise aware. With respect to each such allegation (except those the Company or the applicable Company Subsidiary reasonably deemed to not have merit), the Company or the applicable Company Subsidiary has taken corrective action reasonably calculated to prevent further improper action, and does not expect any material liability with respect to any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knowledge of the Company, no current employee of the Company or any Company Subsidiary is in violation in any material respect of any term of any nondisclosure agreement or obligation, noncompetition or non-solicitation agreement or other restrictive covenant obligation owed to any third party with respect to such person’s right to be employed or engaged by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Subsidiaries have timely filed all Tax Returns required to be filed (taking into account any extensions of time within which to file such Tax Returns), and all such Tax Returns are true, correct and complete, subject in each case to such exceptions as has not had and would not reasonably be expected to have, individually or in the aggregate, a Company Material Adverse Effect. The Company and the Company Subsidiaries have paid all Taxes (whether or not shown to be due on any Tax Return) or are contesting such Taxes in good faith by appropriate Legal Proceedings and have established an adequate reserve therefor in accordance with GAAP, subject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(i) there are no audits, examinations or other proceedings pending or, to the knowledge of the Company, threatened in writing, with regard to any Taxes of the Company or the Company Subsidiaries, and (ii) neither the Company nor any of the Company Subsidiaries has received a written notice or announcement of any audits, examinations, investigations, or other proceedings, subject, in each case,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to the knowledge of the Company, neither the Company nor any Company Subsidiary is or has been subject to taxation in any country other than the country of its formation by virtue of being engaged in the active conduct of a trade or business in such country, or having a fixed place of business or permanent establishment (within the meaning of an applicable income Tax treaty or convention between the United States and such non-U.S. country),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the Company Subsidiaries, taken as a whole, no deficiency for Taxes has been asserted or assessed by any Governmental Entity in writing against the Company or any Company Subsidiary (and, to the knowledge of the Company, no such deficiency has been threatened or proposed in writing), except for deficiencies which have been withdrawn, fully settled or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Tax Liens upon any property or assets of the Company and the Company Subsidiaries, except for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Company Subsidiary was a “distributing corporation” or a “controlled corporation” in a transaction intended to be governed by Section 355 of the Code, completed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Company Subsidiary is a party to, is bound by or has any obligation under any Tax sharing, Tax allocation or Tax indemnity agreement or similar Contract or arrangement (other than customary gross-up or indemnification provisions in credit agreements, derivatives, leases and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Company Subsidiary has waived any statute of limitations with respect to any material Taxes or agreed to any extension of time with respect to any material Tax assessment or deficiency, which waiver or extension remains in effect, other than any extension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Company Subsidiary (i) has been a member of any consolidated, combined, affiliated or unitary group of corporations for any Tax purposes (other than any such group of which the Company or a Company Subsidiary is the parent) or (ii) has any liability for Taxes of any Person under Treasury Regulations Section 1.1502-6 (or any similar provision of state, local or non-U.S. Tax Law), as a transferee or successor, by Contract (other than a Contract that is not primarily related to the allocation or sharing of Taxes)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Company Subsidiary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the Company Subsidiaries (i) have withheld and paid over to the appropriate taxing authority all amounts of Taxes required to be withheld from amounts paid or owing to any Person (including, any employee, independent contractor, unitholder, creditor or other third party) and (ii) properly reported (or caused to have properly reported) all such amounts to the appropriate taxing authority in accordance with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 claim has been made since January 1, 2023 by any Governmental Entity in a jurisdiction where the Company or any of the Company Subsidiaries does not file material Tax Returns that it is or may be subject to a material Tax by that jurisdiction or required to file material Tax Returns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the Company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income Tax Law) executed on or prior to the Closing Date; (iii) any use of an improper method of accounting for a taxable period ending on or prior to the Closing Date; (iv) installment sale or open transaction disposition made on or prior to the Closing Date; or (v) prepaid amount received or deferred revenue accrued on or prior to the Closing Date, other than those that arise or arose in the ordinary course of business of the Company or any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During the five years prior to the date hereof, no private letter rulings, technical advice memoranda or similar agreements or rulings have been entered into or issued by any Governmental Entity with respect to the Company or any Company Subsidiary, and no such agreements or rulings that have been requested are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representations relating to Taxes are made with respect to taxable years beginning before January 1, 2016.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contains a correct and complete list of the following Contracts to which, as of the date hereof, the Company or any of the Company Subsidiaries is a party or by which such Person is, or any of its properties or assets are, bound as of the date hereof, other than Benefit Plans (any Contract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and each amendment and modification thereto that would be required to be filed by the Company as a “material contract” pursuant to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pursuant to which the Company or any of the Company Subsidiaries has continuing obligations or interests involving (A) milestone or similar payments, including upon the achievement of regulatory or commercial milestones, in each case in excess of $10,000,000 of future payments in the aggregate or (B) payment of royalties or other amounts calculated based upon any revenues or income of the Company or any of the Company Subsidiaries, in each case in excess of $10,000,000 of future payments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that (A) materially limits the ability of the Company or any Company Subsidiary to compete in any line of business or in any geographic area or (B) contains any “most favored nations” terms and conditions (including with respect to pricing) granted by the Company or exclusivity obligations or restrictions limiting the freedom or right of the Company or any of its Subsidiaries to solicit or sell, distribute or manufacture any products or services or any technology or other assets to or for any other Person (but excluding any grant of exclusive or semi-exclusive license or right under Company Intellectual Property or any limitations to the “field of use” or otherwise to the scope of licenses granted to the Company or any of the Company Subsidiary), including,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Contracts that, following the Closing, would reasonably be expected to so limit or impose such obligations on Parent or any of its Affiliates, other than such Contracts that may be cancelled without material liability to the Company or the applicable Company Subsidiary upon notice of ninety (90) days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Contract (A) under which the Company or any Company Subsidiary is a licensee or licensor of (1) any exclusive Intellectual Property Rights or (2) any non-exclusive Intellectual Property Rights (other than non-exclusive licenses of commercially available, off-the-shelf, click-wrap or shrink-wrap software), in each case of (1) and (2), that are material to the Company and the Company Subsidiaries, taken as a whole; (B) related to the development or acquisition of any Intellectual Property Rights by or for the benefit of the Company or any Company Subsidiary that is material to the Company and the Company Subsidiaries, taken as a whole (other than agreements with employees entered into in the ordinary course of business on the Company or a Company Subsidiary’s form); or (C) that limits the Company’s or any of the Company Subsidiaries’ ability to enforce any Owned Company Intellectual Property claiming the Exploitation of any Company Product which Owned Company Intellectual Property is material to the Company and the Company Subsidiaries, taken as a whole (other than field or territorial limitations incorporated in the applicable license grant); </w:t>
      </w:r>
    </w:p>
    <w:p>
      <w:pPr>
        <w:pStyle w:val="TextBody"/>
        <w:bidi w:val="0"/>
        <w:spacing w:before="120" w:after="0"/>
        <w:jc w:val="left"/>
        <w:rPr>
          <w:rFonts w:ascii="Times New Roman" w:hAnsi="Times New Roman"/>
          <w:sz w:val="20"/>
        </w:rPr>
      </w:pPr>
      <w:r>
        <w:rPr>
          <w:rFonts w:ascii="Times New Roman" w:hAnsi="Times New Roman"/>
          <w:sz w:val="20"/>
        </w:rPr>
        <w:t>(v) each lease, sublease, license or other Contract (including all amendments) pursuant to which the Company and the Company Subsidiaries hold the Leased Real Property (each, a “</w:t>
      </w:r>
      <w:r>
        <w:rPr>
          <w:rFonts w:ascii="Times New Roman" w:hAnsi="Times New Roman"/>
          <w:sz w:val="20"/>
          <w:u w:val="single"/>
        </w:rPr>
        <w:t>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each Government Contract (other than product sales agreements entered into in the ordinary course of business consistent with past practice and other than agreements entered into with academic institutions or similar entities in the ordinary course of business) that involves total payments reasonably estimated to exceed $2,000,000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(vii) each Contract relating to (A) indebtedness or other similar obligations (whether incurred as principal, guarantor or surety and whether present or future, actual or contingent, committed or uncommitted) for the payment or repayment of borrowed money or (B) any other similar financing arrangement (whether on or off balance sheet), in each case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or binding upon the Company or any of the Company Subsidiaries or any of their respective properties or assets that is of the type that would be required to be disclosed under Item 404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(ix) each partnership or joint venture agreement that relates to the formation, creation, operation, management or control of any partnership or joint venture that is material to the Company and the Company Subsidiaries, taken as a whole; </w:t>
      </w:r>
    </w:p>
    <w:p>
      <w:pPr>
        <w:pStyle w:val="TextBody"/>
        <w:bidi w:val="0"/>
        <w:spacing w:before="120" w:after="0"/>
        <w:jc w:val="left"/>
        <w:rPr>
          <w:rFonts w:ascii="Times New Roman" w:hAnsi="Times New Roman"/>
          <w:sz w:val="20"/>
        </w:rPr>
      </w:pPr>
      <w:r>
        <w:rPr>
          <w:rFonts w:ascii="Times New Roman" w:hAnsi="Times New Roman"/>
          <w:sz w:val="20"/>
        </w:rPr>
        <w:t>(x) any collective bargaining agreement or other similar Contract between any labor union, works council, or other labor organization and the Company or any Company Subsidiary (each, a “</w:t>
      </w:r>
      <w:r>
        <w:rPr>
          <w:rFonts w:ascii="Times New Roman" w:hAnsi="Times New Roman"/>
          <w:sz w:val="20"/>
          <w:u w:val="single"/>
        </w:rPr>
        <w:t>Collective Bargaining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that (A) contains any standstill or similar agreement pursuant to which the Company or any of the Company Subsidiaries has agreed not to acquire assets or securities of another Person, (B) contains a put, call, right of first offer, tag-along, drag-along, right of first refusal or similar right pursuant to which the Company or any of the Company Subsidiaries would be required to purchase or sell, or otherwise acquire or transfer, as applicable, any equity interests of any Person or assets that have a fair market value or purchase price of more than $1,000,000, or (C) contains any option or other right to acquire any equity interests in, or assets that have a fair market value or purchase price of more than $1,000,000 of, the Company or any of the Company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each employment, independent contractor or consulting, deferred compensation, severance or bonus Contract with any current or former employee or officer who is at the level of senior director or above or board member of the Company or any Company Subsidiary whose annualized base compensation opportunities would exceed $200,000 that (i) provides for (A) payment of any severance benefits (excluding, for individuals providing services outside of the U.S., arrangements required by applicable Law) or (B) any change in control, retention or other payments that would be triggered solely by the consummation of the transactions contemplated hereunder or (ii) cannot be terminated upon sixty (60) days’ notice or less without further payment, liability or obligation;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 clinical research organization, contract manufacturing organization or other third party pursuant to which the Company or any Company Subsidiary is conducting or having conducted on its behalf a clinical study and for which the Company or a Company Subsidiary holds the IND for such clinical study or manufacturing of any Company Product that involves annual payments in excess of $5,000,000; </w:t>
      </w:r>
    </w:p>
    <w:p>
      <w:pPr>
        <w:pStyle w:val="TextBody"/>
        <w:bidi w:val="0"/>
        <w:spacing w:before="120" w:after="0"/>
        <w:jc w:val="left"/>
        <w:rPr>
          <w:rFonts w:ascii="Times New Roman" w:hAnsi="Times New Roman"/>
          <w:sz w:val="20"/>
        </w:rPr>
      </w:pPr>
      <w:r>
        <w:rPr>
          <w:rFonts w:ascii="Times New Roman" w:hAnsi="Times New Roman"/>
          <w:sz w:val="20"/>
        </w:rPr>
        <w:t xml:space="preserve">(xiv) each Contract pursuant to which any Person has been granted exclusive rights to develop, manufacture, sell or distribute any Company Product that involves annual payments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providing for the acquisition or disposition of any third Person, business segment, product line or other assets (whether by merger, sale of stock, sale of assets, consolidation or otherwise), that are material to the Company and the Company Subsidiaries, taken as a whole, and where (A) such Contract was entered into during the three (3) years prior to and including the date of this Agreement or (B) such acquisition or disposition has not yet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(xvi) each Contract governing, amending, modifying, or supplementing any of the Company Convertible Notes (other than the Company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(xvii) each Contract with a third party supplier pursuant to which the Company or a Company Subsidiary commits to purchase its entire requirements of a material listed on the Bill of Materials for a Company Product; and.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Contracts of a nature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xml:space="preserve">, any Contract that required by its terms the payment or delivery of cash or other consideration by or to the Company in an amount in excess of $10,000,000 in the fiscal year ending December 31, 2025 (other than customer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in each case, as would not reasonably be expected to have, individually or in the aggregate, a Company Material Adverse Effect, as of the date hereof, (i) each Material Contract is valid and binding on the Company or the applicable Company Subsidiaries and, to the knowledge of the Company, each other party thereto, and is in full force and effect and is enforceable by the Company or the applicable Company Subsidiaries in accordance with its terms, in each case subject to the Enforceability Exceptions, (ii) the Company and the Company Subsidiaries have performed and complied with all of their respective obligations required to be performed or complied with by them under each Material Contract, (iii) there is no default under any Material Contract by the Company or the applicable Company Subsidiaries or, to the knowledge of the Company, by any other party thereto, (iv) no event has occurred that with the lapse of time or the giving of notice or both would constitute a default under a Material Contract by the Company or the applicable Company Subsidiaries, or, to the knowledge of the Company, by any other party thereto, (v) since January 1, 2026, the Company has not received any written notice from any Person that such Person intends to terminate, or not renew, any Material Contract, and (vi) the Company has not waived in writing any material rights under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or made available to Parent or provided to Parent for review, prior to the execution of this Agreement, correct and complete copies of all of the Material Contracts (including all amendments, supplements, side letters and other modifications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Title to Assets</w:t>
      </w:r>
      <w:r>
        <w:rPr>
          <w:rFonts w:ascii="Times New Roman" w:hAnsi="Times New Roman"/>
          <w:sz w:val="20"/>
        </w:rPr>
        <w:t xml:space="preserve">. The Company and the Company Subsidiaries have good and valid title to, or good and valid leasehold interests in, as applicable, all material property and assets reflected on the Balance Sheet or acquired after the Balance Sheet Date, except as have been disposed of since the Balance Sheet Date in the ordinary course of business and in compliance with this Agreement, in each case free and clear of all Liens, other than Permitted Liens, except where the failure to have such title or leasehold interests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Company Disclosure Schedule sets forth a correct and complete list of all real property owned by the Company and the Company Subsidiaries (the “</w:t>
      </w:r>
      <w:r>
        <w:rPr>
          <w:rFonts w:ascii="Times New Roman" w:hAnsi="Times New Roman"/>
          <w:sz w:val="20"/>
          <w:u w:val="single"/>
        </w:rPr>
        <w:t>Owned Real Property</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(i) have good and marketable fee simple title to the Owned Real Property, free and clear of all Liens, except for Permitted Liens, and (ii) are not in breach or default under any affirmative or restrictive covenant encumbering the Owned Real Property.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3.15(a)</w:t>
      </w:r>
      <w:r>
        <w:rPr>
          <w:rFonts w:ascii="Times New Roman" w:hAnsi="Times New Roman"/>
          <w:sz w:val="20"/>
        </w:rPr>
        <w:t xml:space="preserve"> of the Company Disclosure Schedule, (A) the Company and the Company Subsidiaries have not leased or otherwise granted to any Person the right to use or occupy any portion of the Owned Real Property, (B) other than the right of Parent pursuant to this Agreement, there are no outstanding options, rights of first offer or right of first refusal to purchase any Owned Real Property or any portion thereof, and (C) the Company and the Company Subsidiaries are not parties to any agreement or option to purchase any real property or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3.15(b)</w:t>
      </w:r>
      <w:r>
        <w:rPr>
          <w:rFonts w:ascii="Times New Roman" w:hAnsi="Times New Roman"/>
          <w:sz w:val="20"/>
        </w:rPr>
        <w:t xml:space="preserve"> of the Company Disclosure Schedule sets forth a correct and complete list of all real property leased, subleased, licensed or otherwise occupied by the Company and the Company Subsidiaries (the “</w:t>
      </w:r>
      <w:r>
        <w:rPr>
          <w:rFonts w:ascii="Times New Roman" w:hAnsi="Times New Roman"/>
          <w:sz w:val="20"/>
          <w:u w:val="single"/>
        </w:rPr>
        <w:t>Leased Real Property</w:t>
      </w:r>
      <w:r>
        <w:rPr>
          <w:rFonts w:ascii="Times New Roman" w:hAnsi="Times New Roman"/>
          <w:sz w:val="20"/>
        </w:rPr>
        <w:t xml:space="preserve">”).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3.15(b)</w:t>
      </w:r>
      <w:r>
        <w:rPr>
          <w:rFonts w:ascii="Times New Roman" w:hAnsi="Times New Roman"/>
          <w:sz w:val="20"/>
        </w:rPr>
        <w:t xml:space="preserve"> of the Company Disclosure Schedule, (i) the Company and the Company Subsidiaries have a good and valid leasehold interest in all Leased Real Property, free and clear of all Liens, except for Permitted Liens, (ii) there are no existing disputes with respect to any Leased Real Property or Lease, and (iii) the Company and the Company Subsidiaries have not, (A) subleased, licensed or otherwise granted any Person the right to use or occupy any portion of the Leased Real Property or any portion thereof, or (B) collaterally assigned or granted any other security interest in any Lease or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as of the date hereof, (i) no zoning or similar land use restrictions are currently in effect or, to the knowledge of the Company, proposed by any Governmental Entity that would impair the operation of the business of the Company and the Company Subsidiaries as currently conducted or which would impair the use, occupancy and enjoyment of the Owned Real Property and the Leased Real Property, (ii) there is no condemnation, expropriation or other proceeding in eminent domain pending, or to the knowledge of the Company, threatened in writing, affecting any portion of the Owned Real Property or Leased Real Property, (iii) all buildings, structures, improvements, fixtures, building systems, and all components thereof, included in the Owned Real Property are in good condition and repair, and (iv) the Owned Real Property and the Leased Real Property constitute all of the real property used in the operation of the business of the Company and the Company Subsidiaries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(a) each of the Company and the Company Subsidiaries is, and since January 1, 2021 has been, in compliance with all applicable Environmental Laws, which compliance includes obtaining, maintaining or complying with all Permits required under applicable Environmental Laws for the operation of its respective business, (b) as of the date hereof, there is no Legal Proceeding relating to or arising under any applicable Environmental Law that is pending or, to the knowledge of the Company, threatened in writing against the Company or any of the Company Subsidiaries or, to the knowledge of the Company, any Leased Real Property, (c) neither the Company nor any of the Company Subsidiaries is subject to any legally binding order, settlement, judgment, injunction or decree involving uncompleted, outstanding or unresolved violations, liabilities or requirements on the part of the Company or any of the Company Subsidiaries relating to or arising under applicable Environmental Laws, or received written notice regarding such violations, liabilities, or requirements that has not been fully resolved, (d) there has not been any Hazardous Substance used, generated, released, handled, transported, stored, disposed or arranged for disposal of, exposed to any Person, or otherwise existing at, any currently or formerly owned, leased or operated property of the Company or the Company Subsidiaries, or at any other property, except in compliance with, and as would not be reasonably anticipated to give rise to liability of the Company or any Company Subsidiary under, applicable Environmental Laws, (e) no Company Product has been manufactured, marketed, designed, distributed or sold in a manner that has given rise to liability for the Company or Company Subsidiaries under applicable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the Company Subsidiaries has assumed, undertaken, provided an indemnity with respect to, or otherwise become subject to, any liability of any other Person arising under any applicable Environmental Law and (g) neither this Agreement nor the Transactions will result in any obligation for site investigation or clean up, or notice to or filing with any Governmental Entity, pursuant to any Environmental Law, including the New Jersey Industrial Site Recovery Act, N.J.S.A. 13:1K 6 et seq. The Company has made available copies of all material environmental, health and safety audits, assessments, reports and other material environmental, health and safety documents in its possession or reasonable control relating to the current or former properties, facilities or operations of the Company or the Company Subsidiaries relevant to compliance with, or potential liability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Intellectual Property; 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a true, correct and complete list of all registered or applied-for Intellectual Property Rights owned by the Company or a Company Subsidiary. </w:t>
      </w:r>
      <w:r>
        <w:rPr>
          <w:rFonts w:ascii="Times New Roman" w:hAnsi="Times New Roman"/>
          <w:sz w:val="20"/>
          <w:u w:val="single"/>
        </w:rPr>
        <w:t>Section 3.17</w:t>
      </w:r>
      <w:r>
        <w:rPr>
          <w:rFonts w:ascii="Times New Roman" w:hAnsi="Times New Roman"/>
          <w:sz w:val="20"/>
        </w:rPr>
        <w:t xml:space="preserve"> of the Company Disclosure Schedule shall include: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registered copyrighted work, the number and date of registration and the jurisdiction of the registration. To the knowledge of the Company, the Intellectual Property Rights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or one of the Company Subsidiaries owns or otherwise has all rights, title and interest in and to all Owned Company Intellectual Property (i) used in or necessary for use in the business of the Company and the Company Subsidiaries as currently conducted, (ii) free and clear of all Liens other than Permitted Liens, except in the case of both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or one of the Company Subsidiaries, as applicable, has a valid and enforceable right pursuant to a Contract to use the Licensed Company Intellectual Property in the business of the Company and the Company Subsidiaries as currently conducted, free and clear of all Liens other than Permitted Liens, except with respect to such Licensed Company Intellectual Property that if not licensed or sublicensed to the Company or one of the Company Subsidiaries,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for the Licensed Company Intellectual Property for which the Company or a Company Subsidiary has the right pursuant to a Contract with the relevant licensor to control the prosecution and maintenance of such Licensed Company Intellectual Property: (i) for each patent and patent application, the patent number or application serial number, the jurisdiction in which the patent or application has been filed or issued, and the date filed or issued, (ii) for each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trademark or service mark, the application serial number or registration number, the jurisdiction of the application or registration, and the date filed or issued, (iii) each URL or domain name registered, and (iv) for each material registered copyrighted work, the number and date of registration and the jurisdiction of the registration. To the knowledge of the Company, the Licensed Company Intellectual Property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(e) (i) Since June 30, 2021, to the knowledge of the Company, and except, in each case for any such infringement or misappropriation that has not or would not reasonably be expected to have, individually or in the aggregate, a Company Material Adverse Effect, the operation of the Company or any Company Subsidiary’s business has not infringed upon, misappropriated, or otherwise violated, and is not infringing upon, misappropriating, or otherwise violating the Intellectual Property Rights of another Person and (ii) no action, claim or proceeding alleging infringement, misappropriation, or other violation of any Intellectual Property Right of another Person is pending against the Company or any Company Subsidiaries. Since June 30, 2021, neither the Company nor any Company Subsidiary has received any written notice relating to any actual or alleged infringement, misappropriation, or violation of any Intellectual Property Right of another Person by the Company or any Company Subsidiary. To the knowledge of the Company, no Person or any of such Person’s products or services or other operation of such Person’s business is infringing upon, misappropriating, or otherwise violating any Owned Company Intellectual Property that is material to the business of the Company and the Company Subsidiaries as currently conducted,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Except for such Legal Proceedings that, if resolved against the Company or any Company Subsidiary, would not be reasonably expected to be material to the business of the Company and the Company Subsidiaries as currently conducted, taken as a whole, there are no Legal Proceedings pending before any Governmental Entity challenging the ownership, validity or enforceability of the Owned Company Intellectual Property and, to the knowledge of the Company, no such Legal Proceedings have been threatened in writing against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the Company Subsidiaries use commercially reasonable efforts to maintain, enforce, and protect all of the Owned Company Intellectual Property, including, to the extent material to the business of the Company and the Company Subsidiaries as currently conducted, taken as a whole, the secrecy, confidentiality, and value of trade secrets and other confidential information of the Company and the Company Subsidiaries, and, except as would not reasonably be expected to be material to the business of the Company and the Company Subsidiaries as currently conducted, taken as a whole, there has been no unauthorized uses or disclosures of any such trade secrets or such other confidential information. All Intellectual Property Rights developed by past or current employees, consultants, or independent contractors of the Company or Company Subsidiaries in the scope of their employment or engagement either vest in the Company or a Company Subsidiary by operation of Law or have been assigned to the Company or a Company Subsidiary under a Contract, except for such rights that are non-assignable under applicable law, including statutory inventor compensation rights (e.g., the German Employee Inventions Act (Arbeitnehmererfindungsgesetz)), moral rights, and other similar rights. Except as has not had and would not reasonably be expected to have, individually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a Company Material Adverse Effect, (i) each Person who has been provided with, or given access to, trade secrets or confidential information of or relating to the Company or any Company Subsidiary has signed an agreement with reasonable confidentiality obligations and use restrictions or is under a legally binding duty of confidentiality with respect to the same, and (ii) to the knowledge of the Company, no Person has breached any Contract or duty referenced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(i) neither the execution, delivery, or performance of this Agreement, nor the consummation of the Transactions, will result in the loss or impairment of or payment of any additional amounts with respect to, or require the consent of any other Person in respect of, the Surviving Corporation’s right to own or use any Company Intellectual Property, and (ii) immediately following the Closing, all Company Intellectual Property will be owned or available, respectively, for use by the Surviving Corporation on substantially the same terms as they were owned or available for use by Company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Company Material Adverse Effect, the Company and the Company Subsidiaries own, lease, license, or otherwise have the legal right to use all Business Systems, and such Business Systems are functional, operate in a reasonable business manner, and are sufficient for the immediate and anticipated future needs of the businesses of the Company and the Company Subsidiaries, except as would not reasonably be expected to be material to the Company and the Company Subsidiaries, taken as a whole, including as to capacity and ability to meet current peak volumes and anticipated volumes in a timely manner and by maintaining reasonable backup and disaster recovery plans. Except as has not had and would not reasonably be expected to have, individually or in the aggregate, a Company Material Adverse Effect, the Company and each of the Company Subsidiaries have taken commercially reasonable actions to protect the security and integrity of the Business Systems and the data stored or contained therein or transmitted thereby. Except as has not had and would not reasonably be expected to have, individually or in the aggregate, a Company Material Adverse Effect, (i) there have been no failures, breakdowns, outages, or unavailability of any of the Business Systems since January 1, 2023 that have not been remediated in all material respects, and (ii) to the knowledge of the Company, there is no virus, worm, “back door,” “time bomb,” “drop dead device,” Trojan horse or similar disabling code or program in any of the Business Systems. </w:t>
      </w:r>
    </w:p>
    <w:p>
      <w:pPr>
        <w:pStyle w:val="TextBody"/>
        <w:bidi w:val="0"/>
        <w:spacing w:before="240" w:after="0"/>
        <w:jc w:val="left"/>
        <w:rPr>
          <w:rFonts w:ascii="Times New Roman" w:hAnsi="Times New Roman"/>
          <w:sz w:val="20"/>
        </w:rPr>
      </w:pPr>
      <w:r>
        <w:rPr>
          <w:rFonts w:ascii="Times New Roman" w:hAnsi="Times New Roman"/>
          <w:sz w:val="20"/>
        </w:rPr>
        <w:t xml:space="preserve">(j) As of the date of this Agreement, except as has not had and would not reasonably be expected to have, individually or in the aggregate, a Company Material Adverse Effect, there have been no known Security Incidents with respect to any Business Systems or any data or information stored therein or transmitted thereby, any trade secrets included in the Company Intellectual Property or otherwise Processed by or for the Company or any Company Subsidiary, or that otherwise adversely affected the Company or any Company Subsidiary. To the knowledge of the Company, neither the Company nor any Company Subsidiary has been required to notify (and none has notified) any Person of any material Security Incident since January 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Except as has not had and would not reasonably be expected to have, individually or in the aggregate, a Company Material Adverse Effect, to the Company’s knowledge, no Person holds any license or other right in, to or under any Licensed Company Intellectual Property that conflicts with, restricts, or impairs, or would reasonably be expected to conflict with, restrict or impair, the right of the Company or any Company Subsidiary to research, develop, manufacture, use, or commercialize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such violation that has not had and would not reasonably be expected to have, individually or in the aggregate, a Company Material Adverse Effect, (i) each of the Company and the Company Subsidiaries is, and since January 1, 2023 has been, in compliance with all Laws (including applicable Trade Control Laws and Anti-Corruption Laws) applicable to the Company or any of the Company Subsidiaries or by which any of their respective properties or businesses are bound, (ii) to the knowledge of the Company, neither the Company nor any of the Company Subsidiaries is under investigation by any Governmental Entity with respect to any violation of any such Law and (iii) since January 1, 2023 and as of the date hereof, neither the Company nor any of the Company Subsidiaries has been notified in writing, or, to the knowledge of the Company, orally, by any Governmental Entity of any violation by the Company or any of the Company Subsidiaries of any such Law.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Company Material Adverse Effect, as of the date hereof, (i) each of the Company and the Company Subsidiaries is, and since January 1, 2023 has been, in possession of all governmental franchises, licenses, permits, certificates of conformity, clearances, registrations, listings, consents, waivers, qualifications, product listings, permissions, authorizations and approvals of any Governmental Entity (including any applicable Health Authority) (“</w:t>
      </w:r>
      <w:r>
        <w:rPr>
          <w:rFonts w:ascii="Times New Roman" w:hAnsi="Times New Roman"/>
          <w:sz w:val="20"/>
          <w:u w:val="single"/>
        </w:rPr>
        <w:t>Permits</w:t>
      </w:r>
      <w:r>
        <w:rPr>
          <w:rFonts w:ascii="Times New Roman" w:hAnsi="Times New Roman"/>
          <w:sz w:val="20"/>
        </w:rPr>
        <w:t xml:space="preserve">”) necessary to enable it to own, operate and lease its properties and to carry on its business as now conducted, (ii) the Company and each of the Company Subsidiaries are in compliance with the terms of all material Permits, and no event has occurred that, to the knowledge of the Company, would reasonably be expected to result in the revocation, cancelation, suspension, non-renewal or adverse modification of any material Permit; and (iii) neither the Company nor any of the Company Subsidiaries has received any written notice from any Governmental Entity alleging any non -compliance with the terms of any such Permit nor received written notice of any pending or threatened enforcement, audit, or other action from any Governmental Entity alleging that any operation or activity of the Company or any Company Subsidiary is in violation of, or noncompliance with, any Law that applies to a Permit. Section 3.18(b) of the Company Disclosure Schedule sets forth a true and complete list of all such Permits issued to the Company or a Company Subsidiary that are material to the Company and the Company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has not had and would not reasonably be expected to have, individually or in the aggregate, a Company Material Adverse Effect, the Company and the Company Subsidiaries are, and since January 1, 2023, have been, in compliance in all material respects with all applicable Laws, in each case to the extent relating to or applicable to the procurement, research, development, manufacture, packaging, labeling, commercialization, distribution or marketing, sale, promotion, or import and export of any Company Product by the Company and the Company Subsidiaries, including (i) any applicable fraud and abuse Laws, including the federal Anti-Kickback Statute (42 U.S.C. § 1320a-7b(b)), the Anti-Inducement Law (42 U.S.C. § 1320a 7a(a)(5)), the civil False Claims Act (31 U.S.C. § 3729 et seq.), Sections 1320a 7 and 1320a 7a of Title 42 of the United States Code, the administrative False Claims Law (42 U.S.C. § 1320a 7b(a)) and the regulations promulgated pursuant to such statutes, (ii) Titles XVIII (42 U.S.C. § 1395 et seq.) and XIX (42 U.S.C. §1396 et seq.) of the Social Security Act and the regulations promulgated thereunder, (iii) the Medicare Prescription Drug, Improvement, and Modernization Act of 2003 (42 U.S.C. § 1395w 101 et seq.) and the regulations promulgated thereunder; (iv) the Federal Food, Drug and Cosmetic Act (“</w:t>
      </w:r>
      <w:r>
        <w:rPr>
          <w:rFonts w:ascii="Times New Roman" w:hAnsi="Times New Roman"/>
          <w:sz w:val="20"/>
          <w:u w:val="single"/>
        </w:rPr>
        <w:t>FDCA</w:t>
      </w:r>
      <w:r>
        <w:rPr>
          <w:rFonts w:ascii="Times New Roman" w:hAnsi="Times New Roman"/>
          <w:sz w:val="20"/>
        </w:rPr>
        <w:t>”) (21 U.S.C. § 301 et seq.) and Public Health Service Act (“</w:t>
      </w:r>
      <w:r>
        <w:rPr>
          <w:rFonts w:ascii="Times New Roman" w:hAnsi="Times New Roman"/>
          <w:sz w:val="20"/>
          <w:u w:val="single"/>
        </w:rPr>
        <w:t>PHS Act</w:t>
      </w:r>
      <w:r>
        <w:rPr>
          <w:rFonts w:ascii="Times New Roman" w:hAnsi="Times New Roman"/>
          <w:sz w:val="20"/>
        </w:rPr>
        <w:t>”) (42 U.S.C. § 201 et seq.) and all applicable regulations and guidance (only to the extent having the force and effect of applicable Law) promulgated by the FDA, including the regulations issued pursuant to the FDCA and PHS Act, (v) the Health Insurance Portability and Accountability Act of 1996, the Health Information and Technology for Economic and Clinical Health Act, and the regulations promulgated pursuant thereto (“</w:t>
      </w:r>
      <w:r>
        <w:rPr>
          <w:rFonts w:ascii="Times New Roman" w:hAnsi="Times New Roman"/>
          <w:sz w:val="20"/>
          <w:u w:val="single"/>
        </w:rPr>
        <w:t>HIPAA</w:t>
      </w:r>
      <w:r>
        <w:rPr>
          <w:rFonts w:ascii="Times New Roman" w:hAnsi="Times New Roman"/>
          <w:sz w:val="20"/>
        </w:rPr>
        <w:t>”), (vi) Laws governing the development, conduct, monitoring, patient informed consent, auditing, analysis, use and reporting of clinical trial data; (vii) Laws which are cause for exclusion from any federal health care program, (viii) Laws relating to the billing or submission of claims for health care products or services, (ix) the Physician Payments Sunshine Act (42 U.S.C. § 1320a-7h) and state or local Laws regulating or requiring reporting of interactions between pharmaceutical manufacturers and members of the healthcare industry and regulations promulgated thereunder; (x) the U.S. Department of Justice Data Security Program rules (28 CFR Part 202); (xi) any Radiation Safety Laws; and (xii) any similar applicable Law to (i)-(x) of any Governmental Entity in any country or region outside of the United States (including multi-country organizations), including but not limited to Directive 2001/83/EC, Regulation (EC) No 726/2004, Regulation (EU) No 536/2014, Commission Directive 2017/1572/EU, Commission Delegated Regulation (EU) 2017/1569, Commission Implementing Regulation (EU) 2017/556, Commission Implementing Regulation (EU) No 520/2012, Regulation (EU) 2017/745 and Regulation (EU) 2017/746, in each case as applicable to the Company’s business as currently conducted (the “</w:t>
      </w:r>
      <w:r>
        <w:rPr>
          <w:rFonts w:ascii="Times New Roman" w:hAnsi="Times New Roman"/>
          <w:sz w:val="20"/>
          <w:u w:val="single"/>
        </w:rPr>
        <w:t>Health Laws</w:t>
      </w:r>
      <w:r>
        <w:rPr>
          <w:rFonts w:ascii="Times New Roman" w:hAnsi="Times New Roman"/>
          <w:sz w:val="20"/>
        </w:rPr>
        <w:t xml:space="preserve">”). Since January 1, 2023, none of the Company or the Company Subsidiaries have received any written notice, order, complaint or other written communication from the FDA, a Nuclear Regulatory Authority, or any other Governmental Entity that the Company or the Company Subsidiaries acting on behalf of the Company or the Company Subsidiaries with respect to its or their research, development, manufacturing or commercialization activities, is not in material compliance with any Health Law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the Company and the Company Subsidiaries have obtained, and continue to maintain, all Regulatory Approvals necessary to conduct the business as it is currently conducted, and all such Regulatory Approvals have been duly and validly issued and are in full force and effect, and the Company and the Company Subsidiaries are, and since January 1, 2023 have been, in compliance with the terms and conditions of each such Regulatory Approval, (ii) the Company or the Company Subsidiary is the sole and exclusive owner, holder or permittee of the Regulatory Approvals and holds all right, title, and interest in and to all such material Regulatory Approvals, and (iii) neither the Company nor the Company Subsidiaries have granted any third party any right or license to use, access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any of the Regulatory Approvals, including any of the know-how contained in any of the Regulatory Approvals or rights (including any regulatory exclusivities) associated with each such Regulatory Approval. </w:t>
      </w:r>
      <w:r>
        <w:rPr>
          <w:rFonts w:ascii="Times New Roman" w:hAnsi="Times New Roman"/>
          <w:sz w:val="20"/>
          <w:u w:val="single"/>
        </w:rPr>
        <w:t>Section 3.19(b)</w:t>
      </w:r>
      <w:r>
        <w:rPr>
          <w:rFonts w:ascii="Times New Roman" w:hAnsi="Times New Roman"/>
          <w:sz w:val="20"/>
        </w:rPr>
        <w:t xml:space="preserve"> of the Company Disclosure Schedule sets forth a true and complete list of all such material Regulatory Approvals issued to the Company or a Company Subsidiary with respect to any currently approved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the Company, the Company Subsidiaries, nor, to the knowledge of the Company, any contract manufacturer involved in the manufacture of any Company Product, has received, with respect to the Company Products, any written notice, written request for corrective or remedial action, warning letter, untitled letter, notice of violation letter, or Form FDA-483, from any applicable Governmental Entity alleging any material noncompliance with any applicable Law, including applicable Health Laws, and neither the Company, the Company Subsidiaries, nor to the knowledge of the Company, any contract manufacturer or any other third party involved in the manufacture of any Company Product, is subject to any material enforcement action by any Governmental Entity related to the Company Products and no such enforcement or proceedings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all clinical and preclinical studies or tests sponsored or conducted by or, to the knowledge of the Company, conducted on behalf of the Company or the Company Subsidiaries with respect to any Company Product have been and are being conducted in compliance with applicable Health Laws and other applicable Laws, including, as applicable, those relating to Good Clinical Practices, Good Laboratory Practices, applicable research protocols and those relating to the protection of individually identifiable health information and the protection of personal data, including but not limited to Regulation (EU) 2016/679. Since January 1, 2023, neither the Company nor any of the Company Subsidiaries has received any written notice from any Governmental Entity or any institutional review board, ethics committee or safety monitoring committee with respect to any ongoing or previously ongoing preclinical or clinical studies requiring, requesting, or recommending the termination, delay, suspension, hold or material modification of any such study, or threatening by a written notice to initiate any action to place a clinical hold order on, or otherwise terminate, delay or suspend, any proposed or ongoing studies conducted by or on behalf of the Company or the Company Subsidiaries,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the Company and the Company Subsidiaries have made with the applicable regulatory authorities (including the Health Authorities and Nuclear Regulatory Authorities) all required filings, declarations, listings, registrations, reports, notices, and submissions, including but not limited to adverse event reports, medical device reports, field action reports, correction and removal reports, annual reports, and investigational product safety reports. All such filings, declarations, listings, registrations, reports, notices, and submissions were true, accurate and complete in all material respects and in compliance with all applicable Laws (including Health Laws) when filed (and, to the extent required to be updated, when updated), and no material deficiencies have been asserted in writing by any applicable Governmental Entity with respect to any such filings, declarations, listings, registrations, reports, notices, or submissions. Neither the Company nor any Company Subsidiaries has received any written notice from any Governmental Entity of any material noncompliance, whether actual, alleged, or potential, with any such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January 1, 2023, none of the Company, any Company Subsidiary, nor, to the knowledge of the Company, any of its or their respective directors, officers, managers or employees, and, to the knowledge of the Company, its or their clinical investigators, have, in connection with their duties relating to the Company or the Company Subsidiaries, (i) made any untrue statement of material fact to the FDA or any other applicable Health Authority; (ii) failed to disclose any material fact required to be disclosed to the FDA or any other applicable Health Authority; or (iii) committed any other act, made any statement, or failed to make any statement, that (in any such case) establishes a reasonable basis for the FDA to invoke its Fraud, Untrue Statements of Material Facts, Bribery, and Illegal Gratuities Final Policy (as set forth in 56 Fed. Reg. 46191 (Sept. 10, 1991)) or for any other applicable Health Authority to invoke any similar policy,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2023, none of the Company, any Company Subsidiary, nor, to the knowledge of the Company, any of its or their respective directors, officers, managers or employees, and, to the knowledge of the Company, its or their clinical investigators, is or has been the subject of any pending or, to the knowledge of the Company, threatened (in writing) material investigation by the FDA or any other applicable Health Authority pursuant to its Fraud, Untrue Statements of Material Facts, Bribery, and Illegal Gratuities Final Policy (as set forth in 56 Fed. Reg. 46191 (Sept. 10, 1991)) or by any other applicable Health Authority under any similar Law or policy, including but not limited to Directive 2001/83/EC, as implemented in the Member States of the European Union,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any Company Subsidiary, nor, to the knowledge of the Company, any of its or their respective directors, officers, managers, employees, or to the knowledge of the Company, clinical investigators acting on behalf of the Company or the Company Subsidiaries, has been debarred or excluded, or is subject to any pending or, to the knowledge of the Company, threatened in writing Legal Proceeding that would reasonably be expected to result in (i) debarment under 21 U.S.C. § 335a or exclusion under 42 U.S.C. § 1320a-7, or any equivalent foreign Law; (ii) a civil monetary penalty against it, him or her under 42 U.S.C. § 1320a 7a, or (iii) an investigation relating to any Federal Healthcare Program related offense except, in each case, as would not reasonably be expected to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2023, neither the Company nor any Company Subsidiary has (i) received any FDA Form-483, warning letter, untitled letter, or similar written notice from the FDA or other Health Authority alleging or asserting material noncompliance with any Health Laws or Permits, or (ii) initiated, conducted, or issued any written investigator notice relating to an alleged lack of safety or material regulatory noncompliance of any of the Company’s or Company Subsidiary’s products. </w:t>
      </w:r>
    </w:p>
    <w:p>
      <w:pPr>
        <w:pStyle w:val="TextBody"/>
        <w:bidi w:val="0"/>
        <w:spacing w:before="24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Company Material Adverse Effect, the compensation that the Company and the Company Subsidiaries have paid to licensed healthcare professionals (i) is for bona fide purposes, (ii) is for commercially reasonable services required by the Company or the Company Subsidiaries for its or their business or operations, and (iii) represents fair market value for the performance of such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Since January 1, 2023, the Company and the Company Subsidiaries have implemented and maintained a compliance program that is reasonably designed to meet in material respects the seven elements of an effective compliance program identified by the U.S. Department of Health and Human Services, Office of Inspector General, and ensure compliance in material respects with applicable Health Laws. There are no material outstanding compliance-related complaints or reports, ongoing compliance investigations, or compliance-related corrective actions with respect to each of the Company and the Company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As of the date hereof, there are no currently planned or pending recalls, other field actions, or discontinuation of a Company Product, and since January 1, 2023, no Company Product has been recalled, withdrawn, suspended, seized or discontinued (other than for commercial or other business reasons) by the Company, the Company Subsidiaries, or any Governmental Entity (whether voluntarily or otherwise), and no proceedings seeking the recall, withdrawal, suspension, seizure or discontinuation of any Company Product are pending or have been brought, against the Company, the Company Subsidiaries, or any of their respective contract manufacturers or licensees of any Company Product. There are no outstanding, and since January 1, 2023 have not been, any material safety, performance, or material quality issues, deviations, or corrective or preventive, or other remedial, actions relating to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(m) Since January 1, 2023, neither the Company nor any Company Subsidiary has been a party to any corporate integrity agreements, monitoring agreements, consent decrees, deferred prosecution agreements, settlement orders or similar agreements with or imposed by any Governmental Entity,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2023, the Company and each Company Subsidiary has operated its business in compliance in all material respects with all applicable Health Laws, clinical trial protocols, and contractual or other requirements that regulate or limit the maintenance, use, disclosure or transmission of medical records, clinical trial data, patient information, or other Personal Information made available to or collected by or on behalf of any of the Company or any Company Subsidiary in connection with the operation of the Company’s and the Company Subsidiaries’ businesses, including HIPAA, Article 94 of Regulation (EU) 2016/679, and all comparable requirements relating to any of the foregoing, as well as applicable similar requirements in any applicable regime.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Section 3.19(o)</w:t>
      </w:r>
      <w:r>
        <w:rPr>
          <w:rFonts w:ascii="Times New Roman" w:hAnsi="Times New Roman"/>
          <w:sz w:val="20"/>
        </w:rPr>
        <w:t xml:space="preserve"> of the Company Disclosure Schedule sets forth a true and complete list of all Nuclear Licenses issued to the Company or a Company Subsidiary. Except as may exist pursuant to the terms of the Nuclear Licenses identified on </w:t>
      </w:r>
      <w:r>
        <w:rPr>
          <w:rFonts w:ascii="Times New Roman" w:hAnsi="Times New Roman"/>
          <w:sz w:val="20"/>
          <w:u w:val="single"/>
        </w:rPr>
        <w:t>Section 3.19(o)</w:t>
      </w:r>
      <w:r>
        <w:rPr>
          <w:rFonts w:ascii="Times New Roman" w:hAnsi="Times New Roman"/>
          <w:sz w:val="20"/>
        </w:rPr>
        <w:t xml:space="preserve"> of the Company Disclosure Schedule and currently held by the Company or a Company Subsidiary, neither the Company nor any Company Subsidiary has any material liabilities arising under the Radiation Safety Laws. Neither the Company nor any Company Subsidiary retains any material decommissioning, decontamination, bonding, surety, payment, assurance or other obligations of any sort under the Radiation Safety Laws in connection with any businesses, property, premises, Leased Real Property or locations previously owned or operated by the Company or a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Anti-Corruption and 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2021, neither the Company, nor any of the Company Subsidiaries, nor any of their respective directors, officers, or employees, nor to the knowledge of the Company, any other Person acting on behalf of the Company or any of the Company Subsidiaries has taken or failed to take any action that would cause any of the foregoing to be in violation in any material respect of any provision of the Foreign Corrupt Practices Act of 1977, as amended, the UK Bribery Act 2010, or any other applicable anti-corruption, anti-bribery, or anti-money laundering Laws (collectively, “</w:t>
      </w:r>
      <w:r>
        <w:rPr>
          <w:rFonts w:ascii="Times New Roman" w:hAnsi="Times New Roman"/>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the Company Subsidiaries, nor any of their respective directors, officers, or employees, nor, to the knowledge of the Company, any other Person acting on behalf of the Company or any of the Company Subsidiaries is currently, or has been since April 24, 2019, (i) a Sanctioned Person; (ii) engaging in any dealings or transactions with, on behalf of, or for the benefit of any Sanctioned Person or in any Sanctioned Country, except as may be permitted or not otherwise prohibited by Sanctions; (iii) engaging in any export, reexport, transfer or provision of any goods, software, technology, data or service without, or exceeding the scope of, any required or applicable licenses or authorizations under all applicable Ex-Im Laws; or (iv) otherwise in violation in any material respect of Sanctions, Ex-Im Laws, or U.S. anti-boycott Laws (collectively, “</w:t>
      </w:r>
      <w:r>
        <w:rPr>
          <w:rFonts w:ascii="Times New Roman" w:hAnsi="Times New Roman"/>
          <w:sz w:val="20"/>
          <w:u w:val="single"/>
        </w:rPr>
        <w:t>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to the knowledge of the Company, neither the Company, nor any of the Company Subsidiaries, nor any of their respective directors, officers, or employees, nor any other Person acting on behalf of the Company or any of the Company Subsidiaries, has been the subject of any internal or external allegations, investigations, audit, litigation, or voluntary or directed disclosures, in each case by or to any Governmental Entity, related to a violation of Anti-Corruption Laws or Trade Control Laws, in each case that is material to the Company and the Company Subsidiaries, taken as a whole. There are no pending or, to the knowledge of the Company, threatened in writing claims against the Company or any of the Company Subsidiaries with respect to Anti-Corruption Laws or Trade Control Laws,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a “TID U.S. Business” within the meaning of Section 721 of the U.S. Defense Production Act of 1950 and its implementing regulations, as defined in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Privacy and Information Security</w:t>
      </w:r>
      <w:r>
        <w:rPr>
          <w:rFonts w:ascii="Times New Roman" w:hAnsi="Times New Roman"/>
          <w:sz w:val="20"/>
        </w:rPr>
        <w:t xml:space="preserve">. Except as has not had and would not reasonably be expected to have, individually or in the aggregate, a Company Material Adverse Effect, as of the date hereof, (i) the Company, the Company Subsidiaries and, to the knowledge of the Company, its third party service providers have been since January 1, 2023 and remain in compliance with all Privacy and Information Security Requirements, (ii) since January 1, 2023, the Company and the Company Subsidiaries have implemented and maintain policies and procedures that comply with the Privacy and Information Security Requirements and (iii) since January 1, 2023, there have not been any Security Incidents identified by the Company that have affected the IT systems of the Company or the Company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Proxy Statement</w:t>
      </w:r>
      <w:r>
        <w:rPr>
          <w:rFonts w:ascii="Times New Roman" w:hAnsi="Times New Roman"/>
          <w:sz w:val="20"/>
        </w:rPr>
        <w:t xml:space="preserve">. The Proxy Statement when filed with the SEC, at the time of any amendment of or supplement thereto, at the time it is first disseminated to the holders of Shares and at the time of the Company Stockholders Meeting, will comply as to form in all material respects with the applicable requirements of the Exchange Act and the rules and regulations promulgated thereunder. The information supplied or to be supplied by the Company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the Company with respect to statements made therein based on information supplied by Parent or Merger Sub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Opinion of Financial Advisor</w:t>
      </w:r>
      <w:r>
        <w:rPr>
          <w:rFonts w:ascii="Times New Roman" w:hAnsi="Times New Roman"/>
          <w:sz w:val="20"/>
        </w:rPr>
        <w:t>. Morgan Stanley &amp; Co. LLC (“</w:t>
      </w:r>
      <w:r>
        <w:rPr>
          <w:rFonts w:ascii="Times New Roman" w:hAnsi="Times New Roman"/>
          <w:sz w:val="20"/>
          <w:u w:val="single"/>
        </w:rPr>
        <w:t>Morgan Stanley</w:t>
      </w:r>
      <w:r>
        <w:rPr>
          <w:rFonts w:ascii="Times New Roman" w:hAnsi="Times New Roman"/>
          <w:sz w:val="20"/>
        </w:rPr>
        <w:t xml:space="preserve">”) has delivered to the Company Board of Directors its written opinion, dated on or about the date hereof, to the effect that, as of such date, the Merger Consideration to be received by the holders of Shares pursuant to the Merger is fair, from a financial point of view, to the holders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Insurance</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maintain policies of insurance covering the Company, the Company Subsidiaries and their respective employees, properties and assets in such amounts and with respect to such risks and losses which the Company believes is adequate for the operation of its business. The Company has made available to Parent true, correct and complete copies of all material insurance policies relating to the business, assets and operations of the Company and the Company Subsidiaries. Except as has not had and would not reasonably be expected to have, individually or in the aggregate, a Company Material Adverse Effect, as of the date hereof, (i) all such insurance policies are in full force and effect, with all premiums due having been paid in full, (ii) neither the Company nor any Company Subsidiary is in default under any such insurance policy, (iii) no written notice of cancelation or termination has been received by the Company or any Company Subsidiary under such policies, (iv) there is no material claim pending under any insurance policy of the Company or any Company Subsidiary that has been denied, rejected, questioned or disputed by any insurer or as to which any insurer has made any reservation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3.25 </w:t>
      </w:r>
      <w:r>
        <w:rPr>
          <w:rFonts w:ascii="Times New Roman" w:hAnsi="Times New Roman"/>
          <w:sz w:val="20"/>
          <w:u w:val="single"/>
        </w:rPr>
        <w:t>Related Party Transactions</w:t>
      </w:r>
      <w:r>
        <w:rPr>
          <w:rFonts w:ascii="Times New Roman" w:hAnsi="Times New Roman"/>
          <w:sz w:val="20"/>
        </w:rPr>
        <w:t xml:space="preserve">. As of the date hereof, no executive officer or director of the Company or of any of the Company Subsidiaries and no Person that to the knowledge of the Company owns five percent (5%) or more of the Shares is a party to any Contract with or binding upon the Company or the Company Subsidiaries or any of their respective properties or assets or has any interest in any property owned by the Company or has engaged in any transaction with any of the foregoing since January 1, 2023, nor are there any currently proposed transactions, or series of related transactions, agreements, arrangements or undertakings, in each case, that is of a type that would be required to be disclosed under Item 404 of Regulation S-K under the Securities Act and that is not disclosed in the Company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3.26 </w:t>
      </w:r>
      <w:r>
        <w:rPr>
          <w:rFonts w:ascii="Times New Roman" w:hAnsi="Times New Roman"/>
          <w:sz w:val="20"/>
          <w:u w:val="single"/>
        </w:rPr>
        <w:t>Brokers; Expenses</w:t>
      </w:r>
      <w:r>
        <w:rPr>
          <w:rFonts w:ascii="Times New Roman" w:hAnsi="Times New Roman"/>
          <w:sz w:val="20"/>
        </w:rPr>
        <w:t xml:space="preserve">. No broker, finder or investment banker is entitled to any brokerage, finder or other fee or commission in connection with the Transactions based upon arrangements made by and on behalf of the Company or the Company Subsidiaries, other than Morgan Stanley, Bank of America Merrill Lynch and Solomon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3.27 </w:t>
      </w:r>
      <w:r>
        <w:rPr>
          <w:rFonts w:ascii="Times New Roman" w:hAnsi="Times New Roman"/>
          <w:sz w:val="20"/>
          <w:u w:val="single"/>
        </w:rPr>
        <w:t>Takeover Statutes</w:t>
      </w:r>
      <w:r>
        <w:rPr>
          <w:rFonts w:ascii="Times New Roman" w:hAnsi="Times New Roman"/>
          <w:sz w:val="20"/>
        </w:rPr>
        <w:t xml:space="preserve">. As of the date of this Agreement, assuming the accuracy of the representation and warranty contained in </w:t>
      </w:r>
      <w:r>
        <w:rPr>
          <w:rFonts w:ascii="Times New Roman" w:hAnsi="Times New Roman"/>
          <w:sz w:val="20"/>
          <w:u w:val="single"/>
        </w:rPr>
        <w:t>Section 4.6</w:t>
      </w:r>
      <w:r>
        <w:rPr>
          <w:rFonts w:ascii="Times New Roman" w:hAnsi="Times New Roman"/>
          <w:sz w:val="20"/>
        </w:rPr>
        <w:t xml:space="preserve">, the Company Board of Directors has taken all action necessary to ensure neither Section 203 of the DGCL nor similar provisions of any other “control share acquisition,” “fair price,” “moratorium” or other antitakeover or similar Laws will apply to the execution, delivery or performance of this Agreement, and accordingly no restriction on business combinations set forth in any such Laws applies or will apply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3.28 </w:t>
      </w:r>
      <w:r>
        <w:rPr>
          <w:rFonts w:ascii="Times New Roman" w:hAnsi="Times New Roman"/>
          <w:sz w:val="20"/>
          <w:u w:val="single"/>
        </w:rPr>
        <w:t>Government Contracts and Government Bids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3.28(a)</w:t>
      </w:r>
      <w:r>
        <w:rPr>
          <w:rFonts w:ascii="Times New Roman" w:hAnsi="Times New Roman"/>
          <w:sz w:val="20"/>
        </w:rPr>
        <w:t xml:space="preserve"> of the Company Disclosure Schedule sets forth a correct and complete list, as of the date hereof, of each (i) Government Contract awarded to the Company or any Company Subsidiary during the three (3)-year period preceding the date of this Agreement that was awarded on the basis of the small business status or other preferred status of the Company or any Company Subsidiary, and (ii) pending bid or proposal that, if accepted, would result in a Government Contract awarded on the basis of the small business status or other preferred status of the Company or any Company Subsidiary. As of the date of this Agreement, neither the Company nor any Company Subsidiary is performing any material Government Contract that requires a facility security clearance or personnel security clearances for any employees of the Company or a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during the three (3)-year period preceding the date of this Agreement, each certification, representation and statement of compliance made or submitted by the Company or any Company Subsidiary with respect to any Government Contract was accurate, current and complete as of its effective date, and as of the date of this Agreement the Company and the Company Subsidiaries are in compliance with all such certifications and representations; (ii) during the three (3)-year period preceding the date of this Agreement, neither the Company nor any Company Subsidiary or Affiliate has been suspended, debarred or declared ineligible to participate in or do business with any Governmental Entity, and, to the knowledge of the Company, no facts or circumstances exist that would reasonably be expected to give rise to any such suspension, debarment or ineligibility; (iii) neither the Company nor any Company Subsidiary has made any voluntary or mandatory disclosure to any Governmental Entity or any higher-tier contractor with respect to any Government Contract; (iv) there are no outstanding claims or disputes between the Company or any Company Subsidiary, on the one hand, and any Governmental Entity or any higher-tier contractor, on the other hand, relating to any Government Contract; and (v) during the three (3)-year period preceding the date hereof, neither the Company nor any Company Subsidiary has received any written notice of termination for default, cure notice or show cause notice with respect to any Government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during the three (3)-year period preceding the date of this Agreement, neither the Company nor any Company Subsidiary or Affiliate has been subject to any administrative, civil or criminal investigation or indictment involving any false statement, false claim, bribery, misconduct, or alleged violation of any requirement of a contract or applicable Law, in each case pertaining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to the knowledge of the Company, there is no credible evidence of any (i) fraud or conflict of interests, (ii) violation of the bribery or gratuity provisions of Title 18 of the United States Code, (iii) violation of the civil False Claims Act (13 USC § 3729 et seq.), or (iv) significant overpayment, in each case arising under or relating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3.29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neither the Company nor any of the Company Subsidiaries nor any other Person makes or has made any representation or warranty of any kind whatsoever, express or implied, at law or in equity, with respect to the Company or any of the Company Subsidiaries or their respective business, operations, assets, liabilities, condition, notwithstanding the delivery or disclosure to Parent and Merger Sub or any of their Affiliates or Representatives of any documentation, forecasts or other information with respect to any one or more of the foregoing. Without limiting the generality of the foregoing, neither the Company nor any of the Company Subsidiaries nor any other Person makes or has made any express or implied representation or warranty to Parent, Merger Sub, their respective Affiliates or the Representatives of the foregoing Persons with respect to (a) any projections, forecasts, estimates, budgets or prospect information of future revenues, future production, future results of operations (or any component thereof), future cash flows or future financial condition (or any component thereof) of the Company and the Company Subsidiaries or the future business and operations of the Company, any of the Company Subsidiaries or their respective businesses or (b)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any oral or written information provided or made available to Parent, Merger Sub, their respective Affiliates or the Representatives of the foregoing Persons in the course of their due diligence investigation of the Company, the discussion, negotiation or implementation of this Agreement or the course of the Transactions (including in certain “data rooms,” “virtual data rooms,” management presentations or in any other form in expectation of, or in connection with, the Merger or the other Transactions).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represent and warrant to the Company, jointly and severally,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and Qualification</w:t>
      </w:r>
      <w:r>
        <w:rPr>
          <w:rFonts w:ascii="Times New Roman" w:hAnsi="Times New Roman"/>
          <w:sz w:val="20"/>
        </w:rPr>
        <w:t xml:space="preserve">. Parent is a limited liability company duly incorporated and validly existing under the Laws of Delaware, and Merger Sub is a corporation duly incorporated, validly existing and in good standing under the Laws of the State of Delaware. Each of Parent and Merger Sub is in good standing (to the extent that such concept is recognized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relevant jurisdiction) under the Laws of its respective jurisdiction of organization, and has the requisite corporate or similar power and authority necessary to conduct its business as now being conducted. Each of Parent and Merger Sub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Parent Material Adverse Effect. Parent owns beneficially and of record all of the outstanding capital stock of Merger Sub, free and clear of all Liens.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Authorization; Validity of Agreement; Necessary Action</w:t>
      </w:r>
      <w:r>
        <w:rPr>
          <w:rFonts w:ascii="Times New Roman" w:hAnsi="Times New Roman"/>
          <w:sz w:val="20"/>
        </w:rPr>
        <w:t xml:space="preserve">. Each of Parent and Merger Sub has all necessary corporate power and authority to execute and deliver this Agreement, to perform its obligations hereunder and to consummate the Transactions. The execution, delivery and performance by Parent and Merger Sub of this Agreement and the consummation by each of them of the Transactions have been duly and validly authorized by all necessary corporate action on the part of Parent and Merger Sub, and no other corporate action on the part of Parent or Merger Sub, pursuant to the DGCL or otherwise, is necessary to authorize the execution and delivery by Parent and Merger Sub of this Agreement and the consummation by them of the Transactions, subject to the adoption of this Agreement by Parent as the sole stockholder of Merger Sub pursuant to </w:t>
      </w:r>
      <w:r>
        <w:rPr>
          <w:rFonts w:ascii="Times New Roman" w:hAnsi="Times New Roman"/>
          <w:sz w:val="20"/>
          <w:u w:val="single"/>
        </w:rPr>
        <w:t>Section 6.10(a)</w:t>
      </w:r>
      <w:r>
        <w:rPr>
          <w:rFonts w:ascii="Times New Roman" w:hAnsi="Times New Roman"/>
          <w:sz w:val="20"/>
        </w:rPr>
        <w:t xml:space="preserve"> and the filing of the Certificate of Merger as required by the DGCL. This Agreement has been duly executed and delivered by Parent and Merger Sub and, assuming due and valid authorization, execution and delivery hereof by the Company, is the valid and binding obligation of each of Parent and Merger Sub enforceable against each of them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Parent and Merger Sub and the consummation by Parent and Merger Sub of the Transactions does not and will not, (i) conflict with or violate the respective certificates of incorporation and bylaws (or similar governing documents) of Parent or Merger Sub, (ii) assuming that all consents, approvals, authorizations, expirations or terminations of waiting periods, permits, actions, filings and notifications contemplated by </w:t>
      </w:r>
      <w:r>
        <w:rPr>
          <w:rFonts w:ascii="Times New Roman" w:hAnsi="Times New Roman"/>
          <w:sz w:val="20"/>
          <w:u w:val="single"/>
        </w:rPr>
        <w:t>Section 4.3(b)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Parent, Merger Sub or any of their respective Subsidiaries is a party or by which Parent, Merger Sub or any of their respective Subsidiaries or any of their respective properties are bound or (B) result in the creation of any Lien (other than Permitted Liens) on any of the properties or assets of Parent, Merger Sub or any of their respective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by Parent and Merger Sub and the consummation by Parent and Merger Sub of the Transactions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HSR Act, any other Antitrust Laws or the FDI Laws, (iii) applicable requirements of the DGCL and (iv)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Parent, threatened in writing against Parent or Merger Sub or their respective Subsidiaries or any of its or their respective properties, or, to the knowledge of Parent, any of their respective executive officers or directors in his or her capacity as such, other than any such Legal Proceeding that has not had and would not reasonably be expected to have, individually or in the aggregate, a Parent Material Adverse Effect. As of the date hereof, none of Parent, Merger Sub or their respective Subsidiaries or any of their respective properties is subject to any outstanding judgment, order, writ, injunction, award or decree, except as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Information in the Proxy Statement</w:t>
      </w:r>
      <w:r>
        <w:rPr>
          <w:rFonts w:ascii="Times New Roman" w:hAnsi="Times New Roman"/>
          <w:sz w:val="20"/>
        </w:rPr>
        <w:t xml:space="preserve">. The information supplied or to be supplied by Parent and Merger Sub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Parent or Merger Sub with respect to statements made therein based on information supplied by the Company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Ownership of Company Capital Stock</w:t>
      </w:r>
      <w:r>
        <w:rPr>
          <w:rFonts w:ascii="Times New Roman" w:hAnsi="Times New Roman"/>
          <w:sz w:val="20"/>
        </w:rPr>
        <w:t xml:space="preserve">. Neither Parent nor Merger Sub, nor any of their respective Affiliates, is, nor at any time for the past three (3) years has been, an “interested stockholder” of the Company as defined in Section 203 of the DGCL. Neither Parent nor any of Parent’s Subsidiaries or any of their respective Affiliates directly or indirectly owns, and at all times for the past three (3) years, neither Parent nor any of Parent’s Subsidiaries or any of their respective Affiliates has owned, beneficially or otherwise, any Shares or any securities, Contracts or obligations convertible into or exercisable or exchangeable for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Parent or, in the case of the Debt Commitment Letters, its Affiliates (as applicable) has received and accepted, and delivered to the Company a correct and complete copy of (i) a fully executed equity commitment letter (including all exhibits, schedules and annexes thereto, collectively, the “</w:t>
      </w:r>
      <w:r>
        <w:rPr>
          <w:rFonts w:ascii="Times New Roman" w:hAnsi="Times New Roman"/>
          <w:sz w:val="20"/>
          <w:u w:val="single"/>
        </w:rPr>
        <w:t>Equity Commitment Letter</w:t>
      </w:r>
      <w:r>
        <w:rPr>
          <w:rFonts w:ascii="Times New Roman" w:hAnsi="Times New Roman"/>
          <w:sz w:val="20"/>
        </w:rPr>
        <w:t>”) from each of the parties thereto (collectively, the “</w:t>
      </w:r>
      <w:r>
        <w:rPr>
          <w:rFonts w:ascii="Times New Roman" w:hAnsi="Times New Roman"/>
          <w:sz w:val="20"/>
          <w:u w:val="single"/>
        </w:rPr>
        <w:t>Equity Investors</w:t>
      </w:r>
      <w:r>
        <w:rPr>
          <w:rFonts w:ascii="Times New Roman" w:hAnsi="Times New Roman"/>
          <w:sz w:val="20"/>
        </w:rPr>
        <w:t>”) confirming the Equity Investors’ commitments to provide Parent with cash equity financing in the aggregate amount set forth therein for the purpose of funding a portion of the Required Amount (the “</w:t>
      </w:r>
      <w:r>
        <w:rPr>
          <w:rFonts w:ascii="Times New Roman" w:hAnsi="Times New Roman"/>
          <w:sz w:val="20"/>
          <w:u w:val="single"/>
        </w:rPr>
        <w:t>Equity Financing</w:t>
      </w:r>
      <w:r>
        <w:rPr>
          <w:rFonts w:ascii="Times New Roman" w:hAnsi="Times New Roman"/>
          <w:sz w:val="20"/>
        </w:rPr>
        <w:t xml:space="preserve">”) and (ii) one or more fully executed commitment letters (including all exhibits, schedules and annexes thereto, and the executed fee letters, closing payment letters and/or syndication strategy letters associated therewith, in each case, redacted in a manner as described in </w:t>
      </w:r>
      <w:r>
        <w:rPr>
          <w:rFonts w:ascii="Times New Roman" w:hAnsi="Times New Roman"/>
          <w:sz w:val="20"/>
          <w:u w:val="single"/>
        </w:rPr>
        <w:t>Section 4.7(c)</w:t>
      </w:r>
      <w:r>
        <w:rPr>
          <w:rFonts w:ascii="Times New Roman" w:hAnsi="Times New Roman"/>
          <w:sz w:val="20"/>
        </w:rPr>
        <w:t>, collectively, the “</w:t>
      </w:r>
      <w:r>
        <w:rPr>
          <w:rFonts w:ascii="Times New Roman" w:hAnsi="Times New Roman"/>
          <w:sz w:val="20"/>
          <w:u w:val="single"/>
        </w:rPr>
        <w:t>Debt Commitment Letters</w:t>
      </w:r>
      <w:r>
        <w:rPr>
          <w:rFonts w:ascii="Times New Roman" w:hAnsi="Times New Roman"/>
          <w:sz w:val="20"/>
        </w:rPr>
        <w:t>”; together with the Equity Commitment Letter, collectively, the “</w:t>
      </w:r>
      <w:r>
        <w:rPr>
          <w:rFonts w:ascii="Times New Roman" w:hAnsi="Times New Roman"/>
          <w:sz w:val="20"/>
          <w:u w:val="single"/>
        </w:rPr>
        <w:t>Commitment Letters</w:t>
      </w:r>
      <w:r>
        <w:rPr>
          <w:rFonts w:ascii="Times New Roman" w:hAnsi="Times New Roman"/>
          <w:sz w:val="20"/>
        </w:rPr>
        <w:t>”) confirming the Debt Financing Sources’ commitment to lend the aggregate amount set forth therein for the purpose of funding a portion of the Required Amount (the “</w:t>
      </w:r>
      <w:r>
        <w:rPr>
          <w:rFonts w:ascii="Times New Roman" w:hAnsi="Times New Roman"/>
          <w:sz w:val="20"/>
          <w:u w:val="single"/>
        </w:rPr>
        <w:t>Debt Financing</w:t>
      </w:r>
      <w:r>
        <w:rPr>
          <w:rFonts w:ascii="Times New Roman" w:hAnsi="Times New Roman"/>
          <w:sz w:val="20"/>
        </w:rPr>
        <w:t>”; together with the Equity Financing, collectively, the “</w:t>
      </w:r>
      <w:r>
        <w:rPr>
          <w:rFonts w:ascii="Times New Roman" w:hAnsi="Times New Roman"/>
          <w:sz w:val="20"/>
          <w:u w:val="single"/>
        </w:rPr>
        <w:t>Financing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date of this Agreement, assuming that the Financing contemplated by the Commitment Letters is fully funded on the terms set forth therein and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or are within the control of Parent or its Affiliates (as the case may be), but subject to the satisfaction or, to the extent permitted by Law, waiver of such conditions at the Closing), Parent and Merger Sub will, at the Closing, together with the available cash on hand of the Company, have funds sufficient to (i) satisfy all of their obligations to pay (A)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of this Agreement (including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2.4(c)(i)</w:t>
      </w:r>
      <w:r>
        <w:rPr>
          <w:rFonts w:ascii="Times New Roman" w:hAnsi="Times New Roman"/>
          <w:sz w:val="20"/>
        </w:rPr>
        <w:t xml:space="preserve"> but for avoidance of doubt excluding payment under the CVRs) and the Commitment Letters, (B) any indebtedness contemplated or required to be paid, redeemed or otherwise satisfied in connection with the Transactions, and (C) all related fees, expenses, liabilities and any other amounts,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required to be paid by Parent, Merger Sub and their respective Affiliates on or about the Closing Date in connection with the consummation of the Transactions and (ii) make all payments in connection with the conversion and settlement of the Company Convertible Notes (including any make-whole adjustment to the conversion rate with respect thereto and assuming maximum cash election in settlement amount under the Indenture, if applicable) pursuant to the terms of the Indenture as a result of the Transactions (such required funds,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each of the Commitment Letters is in full force and effect and is a legal, valid and binding obligation of Parent, Merger Sub and/or its Affiliates (as applicable) and the other parties thereto, enforceable in accordance with its terms, subject to the Enforceability Exceptions. The Equity Commitment Letter expressly provides that the Company is a third-party beneficiary of the Equity Commitment Letter and is entitled to enforce such agreement, and that neither Parent nor the Equity Investors will oppose the granting of an injunction, specific performance or other equitable relief on the basis that there is adequate remedy at law in connection with the exercise of such third party beneficiary rights. As of the date of this Agreement, Parent or Merger Sub has fully paid, or caused to be paid, any and all commitment or other fees in connection with the Commitment Letters that are payable on or prior to the date of this Agreement. As of the date of this Agreement, none of the Commitment Letters has been amended or modified in any respect, and no such amendment or modification is contemplated and the respective commitments contained therein have not been withdrawn, reduced, rescinded or otherwise modified in any respect. As of the date of this Agreement, no event has occurred which, with or without notice, lapse of time or both, would reasonably be expected to (i) constitute a default or breach on the part of Parent or Merger Sub or any other party thereto under any Commitment Letter, (ii) constitute a failure to satisfy a condition precedent as a result of actions taken or expected to be taken by Parent or Merger Sub or any other party thereto under the Commitment Letters or (iii) result in any portion of the Financing to be provided, funded or invested in accordance with the Commitment Letters being unavailable on the Closing Date as a result of actions taken or expected to be taken by Parent or Merger Sub or any other party thereto under the Commitment Letters. As of the date of this Agreement, there are no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funding of the full amount of the Financing other than the conditions precedent expressly set forth in the Commitment Letters delivered to the Company on or prior to the date hereof. As of the date of this Agreement, Parent has no reason to believe, and is not aware of the existence of any fact or event that would or would reasonably be expected to cause, that any term or condition of the consummation of the Financing that is required to be satisfied will not be satisfied, or that the Financing will not be made available to Parent and/or its Affiliates (as applicable) on the Closing Date. Except for the fee letters, closing payment letters and/or syndication strategy letters (a correct and complete copy of which has been provided to the Company prior to the date hereof, redacted solely with respect to fee amounts and other “market flex,” economic provisions and commercially sensitive information that are, in each case, customarily redacted in connection with transactions of this type) with respect to the Debt Financing, there are no side letters, Contracts or other arrangements or understandings to which Parent, Merger Sub or any of their Affiliates (as applicable) is a party related to the funding or investing, as applicable, which could adversely affect the Parent’s ability to fund the Required Amount at Closing or could adversely affect the conditionality, amount, availability, enforceability or termination of the Financing other than as expressly set forth in the Commitment Letters or such letters. </w:t>
      </w:r>
    </w:p>
    <w:p>
      <w:pPr>
        <w:pStyle w:val="TextBody"/>
        <w:bidi w:val="0"/>
        <w:spacing w:before="240" w:after="0"/>
        <w:jc w:val="left"/>
        <w:rPr>
          <w:rFonts w:ascii="Times New Roman" w:hAnsi="Times New Roman"/>
          <w:sz w:val="20"/>
        </w:rPr>
      </w:pPr>
      <w:r>
        <w:rPr>
          <w:rFonts w:ascii="Times New Roman" w:hAnsi="Times New Roman"/>
          <w:sz w:val="20"/>
        </w:rPr>
        <w:t>(d) Concurrently with the execution of this Agreement, Parent has delivered to the Company the duly executed guarantee of each Guarantor in favor of the Company in respect of Parent obligations to pay the Parent Termination Fee pursuant to this Agreement (the “</w:t>
      </w:r>
      <w:r>
        <w:rPr>
          <w:rFonts w:ascii="Times New Roman" w:hAnsi="Times New Roman"/>
          <w:sz w:val="20"/>
          <w:u w:val="single"/>
        </w:rPr>
        <w:t>Guarantee</w:t>
      </w:r>
      <w:r>
        <w:rPr>
          <w:rFonts w:ascii="Times New Roman" w:hAnsi="Times New Roman"/>
          <w:sz w:val="20"/>
        </w:rPr>
        <w:t xml:space="preserve">”). The Guarantee is in full force and effect (assuming the due authorization, execution and delivery thereof by the Company) and constitutes the legal, valid and binding obligation of each Guarantor, enforceable in accordance with its terms, subject to the Enforceability Exceptions. As of the date hereof, no event has occurred which, with or without notice, lapse of time or both, would reasonably be expected to result in a breach of, or a default under, the Guarantee on the part of any Guarantor. The Guarantee has not been amended or modified in any respect, no such amendment or modification is contemplated and the respective commitments contained therein have not been withdrawn, reduced, rescinded or otherwise modified in any respect. Each Guarantor has, and at all times will have, access to sufficient capital to satisfy in full the full amount of the guaranteed obligations under the Guarantee. Parent has no knowledge that any Guarantor will not perform their obligations under the Guarantee.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none of Parent, Merger Sub, Equity Investors or any of their respective Affiliates are party 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or any of the Company Subsidiaries or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Ownership and Operations of Merger Sub</w:t>
      </w:r>
      <w:r>
        <w:rPr>
          <w:rFonts w:ascii="Times New Roman" w:hAnsi="Times New Roman"/>
          <w:sz w:val="20"/>
        </w:rPr>
        <w:t xml:space="preserve">. The authorized capital stock of Merger Sub consists solely of 100 shares of Merger Sub Common Stock, all of which are validly issued and outstanding, fully paid and nonassessable. Parent owns beneficially and of record all of the outstanding capital stock of Merger Sub, free and clear of all Liens. Merger Sub was formed solely for the purpose of engaging in the Transactions, has engaged in no other business activities, has conducted its operations only as contemplated hereby, and has not incurred any liabilities or other obligations, other than as contemplated by and pursuant to the Equity Commitment Letter, the Guarantee, the Debt Commitment Letters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Vote/Approval Required</w:t>
      </w:r>
      <w:r>
        <w:rPr>
          <w:rFonts w:ascii="Times New Roman" w:hAnsi="Times New Roman"/>
          <w:sz w:val="20"/>
        </w:rPr>
        <w:t xml:space="preserve">. No vote or consent of the holders of any class or series of capital stock of Parent is necessary to approve the Transactions, including the Merger. The vote or consent of Parent as the sole stockholder of Merger Sub (which will be obtained immediately following the execution and delivery of this Agreement pursuant to </w:t>
      </w:r>
      <w:r>
        <w:rPr>
          <w:rFonts w:ascii="Times New Roman" w:hAnsi="Times New Roman"/>
          <w:sz w:val="20"/>
          <w:u w:val="single"/>
        </w:rPr>
        <w:t>Section 6.10(a)</w:t>
      </w:r>
      <w:r>
        <w:rPr>
          <w:rFonts w:ascii="Times New Roman" w:hAnsi="Times New Roman"/>
          <w:sz w:val="20"/>
        </w:rPr>
        <w:t xml:space="preserve">) is the only vote or consent of the holders of any class or series of capital stock of Merger Sub necessary to approve and adopt this Agreement and the Transactions,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Brokers; Expenses</w:t>
      </w:r>
      <w:r>
        <w:rPr>
          <w:rFonts w:ascii="Times New Roman" w:hAnsi="Times New Roman"/>
          <w:sz w:val="20"/>
        </w:rPr>
        <w:t xml:space="preserve">. Except for Jefferies Group LLC, no broker, finder or investment banker is entitled to any brokerage, finder or other fee or commission in connection with the Transactions based upon arrangements made by and on behalf of Parent, Merger Sub, any of their respective Affiliates or any of their respective officers, directors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No Agreements with Stockholders or Management</w:t>
      </w:r>
      <w:r>
        <w:rPr>
          <w:rFonts w:ascii="Times New Roman" w:hAnsi="Times New Roman"/>
          <w:sz w:val="20"/>
        </w:rPr>
        <w:t xml:space="preserve">. None of Parent, Merger Sub, the Equity Investors or any of their respective Affiliates is a party to any Contract, or has authorized, made or entered into, or committed or agreed to enter into, any formal or informal arrangements, commitments or other understandings (whether or not binding) with any stockholder, director, officer, employee or other Affiliate of the Company or any of the Company Subsidiaries (a) relating to (i) this Agreement or the Transactions, (ii) the Company or (iii) the Surviving Corporation or any of its Subsidiaries, or their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(including through any “roll-over” of existing equity in connection with the Transactions), (ii) any holder of Shares has agreed to approve this Agreement or vote against any Superior Proposal or (iii) any stockholder, director, officer, employee or other Affiliate of the Company has agreed to provide, directly or indirectly, equity investment to Parent, Merger Sub or the Company to finance any portion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Solvency</w:t>
      </w:r>
      <w:r>
        <w:rPr>
          <w:rFonts w:ascii="Times New Roman" w:hAnsi="Times New Roman"/>
          <w:sz w:val="20"/>
        </w:rPr>
        <w:t xml:space="preserve">. Assuming (a)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immediately prior to the Effective Time, and (b) the representations and warranties in </w:t>
      </w:r>
      <w:r>
        <w:rPr>
          <w:rFonts w:ascii="Times New Roman" w:hAnsi="Times New Roman"/>
          <w:sz w:val="20"/>
          <w:u w:val="single"/>
        </w:rPr>
        <w:t>Article III</w:t>
      </w:r>
      <w:r>
        <w:rPr>
          <w:rFonts w:ascii="Times New Roman" w:hAnsi="Times New Roman"/>
          <w:sz w:val="20"/>
        </w:rPr>
        <w:t xml:space="preserve"> are true and correct in all material respects (without giving effect to any “knowledge,” “materiality” or “Company Material Adverse Effect” qualification or exception), Parent will be Solvent as of and immediately after the Closing after giving effect to the Transactions, including the Financing, payment of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and of all other amounts required to be paid in connection with the consummation of the Transactions, including payment of all related fees and expenses (including any repayment or refinancing of indebtedness of the Company required in connection therewith, if applicable), and all payments required in connection with the conversion, settlement, redemption or repurchase of the Company Convertible Notes (including any make-whole adjustment to the conversion rate with respect thereto and assuming maximum cash election in settlement amount under the Indenture, if applicable) pursuant to the terms of the Indenture as a result of the Transactions. The term “</w:t>
      </w:r>
      <w:r>
        <w:rPr>
          <w:rFonts w:ascii="Times New Roman" w:hAnsi="Times New Roman"/>
          <w:sz w:val="20"/>
          <w:u w:val="single"/>
        </w:rPr>
        <w:t>Solvent</w:t>
      </w:r>
      <w:r>
        <w:rPr>
          <w:rFonts w:ascii="Times New Roman" w:hAnsi="Times New Roman"/>
          <w:sz w:val="20"/>
        </w:rPr>
        <w:t xml:space="preserve">” shall mean, with respect to a particular date, that on such date, (a) the amount of the “fair saleable value” of the assets of Parent, and after the Closing, Parent and Surviving Corporation and its Subsidiaries (on a consolidated basis) will exceed (i) the value of all liabilities of Parent, and after the Closing, Parent and the Surviving Corporation and such Subsidiaries (on a consolidated basis), including contingent and other liabilities and (ii) the amount that will be required to pay the probable liabilities of Parent, and after the Closing, Parent and the Surviving Corporation and its Subsidiaries (on a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on their existing debts (including contingent liabilities) as such debts become absolute and matured, (b) Parent, and after the Closing, Parent and the Surviving Corporation and its Subsidiaries (on a consolidated basis) will not have an unreasonably small amount of capital for the operation of the businesses in which they are engaged or proposed to be engaged and (c) Parent, and after the Closing, Parent and the Surviving Corporation and its Subsidiaries (on a consolidated basis) will be able to pay their liabilities, including contingent and other liabilities, as they mature; </w:t>
      </w:r>
      <w:r>
        <w:rPr>
          <w:rFonts w:ascii="Times New Roman" w:hAnsi="Times New Roman"/>
          <w:sz w:val="20"/>
          <w:u w:val="single"/>
        </w:rPr>
        <w:t>provided</w:t>
      </w:r>
      <w:r>
        <w:rPr>
          <w:rFonts w:ascii="Times New Roman" w:hAnsi="Times New Roman"/>
          <w:sz w:val="20"/>
        </w:rPr>
        <w:t xml:space="preserve"> that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or phrase used but not defined in the definition of “Solvent,” including “fair saleable value,” “liabilities,” and “not have an unreasonably small amount of capital for the operation of the businesses in which it is engaged or proposed to be engaged” shall have the meaning generally determined with respect to such term or phrase in accordance with applicable Laws governing determinations of the insolvency of debtors, including the Uniform Fraudulent Transfer Act, as approved by the National Conference of Commissioners on Uniform State Laws in 1984 and any version thereof adopted by any state whose Laws apply to Parent, the Surviving Corporation or its Subsidiaries on or after the Closing, the Uniform Fraudulent Conveyance Act, as approved by the National Conference of Commissioners on Uniform State Laws in 1918 and any version thereof adopted by any state whose Laws apply to Parent, the Surviving Corporation or its Subsidiaries on or after the Closing, the U.S. Bankruptcy Code, Title 11 of the U.S.C., the Insolvency Act 1986 and the Companies Act 2006. None of Parent or Merger Sub is entering into this Agreement with the actual intent to hinder, delay or defraud either present or future creditors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No Other Investments</w:t>
      </w:r>
      <w:r>
        <w:rPr>
          <w:rFonts w:ascii="Times New Roman" w:hAnsi="Times New Roman"/>
          <w:sz w:val="20"/>
        </w:rPr>
        <w:t xml:space="preserve">. Neither Parent nor any of the Equity Investors has entered into any agreement or otherwise to acquire or make any investment in, or owns any investment in, any corporation, partnership, limited liability company or other business organization or any division or assets thereof,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Investigation; Limitation on Warranties; Disclaimer of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 is a sophisticated purchaser, has engaged advisors experienced in the evaluation and purchase of companies such as the Company and the Company Subsidiaries as contemplated hereunder, and has made its own inquiry and investigation into, and based thereon has formed an independent judgment concerning, the businesses, assets, liabilities, condition, operations, prospects or other matters of the Company and the Company Subsidiaries, (ii) has been furnished with or given adequate access to such information about the Company and the Company Subsidiaries as it has requested, (iii) has had the opportunity to negotiate the terms and conditions of this Agreement and the Transactions and to the extent it has deemed appropriate and (iv) in determining to proceed with the transactions contemplated by this Agreement, has not relied in any material respect on any statements or information other than the representations and warranties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that none of the Company or any Company Subsidiaries,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or Representatives, have made, nor will any of them be deemed to have made (and nor has Parent or Merger Sub or any of their respective Affiliates or Representatives relied upon) any representation, warranty, covenant or agreement, express or implied, with respect to the Company and the Company Subsidiaries, the businesses, assets, liabilities, condition, operations, prospects or other matters of the Company and the Company Subsidiaries or the Transactions, other than those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and agrees that none of the Company or any Company Subsidiaries nor any other Person (including any officer, director, member or partner of the Company or any Company Subsidiaries or any of their respective Affiliates) shall have or be subject to any liability to Parent, Merger Sub or any other Person, resulting from Parent’s or Merger Sub’s use of any information, documents or material made available to Parent, Merger Sub or their Representatives in any “data rooms,” management presentations, due diligence or in any other form in expectation of the transactions contemplated hereby. Each of Parent and Merger Sub acknowledges and agrees that, except for the representations and warranties expressly contained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the assets, liabilities and the business of the Company and the Company Subsidiaries are being transferred on a “where is” and, as to condition, “as is” basis.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and Merger Sub’s investigation of the Company, Parent and Merger Sub acknowledge that they may have received from the Company and its Representatives projections, forecasts, estimates, plans, budgets and other forward-looking information relating to the Company and the Company Subsidiaries. Parent and Merger Sub acknowledge that such materials were prepared solely for internal use, are inherently uncertain, are subject to significant business, financial, market, regulatory, competitive or other contingencies, and are not guarantees of future performance. Parent and Merger Sub further acknowledge that actual results may differ, and differ materially, from those reflected in such materials. Accordingly, Parent and Merger Sub acknowledge that neither the Company nor any of the Company Subsidiaries, nor any of their respective Representatives or any other Person, has made or is making any representation or warranty, express or implied, with respect to any such projections, forecasts, estimates, plans, budgets or other forward-looking information, including as to the accuracy, completeness, reasonableness or achievability thereof or of the assumptions underlying them, and that none of Parent, Merger Sub, their respective Representatives or any other Person is relying on any such information or shall have any claims against the Company, any of the Company Subsidiaries, their respective Representatives or any other Person with respect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COVENANTS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Conduct of Business by the Company</w:t>
      </w:r>
      <w:r>
        <w:rPr>
          <w:rFonts w:ascii="Times New Roman" w:hAnsi="Times New Roman"/>
          <w:sz w:val="20"/>
        </w:rPr>
        <w:t xml:space="preserve">. The Company agrees that between the date of this Agreement and the Effective Time or the date, if any, on which this Agreement is terminated pursuant to </w:t>
      </w:r>
      <w:r>
        <w:rPr>
          <w:rFonts w:ascii="Times New Roman" w:hAnsi="Times New Roman"/>
          <w:sz w:val="20"/>
          <w:u w:val="single"/>
        </w:rPr>
        <w:t>Section 8.1</w:t>
      </w:r>
      <w:r>
        <w:rPr>
          <w:rFonts w:ascii="Times New Roman" w:hAnsi="Times New Roman"/>
          <w:sz w:val="20"/>
        </w:rPr>
        <w:t xml:space="preserve">, except (A) as set forth in </w:t>
      </w:r>
      <w:r>
        <w:rPr>
          <w:rFonts w:ascii="Times New Roman" w:hAnsi="Times New Roman"/>
          <w:sz w:val="20"/>
          <w:u w:val="single"/>
        </w:rPr>
        <w:t>Section 5.1</w:t>
      </w:r>
      <w:r>
        <w:rPr>
          <w:rFonts w:ascii="Times New Roman" w:hAnsi="Times New Roman"/>
          <w:sz w:val="20"/>
        </w:rPr>
        <w:t xml:space="preserve"> of the Company Disclosure Schedule, (B) as required, permitted or expressly contemplated by this Agreement, (C) as may be required by Law, (D) as consented to in writing by Parent (which consent shall not be unreasonably withheld, delayed or conditioned), or (E) to the extent necessary to comply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 obligations set forth in any Material Contract in effect on the date of this Agreement and made available to Parent or, solely with respect to clause (i), any Contract entered into after the date hereof in compliance with this </w:t>
      </w:r>
      <w:r>
        <w:rPr>
          <w:rFonts w:ascii="Times New Roman" w:hAnsi="Times New Roman"/>
          <w:sz w:val="20"/>
          <w:u w:val="single"/>
        </w:rPr>
        <w:t>Section 5.1</w:t>
      </w:r>
      <w:r>
        <w:rPr>
          <w:rFonts w:ascii="Times New Roman" w:hAnsi="Times New Roman"/>
          <w:sz w:val="20"/>
        </w:rPr>
        <w:t xml:space="preserve">, the Company (i) shall use commercially reasonable efforts, and shall cause the Company Subsidiaries to use commercially reasonable efforts to, conduct its and their respective business in all material respects in the ordinary course of business and preserve intact its current business organization, and maintain its present relationships with suppliers, customers, licensors, licensees, Governmental Entities and other Persons having material business dealings with the Company and the Company Subsidiaries and (ii) shall not, and shall not permit any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amend or otherwise change or modify the Company Governing Documents or the certificate of incorporation or bylaws or equivalent organizational documents of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split, combine, subdivide or reclassify any shares of capital stock or other Equity Interest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declare, set aside, establish a record date in respect of, accrue or pay any dividend or other distribution payable in cash, stock or property (or any combination thereof) with respect to the Shares (except for any dividend or distribution by a Company Subsidiary to the Company or another Company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redeem, purchase or otherwise acquire, or offer to redeem, purchase or otherwise acquire, any Equity Interests, except (i) from holders of Company Options outstanding as of the date hereof in full or partial payment of any exercise price and any applicable Taxes payable by such holder upon exercise of the Company Options to the extent required or permitted under the terms of such Company Options as in effect on the date of this Agreement, (ii) in order to pay Taxes in connection with the exercise, settlement or vesting of purchase rights under the Company ESPP, (iii) from holders of Restricted Awards outstanding as of the date of this Agreement or granted after the date of this Agreement in compliance with the terms of this Agreement in full or partial payment of any purchase price and any applicable Taxes payable by such holder upon the lapse of restrictions on the Restricted Awards outstanding as of the date of this Agreement or granted after the date of this Agreement in compliance with the terms of this Agreement or (iv)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Shares reserved for issuance on the date hereof pursuant to the exercise or settlement of any Company Equity Awards outstanding as of the date hereof, or granted after the date hereof in compliance with the terms of this Agreement, (iii) issuances pursuant to the Company ESPP under its terms in effect as of the date of this Agreement and in accordance with </w:t>
      </w:r>
      <w:r>
        <w:rPr>
          <w:rFonts w:ascii="Times New Roman" w:hAnsi="Times New Roman"/>
          <w:sz w:val="20"/>
          <w:u w:val="single"/>
        </w:rPr>
        <w:t>Section 2.4(e)</w:t>
      </w:r>
      <w:r>
        <w:rPr>
          <w:rFonts w:ascii="Times New Roman" w:hAnsi="Times New Roman"/>
          <w:sz w:val="20"/>
        </w:rPr>
        <w:t xml:space="preserve"> (iv) the incurrence of any Permitted Liens or (v) the issuance of Shares as required by or in connection with the conversion, settlement, redemption or repurchase of any of the Company Convertible Notes pursuant to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acquire (whether pursuant to merger, stock or asset purchase or otherwise) any equity interest in, any business or division of, or all or substantially all of the assets of, any Person, other than in an 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mortgage, pledge, dispose of, or encumber any tangible asset (including the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Section5.1(g) shall be made for consideration not less than the fair market value of the applicable assets; </w:t>
      </w:r>
    </w:p>
    <w:p>
      <w:pPr>
        <w:pStyle w:val="TextBody"/>
        <w:bidi w:val="0"/>
        <w:spacing w:before="240" w:after="0"/>
        <w:jc w:val="left"/>
        <w:rPr>
          <w:rFonts w:ascii="Times New Roman" w:hAnsi="Times New Roman"/>
          <w:sz w:val="20"/>
        </w:rPr>
      </w:pPr>
      <w:r>
        <w:rPr>
          <w:rFonts w:ascii="Times New Roman" w:hAnsi="Times New Roman"/>
          <w:sz w:val="20"/>
        </w:rPr>
        <w:t xml:space="preserve">(h) 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p>
      <w:pPr>
        <w:pStyle w:val="TextBody"/>
        <w:bidi w:val="0"/>
        <w:spacing w:before="240" w:after="0"/>
        <w:jc w:val="left"/>
        <w:rPr>
          <w:rFonts w:ascii="Times New Roman" w:hAnsi="Times New Roman"/>
          <w:sz w:val="20"/>
        </w:rPr>
      </w:pPr>
      <w:r>
        <w:rPr>
          <w:rFonts w:ascii="Times New Roman" w:hAnsi="Times New Roman"/>
          <w:sz w:val="20"/>
        </w:rPr>
        <w:t xml:space="preserve">(i) (i)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(j) except as required by the terms of any Benefit Plan or other Contract in effect on the date hereof or as expressly permitted under this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hereof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Company Subsidiary other than for cause, whose annualized compensation opportunities would exceed $200,000; </w:t>
      </w:r>
    </w:p>
    <w:p>
      <w:pPr>
        <w:pStyle w:val="TextBody"/>
        <w:bidi w:val="0"/>
        <w:spacing w:before="240" w:after="0"/>
        <w:jc w:val="left"/>
        <w:rPr>
          <w:rFonts w:ascii="Times New Roman" w:hAnsi="Times New Roman"/>
          <w:sz w:val="20"/>
        </w:rPr>
      </w:pPr>
      <w:r>
        <w:rPr>
          <w:rFonts w:ascii="Times New Roman" w:hAnsi="Times New Roman"/>
          <w:sz w:val="20"/>
        </w:rPr>
        <w:t xml:space="preserve">(k) (i)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(l) 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waive or release any noncompetition, nonsolicitation, nondisclosure or other restrictive covenant obligation of any key employee of the Company with title of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(n) incur any capital expenditures in excess of the aggregate amount set forth for the applicable calendar year as set forth in </w:t>
      </w:r>
      <w:r>
        <w:rPr>
          <w:rFonts w:ascii="Times New Roman" w:hAnsi="Times New Roman"/>
          <w:sz w:val="20"/>
          <w:u w:val="single"/>
        </w:rPr>
        <w:t>Section 5.1(n)</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(o) allow any material Owned Company Intellectual Property to lapse or be abandoned, fail to diligently prosecute any pending applications for any material Owned Company Intellectual Property, or fail to take reasonable actions to maintain, enforce (which shall include any reasonable decision not to enforce) upon becoming aware of infringement of, or protect any material Owned Company Intellectual Property, in each case other than (i) upon the expiration of such Owned Company Intellectual Property at the end of its applicable statutory term, (ii) as required under applicable Law or (iii) as determined by the Company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(p) 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the Company Subsidiaries, taken as a whole, or (ii) license of Intellectual Property Rights that is necessary for any pre-clinical trials, in each case, other than in connection with the activities listed on Section 5.1 of the Company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make any material change in the accounting methods, principles or practices used by it, except for such changes required by GAAP, applicable Laws or any Governmental Entity, in each case, as agreed to by the Company’s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(r) (i)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w:t>
      </w:r>
      <w:r>
        <w:rPr>
          <w:rFonts w:ascii="Times New Roman" w:hAnsi="Times New Roman"/>
          <w:sz w:val="20"/>
          <w:u w:val="single"/>
        </w:rPr>
        <w:t>Section 3.12(b)</w:t>
      </w:r>
      <w:r>
        <w:rPr>
          <w:rFonts w:ascii="Times New Roman" w:hAnsi="Times New Roman"/>
          <w:sz w:val="20"/>
        </w:rPr>
        <w:t xml:space="preserve"> of the Company Disclosure Schedule, (A) enter into any “closing agreement” as described in Section 7121 of the Code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settle or compromise any Legal Proceeding against the Company or any of the Company Subsidiaries (other than proceedings related to Taxes, which shall be governed by </w:t>
      </w:r>
      <w:r>
        <w:rPr>
          <w:rFonts w:ascii="Times New Roman" w:hAnsi="Times New Roman"/>
          <w:sz w:val="20"/>
          <w:u w:val="single"/>
        </w:rPr>
        <w:t>clause (r)</w:t>
      </w:r>
      <w:r>
        <w:rPr>
          <w:rFonts w:ascii="Times New Roman" w:hAnsi="Times New Roman"/>
          <w:sz w:val="20"/>
        </w:rPr>
        <w:t>), other than any settlement or compromise (i) in which the Company or any of its Subsidiaries is a nominal defendant, (ii) of Legal Proceedings disclosed, reflected or reserved against in the Financial Statements as of the Balance Sheet Date for an amount not materially in excess of the amount so reflected or reserved (</w:t>
      </w:r>
      <w:r>
        <w:rPr>
          <w:rFonts w:ascii="Times New Roman" w:hAnsi="Times New Roman"/>
          <w:sz w:val="20"/>
          <w:u w:val="single"/>
        </w:rPr>
        <w:t>provided</w:t>
      </w:r>
      <w:r>
        <w:rPr>
          <w:rFonts w:ascii="Times New Roman" w:hAnsi="Times New Roman"/>
          <w:sz w:val="20"/>
        </w:rPr>
        <w:t xml:space="preserve"> that (A) any excess amount shall count towards the baskets in the following clause (iii) and (B) any amount that may be payable or reimbursable under insurance policies or for which the Company or any of the Company Subsidiaries may be entitled to indemnification or contribution shall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actions by or against the Company or any of its Subsidiaries relating to any Transaction Litigation shall be governed by </w:t>
      </w:r>
      <w:r>
        <w:rPr>
          <w:rFonts w:ascii="Times New Roman" w:hAnsi="Times New Roman"/>
          <w:sz w:val="20"/>
          <w:u w:val="single"/>
        </w:rPr>
        <w:t>Section 6.11</w:t>
      </w:r>
      <w:r>
        <w:rPr>
          <w:rFonts w:ascii="Times New Roman" w:hAnsi="Times New Roman"/>
          <w:sz w:val="20"/>
        </w:rPr>
        <w:t xml:space="preserve"> and not by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except (i) in the ordinary course of business consistent with past practice (including the entering into of customer and supplier contracts) or in connection with any transaction to the extent specifically permitted by any other subclause of this Section,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this Agreement, or materially modify or waive any material provision of or terminate any Material Contract or any Contract entered into after the date hereof that would have been a Material Contract had it been entered into prior to the date of this Agreement (other than expiration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adopt a plan of complete or partial liquidation, dissolution, merger, consolidation, restructuring, recapitalization or other reorganization of the Company (other than the Merger); </w:t>
      </w:r>
    </w:p>
    <w:p>
      <w:pPr>
        <w:pStyle w:val="TextBody"/>
        <w:bidi w:val="0"/>
        <w:spacing w:before="240" w:after="0"/>
        <w:jc w:val="left"/>
        <w:rPr>
          <w:rFonts w:ascii="Times New Roman" w:hAnsi="Times New Roman"/>
          <w:sz w:val="20"/>
        </w:rPr>
      </w:pPr>
      <w:r>
        <w:rPr>
          <w:rFonts w:ascii="Times New Roman" w:hAnsi="Times New Roman"/>
          <w:sz w:val="20"/>
        </w:rPr>
        <w:t xml:space="preserve">(v) 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(w) commence any Legal Proceeding, except (i) routine matters in the ordinary course of business, (ii) in such cases where the Company reasonably determines in good faith that the failure to commence suit would result in a material impairment of a valuable aspect of its business(provided that the Company consults with Parent and considers the views of Parent prior to commencing such Legal Proceeding) or (iii) in connection with this Agreement or any other agreements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(x) enter into any interest rate, currency, equity, or commodity swaps, hedges, derivatives, forward sales contracts, or similar financial instruments, other than in the ordinary course of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 xml:space="preserve">(y) 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(z) (i) commence any clinical study, except for those clinical studies expressly set forth on </w:t>
      </w:r>
      <w:r>
        <w:rPr>
          <w:rFonts w:ascii="Times New Roman" w:hAnsi="Times New Roman"/>
          <w:sz w:val="20"/>
          <w:u w:val="single"/>
        </w:rPr>
        <w:t>Section 5.1(z)</w:t>
      </w:r>
      <w:r>
        <w:rPr>
          <w:rFonts w:ascii="Times New Roman" w:hAnsi="Times New Roman"/>
          <w:sz w:val="20"/>
        </w:rPr>
        <w:t xml:space="preserve"> of the Company Disclosure Schedule (the “</w:t>
      </w:r>
      <w:r>
        <w:rPr>
          <w:rFonts w:ascii="Times New Roman" w:hAnsi="Times New Roman"/>
          <w:sz w:val="20"/>
          <w:u w:val="single"/>
        </w:rPr>
        <w:t>Clinical Programs</w:t>
      </w:r>
      <w:r>
        <w:rPr>
          <w:rFonts w:ascii="Times New Roman" w:hAnsi="Times New Roman"/>
          <w:sz w:val="20"/>
        </w:rPr>
        <w:t xml:space="preserve">”) or (ii) discontinue, terminate or suspend any ongoing clinical study other than (A) for efficacy or safety reasons, (B) as mandated by any Health Regulatory Authority or (C) pursuant to any discontinuation, termination or suspension, for bona fide business reasons; </w:t>
      </w:r>
    </w:p>
    <w:p>
      <w:pPr>
        <w:pStyle w:val="TextBody"/>
        <w:bidi w:val="0"/>
        <w:spacing w:before="240" w:after="0"/>
        <w:jc w:val="left"/>
        <w:rPr>
          <w:rFonts w:ascii="Times New Roman" w:hAnsi="Times New Roman"/>
          <w:sz w:val="20"/>
        </w:rPr>
      </w:pPr>
      <w:r>
        <w:rPr>
          <w:rFonts w:ascii="Times New Roman" w:hAnsi="Times New Roman"/>
          <w:sz w:val="20"/>
        </w:rPr>
        <w:t xml:space="preserve">(aa) except to the extent consistent with the transition to a diagnostics-focused business, materially change the nature of the business of the Company and the Company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(bb) enter into any Contract to do any of the foregoing or authorize, agree, resolve or otherwise commit in writing to take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other provisions of this </w:t>
      </w:r>
      <w:r>
        <w:rPr>
          <w:rFonts w:ascii="Times New Roman" w:hAnsi="Times New Roman"/>
          <w:sz w:val="20"/>
          <w:u w:val="single"/>
        </w:rPr>
        <w:t>Section 5.2</w:t>
      </w:r>
      <w:r>
        <w:rPr>
          <w:rFonts w:ascii="Times New Roman" w:hAnsi="Times New Roman"/>
          <w:sz w:val="20"/>
        </w:rPr>
        <w:t xml:space="preserve">,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not, shall cause the Company Subsidiaries not to, shall cause its and the Company Subsidiaries’ directors and officers not to, and shall direct its and the Company Subsidiaries’ other Representatives not to, directly or indirectly, (i) initiate, solicit or knowingly facilitate or knowingly encourage the making of any proposal or offer that constitutes or would reasonably be expected to lead to, a Competing Proposal, (ii) 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(iii) enter into any letter of intent, acquisition agreement, agreement in principle or similar agreement with respect to a Competing Proposal. The Company shall, and shall cause the Company Subsidiaries and its and their respective directors and officers to, and shall direct its and the Company Subsidiaries’ other Representatives to, (A) immediately cease any existing solicitation, discussions or negotiations with any Person (other than Parent or its Representatives) with respect to any Competing Proposal, (B) within one (1) Business Day after the date of this Agreement, terminate and discontinue any access by any Person (other than Parent and its Representatives) to any data room (virtual, physical or otherwise) containing non-public information of the Company or any Company Subsidiary maintained in connection with a possible Competing Proposal and (C) within two (2) Business Days after the date of this Agreement, request the prompt return or destruction of any confidential information previously furnished to such Persons or their Representatives in connection with a possible Competing Proposal. The Company agrees that any action taken by any of its or the Company Subsidiaries’ Representatives that, if taken by the Company, would constitute a breach of this </w:t>
      </w:r>
      <w:r>
        <w:rPr>
          <w:rFonts w:ascii="Times New Roman" w:hAnsi="Times New Roman"/>
          <w:sz w:val="20"/>
          <w:u w:val="single"/>
        </w:rPr>
        <w:t>Section 5.2</w:t>
      </w:r>
      <w:r>
        <w:rPr>
          <w:rFonts w:ascii="Times New Roman" w:hAnsi="Times New Roman"/>
          <w:sz w:val="20"/>
        </w:rPr>
        <w:t xml:space="preserve"> shall be deemed to be a breach of this </w:t>
      </w:r>
      <w:r>
        <w:rPr>
          <w:rFonts w:ascii="Times New Roman" w:hAnsi="Times New Roman"/>
          <w:sz w:val="20"/>
          <w:u w:val="single"/>
        </w:rPr>
        <w:t>Section 5.2</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if, at any time following the date of this Agreement and prior to obtaining the Requisite Stockholder Approval, the Company has received a bona fide 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and the Company Board of Directors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w:t>
      </w:r>
      <w:r>
        <w:rPr>
          <w:rFonts w:ascii="Times New Roman" w:hAnsi="Times New Roman"/>
          <w:sz w:val="20"/>
          <w:u w:val="single"/>
        </w:rPr>
        <w:t>provided</w:t>
      </w:r>
      <w:r>
        <w:rPr>
          <w:rFonts w:ascii="Times New Roman" w:hAnsi="Times New Roman"/>
          <w:sz w:val="20"/>
        </w:rPr>
        <w:t xml:space="preserve"> that (A) the Company shall not, and shall cause its directors and officers not to, and shall direct its other Representatives not to, disclose any non-public information to such Person unless the Company has (including prior to the date hereof) entered, or first enters, into a confidentiality agreement with such Person on terms that, taken as a whole, are not materially less restrictive to such Person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confidentiality agreement does not contain provisions which prohibit the Company from providing any information to Parent in accordance with this </w:t>
      </w:r>
      <w:r>
        <w:rPr>
          <w:rFonts w:ascii="Times New Roman" w:hAnsi="Times New Roman"/>
          <w:sz w:val="20"/>
          <w:u w:val="single"/>
        </w:rPr>
        <w:t>Section 5.2</w:t>
      </w:r>
      <w:r>
        <w:rPr>
          <w:rFonts w:ascii="Times New Roman" w:hAnsi="Times New Roman"/>
          <w:sz w:val="20"/>
        </w:rPr>
        <w:t xml:space="preserve"> or that otherwise prohibits the Company from complying with the provisions of this </w:t>
      </w:r>
      <w:r>
        <w:rPr>
          <w:rFonts w:ascii="Times New Roman" w:hAnsi="Times New Roman"/>
          <w:sz w:val="20"/>
          <w:u w:val="single"/>
        </w:rPr>
        <w:t>Section 5.2</w:t>
      </w:r>
      <w:r>
        <w:rPr>
          <w:rFonts w:ascii="Times New Roman" w:hAnsi="Times New Roman"/>
          <w:sz w:val="20"/>
        </w:rPr>
        <w:t>) (an “</w:t>
      </w:r>
      <w:r>
        <w:rPr>
          <w:rFonts w:ascii="Times New Roman" w:hAnsi="Times New Roman"/>
          <w:sz w:val="20"/>
          <w:u w:val="single"/>
        </w:rPr>
        <w:t>Acceptable Confidentiality Agreement</w:t>
      </w:r>
      <w:r>
        <w:rPr>
          <w:rFonts w:ascii="Times New Roman" w:hAnsi="Times New Roman"/>
          <w:sz w:val="20"/>
        </w:rPr>
        <w:t xml:space="preserve">”) and (B) the Company shall,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promptly (and in any event within 48 hours) notify Parent of the receipt by the Company or any of its Representatives of any Competing Proposal, which notice shall include the identity of the Person making such Competing Proposal and a summary of the material terms and conditions of such Competing Proposal. The Company shall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Other than in accordance with </w:t>
      </w:r>
      <w:r>
        <w:rPr>
          <w:rFonts w:ascii="Times New Roman" w:hAnsi="Times New Roman"/>
          <w:sz w:val="20"/>
          <w:u w:val="single"/>
        </w:rPr>
        <w:t>Section 5.2(e)</w:t>
      </w:r>
      <w:r>
        <w:rPr>
          <w:rFonts w:ascii="Times New Roman" w:hAnsi="Times New Roman"/>
          <w:sz w:val="20"/>
        </w:rPr>
        <w:t xml:space="preserve">, neither the Company Board of Directors or any committee thereof shall,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(i) (A) publicly announce the withdrawal of, or make any material modification or qualification to, the Company Board Recommendation, in each case in a manner adverse to Parent, (B) fail to include the Company Board Recommendation in the Proxy Statement, (C) fail to publicly reaffirm the Company Board Recommendation within ten (10) Business Days of receiving a written request from Parent to provide such public reaffirmation following receipt by the Company of a Competing Proposal that is publicly announced or otherwise publicly known (</w:t>
      </w:r>
      <w:r>
        <w:rPr>
          <w:rFonts w:ascii="Times New Roman" w:hAnsi="Times New Roman"/>
          <w:sz w:val="20"/>
          <w:u w:val="single"/>
        </w:rPr>
        <w:t>provided</w:t>
      </w:r>
      <w:r>
        <w:rPr>
          <w:rFonts w:ascii="Times New Roman" w:hAnsi="Times New Roman"/>
          <w:sz w:val="20"/>
        </w:rPr>
        <w:t xml:space="preserve"> that Parent may deliver only one (1) such request with respect to any Competing Proposal), or (D) fail to recommend, in a Solicitation/Recommendation Statement on Schedule 14D-9 against any Competing Proposal that is a tender offer or exchange offer subject to Regulation 14D promulgated under the Exchange Act within ten (10) Business Days after the commencement thereof or (E) publicly announce an intention or resolution to effect any of the foregoing (any of the actions described in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 or (E)</w:t>
      </w:r>
      <w:r>
        <w:rPr>
          <w:rFonts w:ascii="Times New Roman" w:hAnsi="Times New Roman"/>
          <w:sz w:val="20"/>
        </w:rPr>
        <w:t>, a “</w:t>
      </w:r>
      <w:r>
        <w:rPr>
          <w:rFonts w:ascii="Times New Roman" w:hAnsi="Times New Roman"/>
          <w:sz w:val="20"/>
          <w:u w:val="single"/>
        </w:rPr>
        <w:t>Change of Recommendation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at any time prior to obtaining the Requisite Stockholder Approval, in the event that the Company receives a 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that the Company Board of Directors or a committee thereof determines in good faith, after consultation with the Company’s outside legal counsel and financial advisor, constitutes a Superior Proposal, or in response to an Intervening Event, the Company Board of Directors or a committee thereof may (i) make a Change of Recommendation or (ii) in the case of a Competing Proposal,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terminate this Agreement to enter into an Alternative Acquisition Agreement in accordance with </w:t>
      </w:r>
      <w:r>
        <w:rPr>
          <w:rFonts w:ascii="Times New Roman" w:hAnsi="Times New Roman"/>
          <w:sz w:val="20"/>
          <w:u w:val="single"/>
        </w:rPr>
        <w:t>Section 8.1(j)</w:t>
      </w:r>
      <w:r>
        <w:rPr>
          <w:rFonts w:ascii="Times New Roman" w:hAnsi="Times New Roman"/>
          <w:sz w:val="20"/>
        </w:rPr>
        <w:t xml:space="preserve"> (provided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in each case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if: (A) the Company Board of Directors or any committee thereof determines in good faith, after consultation with the Company’s outside legal counsel,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reasonably be expected to be inconsistent with its fiduciary duties under applicable Law, (B) the Company has notified Parent in writing that it intends to effect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(such notice, a “</w:t>
      </w:r>
      <w:r>
        <w:rPr>
          <w:rFonts w:ascii="Times New Roman" w:hAnsi="Times New Roman"/>
          <w:sz w:val="20"/>
          <w:u w:val="single"/>
        </w:rPr>
        <w:t>Determination Notice</w:t>
      </w:r>
      <w:r>
        <w:rPr>
          <w:rFonts w:ascii="Times New Roman" w:hAnsi="Times New Roman"/>
          <w:sz w:val="20"/>
        </w:rPr>
        <w:t xml:space="preserve">”), which Determination Notice shall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(C) if requested in writing to do so by Parent, during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this Agreement proposed by Parent in good faith such that such Competing Proposal would cease to constitute a Superior Proposal or such Intervening Event would cease to warrant a Change of Recommendation, as applicable, in each case such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no longer reasonably be expected to be inconsistent with the fiduciary duties of the Company Board of Directors and (D) no earlier than the end of the Notice Period, the Company Board of Directors or any committee thereof determines in good faith, after consultation with the Company’s outside legal counsel, after considering the terms of any proposed amendment or modification to this Agreement, that (x) in the case of a Superior Proposal, such Competing Proposal continues to constitute a Superior Proposal and, in the case of an Intervening Event, that such Intervening Event remains in effect and (y)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in response to such Superior Proposal or such Intervening Event, as applicable, would reasonably be expected to be inconsistent with its fiduciary duties under applicable Law. The provisions of this </w:t>
      </w:r>
      <w:r>
        <w:rPr>
          <w:rFonts w:ascii="Times New Roman" w:hAnsi="Times New Roman"/>
          <w:sz w:val="20"/>
          <w:u w:val="single"/>
        </w:rPr>
        <w:t>Section 5.2(e)</w:t>
      </w:r>
      <w:r>
        <w:rPr>
          <w:rFonts w:ascii="Times New Roman" w:hAnsi="Times New Roman"/>
          <w:sz w:val="20"/>
        </w:rPr>
        <w:t xml:space="preserve"> shall apply to any material amendment to any material term or condition of any applicable Superior Proposal and to any material change in any applicable Intervening Event, as the case may be, and shall require a revised Determination Notice and a new Notice Period (subject to the applicable duration thereof as set forth in the definition of “Notice Period”). As used in this Agreement, “</w:t>
      </w:r>
      <w:r>
        <w:rPr>
          <w:rFonts w:ascii="Times New Roman" w:hAnsi="Times New Roman"/>
          <w:sz w:val="20"/>
          <w:u w:val="single"/>
        </w:rPr>
        <w:t>Notice Period</w:t>
      </w:r>
      <w:r>
        <w:rPr>
          <w:rFonts w:ascii="Times New Roman" w:hAnsi="Times New Roman"/>
          <w:sz w:val="20"/>
        </w:rPr>
        <w:t xml:space="preserve">” means the period beginning at 5:00 p.m. Eastern Time on the day of delivery by the Company to Parent of a Determination Notice (even if such Determination Notice is delivered after 5:00 p.m. Eastern Time) and ending on the fourth (4th) Business Day thereafter at 5:00 p.m. Eastern Time; </w:t>
      </w:r>
      <w:r>
        <w:rPr>
          <w:rFonts w:ascii="Times New Roman" w:hAnsi="Times New Roman"/>
          <w:sz w:val="20"/>
          <w:u w:val="single"/>
        </w:rPr>
        <w:t>provided</w:t>
      </w:r>
      <w:r>
        <w:rPr>
          <w:rFonts w:ascii="Times New Roman" w:hAnsi="Times New Roman"/>
          <w:sz w:val="20"/>
        </w:rPr>
        <w:t xml:space="preserve"> that with respect to any material change in any material term or condition of any Superior Proposal or any material change in any applicable Intervening Event, the Notice Period will extend until 5:00 p.m. Eastern Time on the second (2nd) Business Day after delivery of such revised Determination Notice. </w:t>
      </w:r>
    </w:p>
    <w:p>
      <w:pPr>
        <w:pStyle w:val="TextBody"/>
        <w:bidi w:val="0"/>
        <w:spacing w:before="240" w:after="0"/>
        <w:jc w:val="left"/>
        <w:rPr>
          <w:rFonts w:ascii="Times New Roman" w:hAnsi="Times New Roman"/>
          <w:sz w:val="20"/>
        </w:rPr>
      </w:pPr>
      <w:r>
        <w:rPr>
          <w:rFonts w:ascii="Times New Roman" w:hAnsi="Times New Roman"/>
          <w:sz w:val="20"/>
        </w:rPr>
        <w:t xml:space="preserve">(f) Nothing contained in this Agreement prohibits (i) the Company or the Company Board of Directors or any committee thereof from (A) taking and disclosing to the holders of Shares a position contemplated by Rule 14e-2(a), Rule 14d-9 and Item 1012(a) of Regulation M-A promulgated under the Exchange Act or (B) making any public statement if the Company Board of Directors or a committee thereof determines that the failure to make such statement would reasonably be expected to be inconsistent with its fiduciary duties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Law or otherwise violate applicable Law, or (ii) the Company or the Company Board of Directors from making any disclosure required under the Exchange Act;</w:t>
      </w:r>
      <w:r>
        <w:rPr>
          <w:rFonts w:ascii="Times New Roman" w:hAnsi="Times New Roman"/>
          <w:sz w:val="20"/>
          <w:u w:val="single"/>
        </w:rPr>
        <w:t xml:space="preserve"> provided</w:t>
      </w:r>
      <w:r>
        <w:rPr>
          <w:rFonts w:ascii="Times New Roman" w:hAnsi="Times New Roman"/>
          <w:sz w:val="20"/>
        </w:rPr>
        <w:t xml:space="preserve">, that the foregoing shall in no way eliminate or modify the effect that such disclosure would otherwise have under this Agreement. The issuance by the Company or the Company Board of Directors of a “stop, look and listen” statement pending disclosure of its position, as contemplated by Rules 14d-9 and 14e-2(a) promulgated under the Exchange Act shall not, in and of itself, constitute a Change of Recommendation. Nothing in this </w:t>
      </w:r>
      <w:r>
        <w:rPr>
          <w:rFonts w:ascii="Times New Roman" w:hAnsi="Times New Roman"/>
          <w:sz w:val="20"/>
          <w:u w:val="single"/>
        </w:rPr>
        <w:t>Section 5.2(f)</w:t>
      </w:r>
      <w:r>
        <w:rPr>
          <w:rFonts w:ascii="Times New Roman" w:hAnsi="Times New Roman"/>
          <w:sz w:val="20"/>
        </w:rPr>
        <w:t xml:space="preserve"> or any other provision of this Agreement shall be construed to permit the Company to effect any, Change of Recommendation other than in accordance with and to the extent expressly permitted by </w:t>
      </w:r>
      <w:r>
        <w:rPr>
          <w:rFonts w:ascii="Times New Roman" w:hAnsi="Times New Roman"/>
          <w:sz w:val="20"/>
          <w:u w:val="single"/>
        </w:rPr>
        <w:t>Section 5.2(e)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and Merger Sub’s timely performance of their obligations under this </w:t>
      </w:r>
      <w:r>
        <w:rPr>
          <w:rFonts w:ascii="Times New Roman" w:hAnsi="Times New Roman"/>
          <w:sz w:val="20"/>
          <w:u w:val="single"/>
        </w:rPr>
        <w:t>Section 5.3</w:t>
      </w:r>
      <w:r>
        <w:rPr>
          <w:rFonts w:ascii="Times New Roman" w:hAnsi="Times New Roman"/>
          <w:sz w:val="20"/>
        </w:rPr>
        <w:t xml:space="preserve"> and reasonable cooperation, the Company shall prepare and file with the SEC, subject to prior notice to Parent, as promptly as reasonably practicable after the date hereof (and in any event within fifteen (15) Business Days after the date hereof), a preliminary proxy statement (as amended or supplemented, the “</w:t>
      </w:r>
      <w:r>
        <w:rPr>
          <w:rFonts w:ascii="Times New Roman" w:hAnsi="Times New Roman"/>
          <w:sz w:val="20"/>
          <w:u w:val="single"/>
        </w:rPr>
        <w:t>Proxy Statement</w:t>
      </w:r>
      <w:r>
        <w:rPr>
          <w:rFonts w:ascii="Times New Roman" w:hAnsi="Times New Roman"/>
          <w:sz w:val="20"/>
        </w:rPr>
        <w:t xml:space="preserve">”) relating to the Merger as required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shall furnish to the Company the information relating to it or its Affiliates required by the Exchange Act to be included in, or may be reasonably requested by the Company in connection with the preparation and filing of, the Proxy Statement. The Company shall obtain and furnish the information required to be included in the Proxy Statement, shall provide Parent with a reasonable opportunity to review and comment on the Proxy Statement and any amendment or supplement thereto (other than any amendment or supplement made in connection with a Change of Recommendation), and any written responses to any comments of the SEC or its staff with respect thereto, in each case prior to the filing thereof with the SEC, shall give due consideration to all comments reasonably proposed by Parent, shall provide Parent with, and consult with Parent regarding, any comments that may be received from the SEC or its staff with respect thereto, shall respond promptly to any comments made by the SEC or its staff with respect to the Proxy Statement, and shall cause the Proxy Statement to be mailed to the Company’s stockholders at the earliest reasonably practicable date. If, at any time prior to the Company Stockholders Meeting, any information relating to the Company, Parent, Merger Sub, any of their respective Affiliates, this Agreement or the Transactions, including the Merger, should be discovered by the Company or Parent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party, and an appropriate amendment or supplement describing such information shall be prepared by the Company and filed with the SEC, and to the extent required by applicable Law, disseminated to the stockholders of the Company. Unless the Company Board of Directors has made a Change of Recommendation in accordance with </w:t>
      </w:r>
      <w:r>
        <w:rPr>
          <w:rFonts w:ascii="Times New Roman" w:hAnsi="Times New Roman"/>
          <w:sz w:val="20"/>
          <w:u w:val="single"/>
        </w:rPr>
        <w:t>Section 5.2</w:t>
      </w:r>
      <w:r>
        <w:rPr>
          <w:rFonts w:ascii="Times New Roman" w:hAnsi="Times New Roman"/>
          <w:sz w:val="20"/>
        </w:rPr>
        <w:t xml:space="preserve">, the Company shall include the Company Board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Company Stockholders Meeting;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5.2</w:t>
      </w:r>
      <w:r>
        <w:rPr>
          <w:rFonts w:ascii="Times New Roman" w:hAnsi="Times New Roman"/>
          <w:sz w:val="20"/>
        </w:rPr>
        <w:t>, following the clearance of the Proxy Statement by the SEC, the Company shall duly call and hold a meeting of its stockholders (the “</w:t>
      </w:r>
      <w:r>
        <w:rPr>
          <w:rFonts w:ascii="Times New Roman" w:hAnsi="Times New Roman"/>
          <w:sz w:val="20"/>
          <w:u w:val="single"/>
        </w:rPr>
        <w:t>Company Stockholders Meeting</w:t>
      </w:r>
      <w:r>
        <w:rPr>
          <w:rFonts w:ascii="Times New Roman" w:hAnsi="Times New Roman"/>
          <w:sz w:val="20"/>
        </w:rPr>
        <w:t xml:space="preserve">”) as promptly as reasonably practicable following the mailing of the Proxy Statement to the Company’s stockholders for the purpose of obtaining the Requisite Stockholder Approval, with a record date and meeting date to be selected after reasonable consultation with Parent; </w:t>
      </w:r>
      <w:r>
        <w:rPr>
          <w:rFonts w:ascii="Times New Roman" w:hAnsi="Times New Roman"/>
          <w:sz w:val="20"/>
          <w:u w:val="single"/>
        </w:rPr>
        <w:t>provided</w:t>
      </w:r>
      <w:r>
        <w:rPr>
          <w:rFonts w:ascii="Times New Roman" w:hAnsi="Times New Roman"/>
          <w:sz w:val="20"/>
        </w:rPr>
        <w:t xml:space="preserve">, that in no event shall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adjourn or postpone the Company Stockholders Meeting without Parent’s prior written consent; </w:t>
      </w:r>
      <w:r>
        <w:rPr>
          <w:rFonts w:ascii="Times New Roman" w:hAnsi="Times New Roman"/>
          <w:sz w:val="20"/>
          <w:u w:val="single"/>
        </w:rPr>
        <w:t>provided</w:t>
      </w:r>
      <w:r>
        <w:rPr>
          <w:rFonts w:ascii="Times New Roman" w:hAnsi="Times New Roman"/>
          <w:sz w:val="20"/>
        </w:rPr>
        <w:t xml:space="preserve"> that, nothing herein will prevent the Company from postponing or adjourning the Company Stockholders Meeting (i) to allow additional solicitation of votes in order to obtain the Requisite Stockholder Approval, (ii) if there are holders of an insufficient number of Shares present or represented by proxy at the Company Stockholders Meeting to constitute a quorum at the Company Stockholders Meeting, (iii) if such postponement or adjournment of the Company Stockholders Meeting is required by applicable Law or the SEC or (iv) if the Company Board of Directors (or any committee thereof) has determined in good faith (after consultation with outside legal counsel) that such postponement or adjournment of the Company Stockholders Meeting is required in order to give the Company’s stockholders sufficient time to evaluate any information or disclosure that the Company has sent to the stockholders of the Company or otherwise made available to the stockholders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agreed to in writing by Parent, any such adjournment or postponement (other than pursuant to </w:t>
      </w:r>
      <w:r>
        <w:rPr>
          <w:rFonts w:ascii="Times New Roman" w:hAnsi="Times New Roman"/>
          <w:sz w:val="20"/>
          <w:u w:val="single"/>
        </w:rPr>
        <w:t>clause (iii)</w:t>
      </w:r>
      <w:r>
        <w:rPr>
          <w:rFonts w:ascii="Times New Roman" w:hAnsi="Times New Roman"/>
          <w:sz w:val="20"/>
        </w:rPr>
        <w:t xml:space="preserve">) shall be for a period of no more than ten (10) Business Days. In addition, the Company shall, if so requested by Parent, postpone or adjourn the Company Stockholders Meeting on one occasion for a period of no more than ten (10) Business Days in order to allow additional time to solicit votes in order to obtain the Requisite Stockholder Approval if, as of the time for which the Company Stockholders Meeting is scheduled, there are insufficient Shares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vote (or consent with respect to) or cause to be voted (or a consent to be given with respect to) any Shares beneficially owned by Parent or Merger Sub or with respect to which any of them has the power to cause to be voted (or to provide a consent), in accordance with the Company Board of Directors’ recommendation, from time to time, with respect to all matters related to this Agreement and the Transactions, at the Company Stockholders Meeting or any other meeting of stockholders of the Company, at which such matters shall be submitted for consideration and at all adjournments, recesses or postponements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of this Agreement until the earlier of the Effective Time or the date on which this Agreement is terminated pursuant to </w:t>
      </w:r>
      <w:r>
        <w:rPr>
          <w:rFonts w:ascii="Times New Roman" w:hAnsi="Times New Roman"/>
          <w:sz w:val="20"/>
          <w:u w:val="single"/>
        </w:rPr>
        <w:t>Section 8.1</w:t>
      </w:r>
      <w:r>
        <w:rPr>
          <w:rFonts w:ascii="Times New Roman" w:hAnsi="Times New Roman"/>
          <w:sz w:val="20"/>
        </w:rPr>
        <w:t xml:space="preserve">, notwithstanding Section 1, Section 3(d) or Section 8(a) of the Confidentiality Agreement, the Company shall, upon reasonable advance notice by Parent, (i) give Parent and its Representatives reasonable access during normal business hours to relevant employees and facilities and to relevant books, Contracts and records (including Tax Returns) of the Company and the Company Subsidiaries, (ii) permit Parent to make such non-invasive inspections as they may reasonably request and (iii) cause its and the Company Subsidiaries’ officers to furnish Parent with such financial and operating data and other information with respect to the business, properties and personnel of the Company as Parent may from time to time reasonably request; </w:t>
      </w:r>
      <w:r>
        <w:rPr>
          <w:rFonts w:ascii="Times New Roman" w:hAnsi="Times New Roman"/>
          <w:sz w:val="20"/>
          <w:u w:val="single"/>
        </w:rPr>
        <w:t>provided</w:t>
      </w:r>
      <w:r>
        <w:rPr>
          <w:rFonts w:ascii="Times New Roman" w:hAnsi="Times New Roman"/>
          <w:sz w:val="20"/>
        </w:rPr>
        <w:t xml:space="preserve"> that, such access shall be conducted at Parent’s sole expense, under the supervision of appropriate personnel of the Company and in such a manner not to interfere with the normal operation of the business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access shall be for purposes of preparing for and effecting the Transactions, the integration of the Company and the Company Subsidiaries with Parent and its Subsidiaries, and confirmatory diligence reasonably related to the Transactions. Information obtained by or made available to Parent or its Representatives pursuant to this </w:t>
      </w:r>
      <w:r>
        <w:rPr>
          <w:rFonts w:ascii="Times New Roman" w:hAnsi="Times New Roman"/>
          <w:sz w:val="20"/>
          <w:u w:val="single"/>
        </w:rPr>
        <w:t>Section 6.1(a)</w:t>
      </w:r>
      <w:r>
        <w:rPr>
          <w:rFonts w:ascii="Times New Roman" w:hAnsi="Times New Roman"/>
          <w:sz w:val="20"/>
        </w:rPr>
        <w:t xml:space="preserve"> shall be subject to the Confidentiality Agreement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Nothing in </w:t>
      </w:r>
      <w:r>
        <w:rPr>
          <w:rFonts w:ascii="Times New Roman" w:hAnsi="Times New Roman"/>
          <w:sz w:val="20"/>
          <w:u w:val="single"/>
        </w:rPr>
        <w:t>Section 6.1(a)</w:t>
      </w:r>
      <w:r>
        <w:rPr>
          <w:rFonts w:ascii="Times New Roman" w:hAnsi="Times New Roman"/>
          <w:sz w:val="20"/>
        </w:rPr>
        <w:t xml:space="preserve"> requires the Company or any of the Company Subsidiaries to permit any inspection, or to disclose any information, that, in the reasonable judgment of the Company, would (i) violate any of its or its Affiliates’ respective obligations with respect to confidentiality or otherwise constitute a breach of any Contract to which any of them is a party, (ii) result in a violation of applicable Law (including Laws relating to the exchange of information), (iii) result in the disclosure of trade secrets or competitively sensitive information, (iv) expose the Company or any of the Company Subsidiaries to risk of liability for disclosure of sensitive or personal information or (v) result in loss of legal protection, including the attorney-client privilege or protection under the work product doctrine (</w:t>
      </w:r>
      <w:r>
        <w:rPr>
          <w:rFonts w:ascii="Times New Roman" w:hAnsi="Times New Roman"/>
          <w:sz w:val="20"/>
          <w:u w:val="single"/>
        </w:rPr>
        <w:t>provided</w:t>
      </w:r>
      <w:r>
        <w:rPr>
          <w:rFonts w:ascii="Times New Roman" w:hAnsi="Times New Roman"/>
          <w:sz w:val="20"/>
        </w:rPr>
        <w:t xml:space="preserve"> that the Company shall use commercially reasonable efforts to make appropriate substitute arrangements to permit reasonable disclosure, to the extent permitted by applicable law and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Regulatory Filings;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Parent and Merger Sub shall, and shall cause their respective Affiliates to, use its respective reasonable best efforts to (i) take, or cause to be taken, all appropriate action, and do, or cause to be done, all things necessary, proper or advisable under any applicable Law or otherwise to consummate the Transactions as promptly as practicable, but in no event later than the Outside Date, (ii) obtain from any Governmental Entities any consents, licenses, permits, notifications, waivers, clearances, approvals (including any Required Nuclear Approvals), authorizations, expirations or terminations of waiting periods, or orders advisable or required to be obtained or made, as applicable,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this Agreement), any other Antitrust Laws and the FDI Laws), in connection with the authorization, execution and delivery of this Agreement and the consummation of the Transactions (collectively, the “</w:t>
      </w:r>
      <w:r>
        <w:rPr>
          <w:rFonts w:ascii="Times New Roman" w:hAnsi="Times New Roman"/>
          <w:sz w:val="20"/>
          <w:u w:val="single"/>
        </w:rPr>
        <w:t>Required Governmental Approvals</w:t>
      </w:r>
      <w:r>
        <w:rPr>
          <w:rFonts w:ascii="Times New Roman" w:hAnsi="Times New Roman"/>
          <w:sz w:val="20"/>
        </w:rPr>
        <w:t xml:space="preserve">”), (iii) make or cause to be made the applications or filings advisable or necessary to obtain the Required Governmental Approvals with respect to the HSR Act no later than fifteen (15)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after the date of this Agreement (provided that in the event that the U.S. Federal Trade Commission or the U.S. Department of Justice is closed and not accepting filings under the HSR Act as a result (a “</w:t>
      </w:r>
      <w:r>
        <w:rPr>
          <w:rFonts w:ascii="Times New Roman" w:hAnsi="Times New Roman"/>
          <w:sz w:val="20"/>
          <w:u w:val="single"/>
        </w:rPr>
        <w:t>Government Closure</w:t>
      </w:r>
      <w:r>
        <w:rPr>
          <w:rFonts w:ascii="Times New Roman" w:hAnsi="Times New Roman"/>
          <w:sz w:val="20"/>
        </w:rPr>
        <w:t xml:space="preserve">”) on such date, such day shall automatically be extended to the Business Day following the date on which the Government Closure is no longer in effect), unless otherwise agreed by the parties, and submit the CMA Briefing Paper to the CMA no later than thirty (30) Business Days after the date of this Agreement and with respect to any other Foreign Antitrust Law and FDI law as soon as reasonably practicable, (iv) comply as promptly as practicable with any request in connection with any Required Governmental Approvals for additional information, documents or other materials received by Parent or the Company or any of their respective Affiliates, from the U.S. Federal Trade Commission, the U.S. Department of Justice, the CMA or any other Governmental Entity, in connection with such applications or filings, including using their respective reasonable best efforts to certify substantial compliance with any request for additional information from the U.S. Federal Trade Commission or the U.S. Department of Justice pursuant to the HSR Act (a “Second Request”) not later than the date that is one hundred and sixty-five (165) days after the filing date for the Parties’ initial filings with respect to the HSR Act (provided that, in the event that U.S. Federal Trade Commission and the U.S. Department of Justice are not accepting certifications of substantial compliance under the HSR Act as a result of a Government Closure on the date that is one hundred and sixty-five (165) days after the filing date for the Parties’ initial filings with respect to the HSR Act, such date shall automatically be extended to the Business Day following the date on which the U.S. Federal Trade Commission and the U.S. Department of Justice begin accepting certifications of substantial compliance), unless otherwise mutually agreed in writing and (v) coordinate and cooperate with, and give due consideration to all reasonable additions, comments, deletions or changes suggested by the other parties in connection with such applications or filings and any filings, conferences or other submissions related to resolving any investigation or other inquiry by any such Governmental Entity. Parent and Merger Sub, on the one hand, and the Company, on the other hand, shall not, and each shall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seeking any actions or consents of any Governmental Entity as contemplated by this </w:t>
      </w:r>
      <w:r>
        <w:rPr>
          <w:rFonts w:ascii="Times New Roman" w:hAnsi="Times New Roman"/>
          <w:sz w:val="20"/>
          <w:u w:val="single"/>
        </w:rPr>
        <w:t>Section 6.2</w:t>
      </w:r>
      <w:r>
        <w:rPr>
          <w:rFonts w:ascii="Times New Roman" w:hAnsi="Times New Roman"/>
          <w:sz w:val="20"/>
        </w:rPr>
        <w:t xml:space="preserve">, Parent and the Company shall jointly (A) determine the strategy, (B) lead all proceedings and (C) coordinate all activities; provided, however, that in the event of any disagreement concerning strategy, including strategy with respect to any filing, submission, investigation, inquiry, proceeding, communication or meeting, the determination of Parent shall be final and conclusive. Without limiting the generality of the undertakings pursuant to </w:t>
      </w:r>
      <w:r>
        <w:rPr>
          <w:rFonts w:ascii="Times New Roman" w:hAnsi="Times New Roman"/>
          <w:sz w:val="20"/>
          <w:u w:val="single"/>
        </w:rPr>
        <w:t>Section 6.2(a)</w:t>
      </w:r>
      <w:r>
        <w:rPr>
          <w:rFonts w:ascii="Times New Roman" w:hAnsi="Times New Roman"/>
          <w:sz w:val="20"/>
        </w:rPr>
        <w:t xml:space="preserve">, Parent agrees to, and to cause Merger Sub and Parent’s and Merger Sub’s respective Affiliates to, use its reasonable best efforts to take any and all actions necessary or advisable to: </w:t>
      </w:r>
    </w:p>
    <w:p>
      <w:pPr>
        <w:pStyle w:val="TextBody"/>
        <w:bidi w:val="0"/>
        <w:spacing w:before="120" w:after="0"/>
        <w:jc w:val="left"/>
        <w:rPr>
          <w:rFonts w:ascii="Times New Roman" w:hAnsi="Times New Roman"/>
          <w:sz w:val="20"/>
        </w:rPr>
      </w:pPr>
      <w:r>
        <w:rPr>
          <w:rFonts w:ascii="Times New Roman" w:hAnsi="Times New Roman"/>
          <w:sz w:val="20"/>
        </w:rPr>
        <w:t xml:space="preserve">(i) 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p>
      <w:pPr>
        <w:pStyle w:val="TextBody"/>
        <w:bidi w:val="0"/>
        <w:spacing w:before="120" w:after="0"/>
        <w:jc w:val="left"/>
        <w:rPr>
          <w:rFonts w:ascii="Times New Roman" w:hAnsi="Times New Roman"/>
          <w:sz w:val="20"/>
        </w:rPr>
      </w:pPr>
      <w:r>
        <w:rPr>
          <w:rFonts w:ascii="Times New Roman" w:hAnsi="Times New Roman"/>
          <w:sz w:val="20"/>
        </w:rPr>
        <w:t>(iii) propose, negotiate, commit to, effect, or accept, by consent decree, hold separate order or otherwise, any sale, divestiture, license or disposition of assets, properties, rights, product lines, licenses, 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(any such action, a “</w:t>
      </w:r>
      <w:r>
        <w:rPr>
          <w:rFonts w:ascii="Times New Roman" w:hAnsi="Times New Roman"/>
          <w:sz w:val="20"/>
          <w:u w:val="single"/>
        </w:rPr>
        <w:t>Remedy</w:t>
      </w:r>
      <w:r>
        <w:rPr>
          <w:rFonts w:ascii="Times New Roman" w:hAnsi="Times New Roman"/>
          <w:sz w:val="20"/>
        </w:rPr>
        <w:t>” or “</w:t>
      </w:r>
      <w:r>
        <w:rPr>
          <w:rFonts w:ascii="Times New Roman" w:hAnsi="Times New Roman"/>
          <w:sz w:val="20"/>
          <w:u w:val="single"/>
        </w:rPr>
        <w:t>Remedies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or this </w:t>
      </w:r>
      <w:r>
        <w:rPr>
          <w:rFonts w:ascii="Times New Roman" w:hAnsi="Times New Roman"/>
          <w:sz w:val="20"/>
          <w:u w:val="single"/>
        </w:rPr>
        <w:t>Section 6.2(b)</w:t>
      </w:r>
      <w:r>
        <w:rPr>
          <w:rFonts w:ascii="Times New Roman" w:hAnsi="Times New Roman"/>
          <w:sz w:val="20"/>
        </w:rPr>
        <w:t xml:space="preserve"> shall require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w:t>
      </w:r>
      <w:r>
        <w:rPr>
          <w:rFonts w:ascii="Times New Roman" w:hAnsi="Times New Roman"/>
          <w:sz w:val="20"/>
          <w:u w:val="single"/>
        </w:rPr>
        <w:t>Burdensome Condition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Notwithstanding anything in this Agreement to the contrary, Parent’s and Merger Sub’s obligations set forth in this </w:t>
      </w:r>
      <w:r>
        <w:rPr>
          <w:rFonts w:ascii="Times New Roman" w:hAnsi="Times New Roman"/>
          <w:sz w:val="20"/>
          <w:u w:val="single"/>
        </w:rPr>
        <w:t>Section 6.2(b)(iv)</w:t>
      </w:r>
      <w:r>
        <w:rPr>
          <w:rFonts w:ascii="Times New Roman" w:hAnsi="Times New Roman"/>
          <w:sz w:val="20"/>
        </w:rPr>
        <w:t xml:space="preserve"> shall be absolute and not qualified by “commercially reasonable efforts,” “reasonable best efforts” or “best efforts.”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w:t>
      </w:r>
      <w:r>
        <w:rPr>
          <w:rFonts w:ascii="Times New Roman" w:hAnsi="Times New Roman"/>
          <w:sz w:val="20"/>
          <w:u w:val="single"/>
        </w:rPr>
        <w:t>Section 6.2</w:t>
      </w:r>
      <w:r>
        <w:rPr>
          <w:rFonts w:ascii="Times New Roman" w:hAnsi="Times New Roman"/>
          <w:sz w:val="20"/>
        </w:rPr>
        <w:t>, the Company shall not be required to divest, hold separate, license, dispose of or otherwise take or commit to take any action with respect to the businesses, services, assets, rights, product lines, licenses, operations or interests of the Company or any Company Subsidiary (each, a “</w:t>
      </w:r>
      <w:r>
        <w:rPr>
          <w:rFonts w:ascii="Times New Roman" w:hAnsi="Times New Roman"/>
          <w:sz w:val="20"/>
          <w:u w:val="single"/>
        </w:rPr>
        <w:t>Company Remedy</w:t>
      </w:r>
      <w:r>
        <w:rPr>
          <w:rFonts w:ascii="Times New Roman" w:hAnsi="Times New Roman"/>
          <w:sz w:val="20"/>
        </w:rPr>
        <w:t xml:space="preserve">”), unless such action is requested by Parent in writing and conditioned upon the occurrence of the Effective Time pursuant to Parent’s obligations under </w:t>
      </w:r>
      <w:r>
        <w:rPr>
          <w:rFonts w:ascii="Times New Roman" w:hAnsi="Times New Roman"/>
          <w:sz w:val="20"/>
          <w:u w:val="single"/>
        </w:rPr>
        <w:t>Section 6.2(b)</w:t>
      </w:r>
      <w:r>
        <w:rPr>
          <w:rFonts w:ascii="Times New Roman" w:hAnsi="Times New Roman"/>
          <w:sz w:val="20"/>
        </w:rPr>
        <w:t xml:space="preserve"> and </w:t>
      </w:r>
      <w:r>
        <w:rPr>
          <w:rFonts w:ascii="Times New Roman" w:hAnsi="Times New Roman"/>
          <w:sz w:val="20"/>
          <w:u w:val="single"/>
        </w:rPr>
        <w:t>Section 6.2(e)</w:t>
      </w:r>
      <w:r>
        <w:rPr>
          <w:rFonts w:ascii="Times New Roman" w:hAnsi="Times New Roman"/>
          <w:sz w:val="20"/>
        </w:rPr>
        <w:t xml:space="preserve">. Upon Parent’s written request, the Company shall, and shall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with respect to a Company Remedy shall become effective until the Effective Time. Any reasonable and verifiable costs incurred by the Company and paid to third parties related to the Company’s efforts to effect a Company Remedy shall be promptly reimbursed by the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the Company agrees to use its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connection with any proceeding by a private party, any other Person, and, to the extent permitted by such Governmental Entity or other Person, give the other party and its counsel the opportunity to attend and participate in such meetings and conferences;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shall, and shall cause their respective Affiliates to, as promptly as practicable provide each other with copies of all correspondence, filings or communications between them or any of their respective Affiliates or Representatives, on the one hand, and any Governmental Entity or its staff, on the other hand, with respect to this Agreement and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have no obligation to share filings made pursuant to the HSR Act. Notwithstanding and without limiting the foregoing, with respect to the CMA Briefing Paper, Parent shall share a draft of the CMA Briefing Paper with the Company reasonably in advance of the submission thereof, and incorporate the Company’s reasonable and timely input and comments thereon, prior to submission of the CMA Briefing Paper. </w:t>
      </w:r>
    </w:p>
    <w:p>
      <w:pPr>
        <w:pStyle w:val="TextBody"/>
        <w:bidi w:val="0"/>
        <w:spacing w:before="240" w:after="0"/>
        <w:jc w:val="left"/>
        <w:rPr>
          <w:rFonts w:ascii="Times New Roman" w:hAnsi="Times New Roman"/>
          <w:sz w:val="20"/>
        </w:rPr>
      </w:pPr>
      <w:r>
        <w:rPr>
          <w:rFonts w:ascii="Times New Roman" w:hAnsi="Times New Roman"/>
          <w:sz w:val="20"/>
        </w:rPr>
        <w:t>(e) If a Second Request is issued, each of Parent and the Company shall, as soon as reasonably practicable, and in any event within ten (10) Business Days of when both parties have certified substantial compliance with such Second Request, use their respective reasonable best efforts to confer with representatives of the Governmental Entity that issued the Second Request (a “</w:t>
      </w:r>
      <w:r>
        <w:rPr>
          <w:rFonts w:ascii="Times New Roman" w:hAnsi="Times New Roman"/>
          <w:sz w:val="20"/>
          <w:u w:val="single"/>
        </w:rPr>
        <w:t>Regulatory Conference</w:t>
      </w:r>
      <w:r>
        <w:rPr>
          <w:rFonts w:ascii="Times New Roman" w:hAnsi="Times New Roman"/>
          <w:sz w:val="20"/>
        </w:rPr>
        <w:t>”) to understand the proposed recommendations of such representatives to the applicable governing body (the “</w:t>
      </w:r>
      <w:r>
        <w:rPr>
          <w:rFonts w:ascii="Times New Roman" w:hAnsi="Times New Roman"/>
          <w:sz w:val="20"/>
          <w:u w:val="single"/>
        </w:rPr>
        <w:t>Staff Recommendation</w:t>
      </w:r>
      <w:r>
        <w:rPr>
          <w:rFonts w:ascii="Times New Roman" w:hAnsi="Times New Roman"/>
          <w:sz w:val="20"/>
        </w:rPr>
        <w:t xml:space="preserv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receipt of the Staff Recommendation, the Company may request Parent to provide, within ten (10) Business Days, a written binding commitment to effect any Remedy or Remedies that would resolve any adverse Staff Recommendation, including a Remedy or Remedies that would constitute a Burdensome Condition (the “</w:t>
      </w:r>
      <w:r>
        <w:rPr>
          <w:rFonts w:ascii="Times New Roman" w:hAnsi="Times New Roman"/>
          <w:sz w:val="20"/>
          <w:u w:val="single"/>
        </w:rPr>
        <w:t>Regulatory Commitment</w:t>
      </w:r>
      <w:r>
        <w:rPr>
          <w:rFonts w:ascii="Times New Roman" w:hAnsi="Times New Roman"/>
          <w:sz w:val="20"/>
        </w:rPr>
        <w:t xml:space="preserve">”); provided, however, in accordance with </w:t>
      </w:r>
      <w:r>
        <w:rPr>
          <w:rFonts w:ascii="Times New Roman" w:hAnsi="Times New Roman"/>
          <w:sz w:val="20"/>
          <w:u w:val="single"/>
        </w:rPr>
        <w:t>Section 6.2(b)(iii)</w:t>
      </w:r>
      <w:r>
        <w:rPr>
          <w:rFonts w:ascii="Times New Roman" w:hAnsi="Times New Roman"/>
          <w:sz w:val="20"/>
        </w:rPr>
        <w:t xml:space="preserve">, Parent is not obligated to make a Regulatory Commitment that includes any Remedy that would constitute a Burdensome Condition. If Parent provides a Regulatory Commitment (whether or not including a Remedy that would constitute a Burdensome Condition) then each of Parent and Company (subject to </w:t>
      </w:r>
      <w:r>
        <w:rPr>
          <w:rFonts w:ascii="Times New Roman" w:hAnsi="Times New Roman"/>
          <w:sz w:val="20"/>
          <w:u w:val="single"/>
        </w:rPr>
        <w:t>Section 6.2(c)</w:t>
      </w:r>
      <w:r>
        <w:rPr>
          <w:rFonts w:ascii="Times New Roman" w:hAnsi="Times New Roman"/>
          <w:sz w:val="20"/>
        </w:rPr>
        <w:t xml:space="preserve">) shall use its reasonable best efforts to effect such Remedies as soon as practicable and in any event on or prior to the date on which the Company may terminate the Merger Agreement pursuant to </w:t>
      </w:r>
      <w:r>
        <w:rPr>
          <w:rFonts w:ascii="Times New Roman" w:hAnsi="Times New Roman"/>
          <w:sz w:val="20"/>
          <w:u w:val="single"/>
        </w:rPr>
        <w:t>Section 8.1(d)</w:t>
      </w:r>
      <w:r>
        <w:rPr>
          <w:rFonts w:ascii="Times New Roman" w:hAnsi="Times New Roman"/>
          <w:sz w:val="20"/>
        </w:rPr>
        <w:t xml:space="preserve">. If the Regulatory Commitment provided by Parent includes any Remedy that would constitute a Burdensome Condition, then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and the obligations of the Company pursuant to </w:t>
      </w:r>
      <w:r>
        <w:rPr>
          <w:rFonts w:ascii="Times New Roman" w:hAnsi="Times New Roman"/>
          <w:sz w:val="20"/>
          <w:u w:val="single"/>
        </w:rPr>
        <w:t>Section 6.2(c)</w:t>
      </w:r>
      <w:r>
        <w:rPr>
          <w:rFonts w:ascii="Times New Roman" w:hAnsi="Times New Roman"/>
          <w:sz w:val="20"/>
        </w:rPr>
        <w:t xml:space="preserve">, shall be binding on Parent and the Company notwithstanding anything to the contrary in this Agreement. Whether or not the Regulatory Commitment includes any Remedy that is a Burdensome Condition,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are not subject to the proviso to </w:t>
      </w:r>
      <w:r>
        <w:rPr>
          <w:rFonts w:ascii="Times New Roman" w:hAnsi="Times New Roman"/>
          <w:sz w:val="20"/>
          <w:u w:val="single"/>
        </w:rPr>
        <w:t>Section 6.2(b)(iii)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be solely responsible for all filing fees required by any Governmental Entity with respect to any Required Governmental Approvals, including all filing fees in connection with the Antitrust Laws and the FDI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Parent shall not, and shall cause Merger Sub and their respective Affiliates not to, and the Company shall not, and shall cause its respective Affiliates not to, take any action, including entering into any transaction (including any merger or acquisition), that could reasonably be expected to materially prevent, delay or make it more difficult to (i) make any filing with, or obtain any Required Governmental Approval, (ii) avoid the entry of, the commencement of litigation or other proceedings seeking the entry of, or effect the dissolution of, any order, injunction, temporary restraining order, decree, decision, determination or judgment that would materially delay or prevent the consummation of the Transactions or (iii) secure the satisfaction of the conditions to the Closing set forth in </w:t>
      </w:r>
      <w:r>
        <w:rPr>
          <w:rFonts w:ascii="Times New Roman" w:hAnsi="Times New Roman"/>
          <w:sz w:val="20"/>
          <w:u w:val="single"/>
        </w:rPr>
        <w:t>Section 7.1 and, in the case of the Company, Section 7.2</w:t>
      </w:r>
      <w:r>
        <w:rPr>
          <w:rFonts w:ascii="Times New Roman" w:hAnsi="Times New Roman"/>
          <w:sz w:val="20"/>
        </w:rPr>
        <w:t xml:space="preserve"> or, in the case of Parent, </w:t>
      </w:r>
      <w:r>
        <w:rPr>
          <w:rFonts w:ascii="Times New Roman" w:hAnsi="Times New Roman"/>
          <w:sz w:val="20"/>
          <w:u w:val="single"/>
        </w:rPr>
        <w:t>Section 7.3</w:t>
      </w:r>
      <w:r>
        <w:rPr>
          <w:rFonts w:ascii="Times New Roman" w:hAnsi="Times New Roman"/>
          <w:sz w:val="20"/>
        </w:rPr>
        <w:t xml:space="preserve">, or agree or commit, in writing or otherwise,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Merger Sub and Parent shall use respective reasonable best efforts to provide any notices to third parties and obtain any third-party consents, in each case, that are necessary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Publicity</w:t>
      </w:r>
      <w:r>
        <w:rPr>
          <w:rFonts w:ascii="Times New Roman" w:hAnsi="Times New Roman"/>
          <w:sz w:val="20"/>
        </w:rPr>
        <w:t xml:space="preserve">. Neither the Company nor Parent or Merger Sub, nor any of their respective Affiliates, shall issue any press release or other announcement (including any widespread internal written communications (including scripts, Q&amp;A materials, talking points and similar written materials) made by the Company to its officers, employees, independent contractors, consultants, directors, suppliers, customers, contract counterparties and/or other business relations of the Company or its Subsidiaries that would be required to be filed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pursuant to Rule 14a-12 under the Exchange Act) with respect to the Merger, the other Transactions or this Agreement without the prior consent (not to be unreasonably withheld, conditioned or delayed)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announcement (including widespread internal written communications) with respect to the Merger, the Transactions or this Agreement, in which event such party shall use reasonable best efforts, to the extent reasonably practicable, to provide a meaningful opportunity to the other party to review and comment upon such press release or such other announcement and shall give due consideration to all reasonable additions, comments, deletions or changes suggested by such other party thereto; </w:t>
      </w:r>
      <w:r>
        <w:rPr>
          <w:rFonts w:ascii="Times New Roman" w:hAnsi="Times New Roman"/>
          <w:sz w:val="20"/>
          <w:u w:val="single"/>
        </w:rPr>
        <w:t>provided</w:t>
      </w:r>
      <w:r>
        <w:rPr>
          <w:rFonts w:ascii="Times New Roman" w:hAnsi="Times New Roman"/>
          <w:sz w:val="20"/>
        </w:rPr>
        <w:t xml:space="preserve"> that the Company shall not be required to provide any such review or comment to Parent in connection with the receipt and existence of a Competing Proposal and matters related thereto or a Change of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party hereto and their respective Affiliates may make public announcements and internal written communications that are consistent in tone and substance with previous press releases, public disclosures or public statements made by Parent, Merger Sub or the Company in compliance with this </w:t>
      </w:r>
      <w:r>
        <w:rPr>
          <w:rFonts w:ascii="Times New Roman" w:hAnsi="Times New Roman"/>
          <w:sz w:val="20"/>
          <w:u w:val="single"/>
        </w:rPr>
        <w:t>Section 6.3</w:t>
      </w:r>
      <w:r>
        <w:rPr>
          <w:rFonts w:ascii="Times New Roman" w:hAnsi="Times New Roman"/>
          <w:sz w:val="20"/>
        </w:rPr>
        <w:t xml:space="preserve">. Notwithstanding the foregoing, but subject to the Confidentiality Agreement, nothing in this </w:t>
      </w:r>
      <w:r>
        <w:rPr>
          <w:rFonts w:ascii="Times New Roman" w:hAnsi="Times New Roman"/>
          <w:sz w:val="20"/>
          <w:u w:val="single"/>
        </w:rPr>
        <w:t>Section 6.3</w:t>
      </w:r>
      <w:r>
        <w:rPr>
          <w:rFonts w:ascii="Times New Roman" w:hAnsi="Times New Roman"/>
          <w:sz w:val="20"/>
        </w:rPr>
        <w:t xml:space="preserve"> shall prevent any Affiliate of Parent that is a private equity or similar investment fund, or any manager or general partner of any such fund, from reporting or disclosing with respect to fundraising, marketing, informational or reporting activities in the ordinary course of business, on a confidential basis, to its partners, investors, potential investors or similar parties, general information regarding this Agreement and the Transactions, in each case, subject to customary obligations of confidentiality with respect to non-public information such as transaction value or other specific economic terms. The Company and the Parent agree that the initial press release to be issued with respect to the Transactions shall be in the form heretofore agreed to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Directors’ and Officers’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and shall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employees of the Company or any Company Subsidiary prior to the Effective Time), on the other hand (each, together with such Person’s heirs, executors and administrators, an “</w:t>
      </w:r>
      <w:r>
        <w:rPr>
          <w:rFonts w:ascii="Times New Roman" w:hAnsi="Times New Roman"/>
          <w:sz w:val="20"/>
          <w:u w:val="single"/>
        </w:rPr>
        <w:t>Indemnified Person</w:t>
      </w:r>
      <w:r>
        <w:rPr>
          <w:rFonts w:ascii="Times New Roman" w:hAnsi="Times New Roman"/>
          <w:sz w:val="20"/>
        </w:rPr>
        <w:t>” and, collectively, the “</w:t>
      </w:r>
      <w:r>
        <w:rPr>
          <w:rFonts w:ascii="Times New Roman" w:hAnsi="Times New Roman"/>
          <w:sz w:val="20"/>
          <w:u w:val="single"/>
        </w:rPr>
        <w:t>Indemnified Persons</w:t>
      </w:r>
      <w:r>
        <w:rPr>
          <w:rFonts w:ascii="Times New Roman" w:hAnsi="Times New Roman"/>
          <w:sz w:val="20"/>
        </w:rPr>
        <w:t>” and each such agreement, an “</w:t>
      </w:r>
      <w:r>
        <w:rPr>
          <w:rFonts w:ascii="Times New Roman" w:hAnsi="Times New Roman"/>
          <w:sz w:val="20"/>
          <w:u w:val="single"/>
        </w:rPr>
        <w:t>Indemnification Agreement</w:t>
      </w:r>
      <w:r>
        <w:rPr>
          <w:rFonts w:ascii="Times New Roman" w:hAnsi="Times New Roman"/>
          <w:sz w:val="20"/>
        </w:rPr>
        <w:t xml:space="preserve">”). In addition, during the period commencing at the Effective Time and ending on the sixth (6th) anniversary of the Effective Time, Parent shall and shall cause the Surviving Corporation to, cause the certificate of incorporation, the bylaws and other comparable organizational or governing documents of the 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this Agreement. During such six (6)-year period, such provisions of such certificate of incorporation, the bylaws and other comparable organizational or governing documents of the Surviving Corporation and the provisions of each Indemnification Agreement with respect to indemnification, exculpation and the advancement of expenses may not be repealed, amended or otherwise modified in any manner that could adversely affect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the provisions of </w:t>
      </w:r>
      <w:r>
        <w:rPr>
          <w:rFonts w:ascii="Times New Roman" w:hAnsi="Times New Roman"/>
          <w:sz w:val="20"/>
          <w:u w:val="single"/>
        </w:rPr>
        <w:t>Section 6.4(a)</w:t>
      </w:r>
      <w:r>
        <w:rPr>
          <w:rFonts w:ascii="Times New Roman" w:hAnsi="Times New Roman"/>
          <w:sz w:val="20"/>
        </w:rPr>
        <w:t xml:space="preserve">, during the period commencing at the Effective Time and ending on the sixth (6th) anniversary of the Effective Time, Parent shall, and shall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(i) the fact that an Indemnified Person is or was a director, officer, or employee of the Company or any Company Subsidiary, (ii) any actual or alleged action or omission in such Indemnified Person’s capacity as a director, officer or employee of the Company or any Company Subsidiary, or taken at the request of the Company or any Company 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(iii) this Agreement, the Transactions, any other agreements or instruments delivered in connection herewith or contemplated hereunder and transactions contemplated thereby, or any actions taken by the Company, any Company Subsidiary, Parent or Merger Sub with respect thereto; </w:t>
      </w:r>
      <w:r>
        <w:rPr>
          <w:rFonts w:ascii="Times New Roman" w:hAnsi="Times New Roman"/>
          <w:sz w:val="20"/>
          <w:u w:val="single"/>
        </w:rPr>
        <w:t>provided</w:t>
      </w:r>
      <w:r>
        <w:rPr>
          <w:rFonts w:ascii="Times New Roman" w:hAnsi="Times New Roman"/>
          <w:sz w:val="20"/>
        </w:rPr>
        <w:t xml:space="preserve"> that if, at any time prior to the sixth (6th) anniversary of the Effective Time, any Indemnified Person delivers to Parent a written notice asserting a claim for indemnification pursuant to this </w:t>
      </w:r>
      <w:r>
        <w:rPr>
          <w:rFonts w:ascii="Times New Roman" w:hAnsi="Times New Roman"/>
          <w:sz w:val="20"/>
          <w:u w:val="single"/>
        </w:rPr>
        <w:t>Section 6.4(b)</w:t>
      </w:r>
      <w:r>
        <w:rPr>
          <w:rFonts w:ascii="Times New Roman" w:hAnsi="Times New Roman"/>
          <w:sz w:val="20"/>
        </w:rPr>
        <w:t xml:space="preserve">, then the claim asserted in such notice will survive the sixth (6th) anniversary of the Effective Time until such claim is fully and finally resolved. In the event of any such Legal Proceeding, Parent shall and shall cause the Surviving Corporation to advance all fees and expenses (including attorneys’ fees and investigation expenses) incurred by an Indemnified Person in connection with such Legal Proceeding upon receipt of an undertaking by such Indemnified Person (which shall not require any security) to repay such amount if it shall ultimately be determined in a final and non-appealable judgment of a court of competent jurisdiction that such Indemnified Person is not entitled to be indemnified pursuant to the preceding sentence. Notwithstanding anything in this Agreement to the contrary, none of Parent, the Surviving Corporation nor any of their respective Affiliates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w:t>
      </w:r>
    </w:p>
    <w:p>
      <w:pPr>
        <w:pStyle w:val="TextBody"/>
        <w:bidi w:val="0"/>
        <w:spacing w:before="240" w:after="0"/>
        <w:jc w:val="left"/>
        <w:rPr>
          <w:rFonts w:ascii="Times New Roman" w:hAnsi="Times New Roman"/>
          <w:sz w:val="20"/>
        </w:rPr>
      </w:pPr>
      <w:r>
        <w:rPr>
          <w:rFonts w:ascii="Times New Roman" w:hAnsi="Times New Roman"/>
          <w:sz w:val="20"/>
        </w:rPr>
        <w:t>(c) During the period commencing at the Effective Time and ending on the sixth (6th) anniversary of the Effective Time, Parent and the Surviving Corporation shall maintain in effect directors’ and officers’ liability, fiduciary liability and employment practices liability insurance (“</w:t>
      </w:r>
      <w:r>
        <w:rPr>
          <w:rFonts w:ascii="Times New Roman" w:hAnsi="Times New Roman"/>
          <w:sz w:val="20"/>
          <w:u w:val="single"/>
        </w:rPr>
        <w:t>D&amp;O Insurance</w:t>
      </w:r>
      <w:r>
        <w:rPr>
          <w:rFonts w:ascii="Times New Roman" w:hAnsi="Times New Roman"/>
          <w:sz w:val="20"/>
        </w:rPr>
        <w:t xml:space="preserv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not less favorable to the insureds thereunder than the D&amp;O Insurance in effect as of immediately prior to the Effective Time. In satisfying its obligations pursuant to the immediately preceding sentence of this </w:t>
      </w:r>
      <w:r>
        <w:rPr>
          <w:rFonts w:ascii="Times New Roman" w:hAnsi="Times New Roman"/>
          <w:sz w:val="20"/>
          <w:u w:val="single"/>
        </w:rPr>
        <w:t>Section 6.4(c)</w:t>
      </w:r>
      <w:r>
        <w:rPr>
          <w:rFonts w:ascii="Times New Roman" w:hAnsi="Times New Roman"/>
          <w:sz w:val="20"/>
        </w:rPr>
        <w:t>, the Surviving Corporation will not be obligated to pay an aggregate cost in excess of 300% of the annual premium paid by the Company for such insurance in effect as of immediately prior to the date of this Agreement for such insurance (such amount, the “</w:t>
      </w:r>
      <w:r>
        <w:rPr>
          <w:rFonts w:ascii="Times New Roman" w:hAnsi="Times New Roman"/>
          <w:sz w:val="20"/>
          <w:u w:val="single"/>
        </w:rPr>
        <w:t>Maximum Amount</w:t>
      </w:r>
      <w:r>
        <w:rPr>
          <w:rFonts w:ascii="Times New Roman" w:hAnsi="Times New Roman"/>
          <w:sz w:val="20"/>
        </w:rPr>
        <w:t xml:space="preserve">”). If the aggregate cost of such insurance exceeds the Maximum Amount, then Parent and the Surviving Corporation shall obtain such insurance with the 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If the aggregate cost of such “tail” insurance exceeds the Maximum Amount, then the Company, Parent or the Surviving Corporation, as the case may be, shall obtain the “tail” insurance with the greatest coverage available for a cost not exceeding the Maximum Amount. If the Company or Parent, as the case may be, elects to purchase such “tail” insurance prior to the Effective Time, the Surviving Corporation shall, and Parent shall cause the Surviving Corporation to, maintain such “tail” insurance in full force and effect for a period of no less than six (6) years after the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in each case, Parent shall make proper provisions such that the successors and assigns of Parent, the Surviving Corporation, or their applicable successors or assigns shall assume all of the obligations of Parent and the Surviving Corporation set forth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set forth in this </w:t>
      </w:r>
      <w:r>
        <w:rPr>
          <w:rFonts w:ascii="Times New Roman" w:hAnsi="Times New Roman"/>
          <w:sz w:val="20"/>
          <w:u w:val="single"/>
        </w:rPr>
        <w:t>Section 6.4</w:t>
      </w:r>
      <w:r>
        <w:rPr>
          <w:rFonts w:ascii="Times New Roman" w:hAnsi="Times New Roman"/>
          <w:sz w:val="20"/>
        </w:rPr>
        <w:t xml:space="preserve"> may not be terminated, amended or otherwise modified in any manner that adversely affects any Indemnified Person without the prior written consent of such affected Indemnified Person. The provisions of this </w:t>
      </w:r>
      <w:r>
        <w:rPr>
          <w:rFonts w:ascii="Times New Roman" w:hAnsi="Times New Roman"/>
          <w:sz w:val="20"/>
          <w:u w:val="single"/>
        </w:rPr>
        <w:t>Section 6.4</w:t>
      </w:r>
      <w:r>
        <w:rPr>
          <w:rFonts w:ascii="Times New Roman" w:hAnsi="Times New Roman"/>
          <w:sz w:val="20"/>
        </w:rPr>
        <w:t xml:space="preserve"> shall survive the Closing and expressly are intended to benefit, and are enforceable by, each of the Indemnified Persons, each of whom is an intended third-party beneficiary of this </w:t>
      </w:r>
      <w:r>
        <w:rPr>
          <w:rFonts w:ascii="Times New Roman" w:hAnsi="Times New Roman"/>
          <w:sz w:val="20"/>
          <w:u w:val="single"/>
        </w:rPr>
        <w:t>Section 6.4</w:t>
      </w:r>
      <w:r>
        <w:rPr>
          <w:rFonts w:ascii="Times New Roman" w:hAnsi="Times New Roman"/>
          <w:sz w:val="20"/>
        </w:rPr>
        <w:t xml:space="preserve">. The rights of the Indemnified Persons pursuant to this </w:t>
      </w:r>
      <w:r>
        <w:rPr>
          <w:rFonts w:ascii="Times New Roman" w:hAnsi="Times New Roman"/>
          <w:sz w:val="20"/>
          <w:u w:val="single"/>
        </w:rPr>
        <w:t>Section 6.4</w:t>
      </w:r>
      <w:r>
        <w:rPr>
          <w:rFonts w:ascii="Times New Roman" w:hAnsi="Times New Roman"/>
          <w:sz w:val="20"/>
        </w:rPr>
        <w:t xml:space="preserve"> are in addition to, and not in substitution for, any other rights that such Persons may have pursuant to (i) the Company Governing Documents and the organizational or governing documents of the Company Subsidiaries, (ii) the Indemnification Agreements or (iii)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State 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4.6</w:t>
      </w:r>
      <w:r>
        <w:rPr>
          <w:rFonts w:ascii="Times New Roman" w:hAnsi="Times New Roman"/>
          <w:sz w:val="20"/>
        </w:rPr>
        <w:t xml:space="preserve">, if Section 203 of the DGCL or similar provisions of any other “control share acquisition,” “fair price,” “moratorium” or other antitakeover or similar Laws become or are deemed to become applicable to the Merger or the other Transactions, each of Parent and the Company and their respective boards of directors (or similar governing body) shall use reasonable best efforts to render the relevant provisions of such Laws inapplicable to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Obligations of Merger Sub</w:t>
      </w:r>
      <w:r>
        <w:rPr>
          <w:rFonts w:ascii="Times New Roman" w:hAnsi="Times New Roman"/>
          <w:sz w:val="20"/>
        </w:rPr>
        <w:t xml:space="preserve">. Parent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12 months following the Effective Time (or, if earlier, the date of a Continuing Employee’s termination) (the “</w:t>
      </w:r>
      <w:r>
        <w:rPr>
          <w:rFonts w:ascii="Times New Roman" w:hAnsi="Times New Roman"/>
          <w:sz w:val="20"/>
          <w:u w:val="single"/>
        </w:rPr>
        <w:t>Continuation Period</w:t>
      </w:r>
      <w:r>
        <w:rPr>
          <w:rFonts w:ascii="Times New Roman" w:hAnsi="Times New Roman"/>
          <w:sz w:val="20"/>
        </w:rPr>
        <w:t>”), Parent shall cause the Surviving Corporation or its applicable Subsidiary to provide (i) base salary or base hourly wage rate, as applicable, and target annual short-term cash incentive opportunities (including target annual short-term commission-based cash incentive opportunities, with such commissions to be earned and paid no less frequently than quarterly) to each person who is an employee of the Company or any Company Subsidiary immediately prior to the Effective Time who remains employed with Parent or any of its Affiliates (including the Surviving Corporation or a Subsidiary) immediately following the Effective Time (each, a “</w:t>
      </w:r>
      <w:r>
        <w:rPr>
          <w:rFonts w:ascii="Times New Roman" w:hAnsi="Times New Roman"/>
          <w:sz w:val="20"/>
          <w:u w:val="single"/>
        </w:rPr>
        <w:t>Continuing Employee</w:t>
      </w:r>
      <w:r>
        <w:rPr>
          <w:rFonts w:ascii="Times New Roman" w:hAnsi="Times New Roman"/>
          <w:sz w:val="20"/>
        </w:rPr>
        <w:t xml:space="preserve">”) that, in each case, are no less favorable than those in effect immediately prior to the Effective Time, (ii) severance benefits to each Continuing Employee as described on </w:t>
      </w:r>
      <w:r>
        <w:rPr>
          <w:rFonts w:ascii="Times New Roman" w:hAnsi="Times New Roman"/>
          <w:sz w:val="20"/>
          <w:u w:val="single"/>
        </w:rPr>
        <w:t>Section 6.7(a)</w:t>
      </w:r>
      <w:r>
        <w:rPr>
          <w:rFonts w:ascii="Times New Roman" w:hAnsi="Times New Roman"/>
          <w:sz w:val="20"/>
        </w:rPr>
        <w:t xml:space="preserve"> of the Company Disclosure Schedule and (iii) other employee benefits (in each case,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w:t>
      </w:r>
      <w:r>
        <w:rPr>
          <w:rFonts w:ascii="Times New Roman" w:hAnsi="Times New Roman"/>
          <w:sz w:val="20"/>
          <w:u w:val="single"/>
        </w:rPr>
        <w:t>Excluded Benefits</w:t>
      </w:r>
      <w:r>
        <w:rPr>
          <w:rFonts w:ascii="Times New Roman" w:hAnsi="Times New Roman"/>
          <w:sz w:val="20"/>
        </w:rPr>
        <w:t xml:space="preserve">”)) to each Continuing Employee that are (A) through December 31 of the year in which the Closing occurs, no less favorable in the aggregate to those provided to such Continuing Employee under the Benefit Plans identified on </w:t>
      </w:r>
      <w:r>
        <w:rPr>
          <w:rFonts w:ascii="Times New Roman" w:hAnsi="Times New Roman"/>
          <w:sz w:val="20"/>
          <w:u w:val="single"/>
        </w:rPr>
        <w:t>Section 3.10(a)</w:t>
      </w:r>
      <w:r>
        <w:rPr>
          <w:rFonts w:ascii="Times New Roman" w:hAnsi="Times New Roman"/>
          <w:sz w:val="20"/>
        </w:rPr>
        <w:t xml:space="preserve"> of the Company Disclosure Schedule immediately prior to the Effective Time, subject to the same exclusions referenced above,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6.7(a)</w:t>
      </w:r>
      <w:r>
        <w:rPr>
          <w:rFonts w:ascii="Times New Roman" w:hAnsi="Times New Roman"/>
          <w:sz w:val="20"/>
        </w:rPr>
        <w:t>, as of the Effective Time and thereafter, Parent and its Affiliates shall recognize, or shall cause the Surviving Corporation or its applicable Subsidiary to recognize, each Continuing Employee’s employment or service with the Company and the Company Subsidiaries (including any current or former Subsidiary and any predecessor to the Company and any such Subsidiary) prior to the Closing for purposes of determining, as applicable, eligibility for participation, vesting, and solely for purposes of vacation, paid time off, and severance benefits, entitlement and benefits level under all employee benefit plans maintained by the Surviving Corporation, Parent or any of their respective Affiliates, including vacation plans or arrangements, 401(k) or other defined contribution retirement plans and any severance or welfare plans (such plans and arrangements, the “</w:t>
      </w:r>
      <w:r>
        <w:rPr>
          <w:rFonts w:ascii="Times New Roman" w:hAnsi="Times New Roman"/>
          <w:sz w:val="20"/>
          <w:u w:val="single"/>
        </w:rPr>
        <w:t>New Plans</w:t>
      </w:r>
      <w:r>
        <w:rPr>
          <w:rFonts w:ascii="Times New Roman" w:hAnsi="Times New Roman"/>
          <w:sz w:val="20"/>
        </w:rPr>
        <w:t xml:space="preserve">”), except such recognition shall not be required to the extent it would result in a duplication of benefits or compensation for the same period of service or for any purpose with respect to Excluded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6.7(a)</w:t>
      </w:r>
      <w:r>
        <w:rPr>
          <w:rFonts w:ascii="Times New Roman" w:hAnsi="Times New Roman"/>
          <w:sz w:val="20"/>
        </w:rPr>
        <w:t xml:space="preserve">, effective as of the Effective Time and thereafter, Parent and its Affiliates shall, or shall cause the Surviving Corporation or its applicable Subsidiary to (i) use commercially reasonable efforts to cause any pre-existing conditions or limitations, eligibility waiting periods, actively at work requirements, evidence of insurability requirements or required physical examinations under any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use commercially reasonable efforts to fully credit each Continuing Employee with all deductible payments, co-payments and other out-of-pocket expenses incurred by such Continuing Employee and the Continuing Employee’s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Continuing Employee’s covered dependents under the applicable New Plan,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(d) Parent hereby acknowledges that a “change in control” or “change of control” (or the equivalent) will occur upon the Effective Time for purposes of all Benefit Plans. From and after the Effective Time, Parent and its Affiliates shall, or shall cause the Surviving Corporation or its applicable Subsidiary to honor all Benefit Plans set forth in </w:t>
      </w:r>
      <w:r>
        <w:rPr>
          <w:rFonts w:ascii="Times New Roman" w:hAnsi="Times New Roman"/>
          <w:sz w:val="20"/>
          <w:u w:val="single"/>
        </w:rPr>
        <w:t>Section 3.10(a)</w:t>
      </w:r>
      <w:r>
        <w:rPr>
          <w:rFonts w:ascii="Times New Roman" w:hAnsi="Times New Roman"/>
          <w:sz w:val="20"/>
        </w:rPr>
        <w:t xml:space="preserve"> of the Company Disclosure Schedule in accordance with their terms as in effect immediately prior to the Effective Time. Notwithstanding the foregoing, nothing will prohibit Parent or the Surviving Corporation from amending or terminating any such Benefit Plans in accordance with its terms and applicable Law. </w:t>
      </w:r>
    </w:p>
    <w:p>
      <w:pPr>
        <w:pStyle w:val="TextBody"/>
        <w:bidi w:val="0"/>
        <w:spacing w:before="240" w:after="0"/>
        <w:jc w:val="left"/>
        <w:rPr>
          <w:rFonts w:ascii="Times New Roman" w:hAnsi="Times New Roman"/>
          <w:sz w:val="20"/>
        </w:rPr>
      </w:pPr>
      <w:r>
        <w:rPr>
          <w:rFonts w:ascii="Times New Roman" w:hAnsi="Times New Roman"/>
          <w:sz w:val="20"/>
        </w:rPr>
        <w:t>(e) If requested by Parent at least five (5) Business Days prior to the Closing Date, the board of directors (or similar governing body) of the Company shall adopt a written consent (which shall be subject to Parent’s reasonable review and comment) terminating each Benefit Plan intended to be qualified within the meaning of Section 401(a) of the Code (the “</w:t>
      </w:r>
      <w:r>
        <w:rPr>
          <w:rFonts w:ascii="Times New Roman" w:hAnsi="Times New Roman"/>
          <w:sz w:val="20"/>
          <w:u w:val="single"/>
        </w:rPr>
        <w:t>Company 401(k) Plan</w:t>
      </w:r>
      <w:r>
        <w:rPr>
          <w:rFonts w:ascii="Times New Roman" w:hAnsi="Times New Roman"/>
          <w:sz w:val="20"/>
        </w:rPr>
        <w:t>”), with such termination to be effective no later than one (1) day immediately preceding the Closing Date (the “</w:t>
      </w:r>
      <w:r>
        <w:rPr>
          <w:rFonts w:ascii="Times New Roman" w:hAnsi="Times New Roman"/>
          <w:sz w:val="20"/>
          <w:u w:val="single"/>
        </w:rPr>
        <w:t>401(k) Termination Date</w:t>
      </w:r>
      <w:r>
        <w:rPr>
          <w:rFonts w:ascii="Times New Roman" w:hAnsi="Times New Roman"/>
          <w:sz w:val="20"/>
        </w:rPr>
        <w:t xml:space="preserve">”). If the Company 401(k) Plan is so terminated, as soon as administratively practicable following the Closing Date, Parent shall permit all Continuing Employees who were eligible to participate in the Company 401(k) Plan immediately prior to the 401(k) Termination Date to be eligible to participate in Parent’s 401(k) plan and shall permit each such Continuing Employee to elect to transfer his or her account balance when distributed from the terminated Company 401(k) Plan in the form of cash and notes evidencing any outstanding participant loans, to Parent’s 401(k) plan if so elected by the Continuing Employee in accordance with the terms of the Company 401(k) Plan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limitation of Parent’s obligations under </w:t>
      </w:r>
      <w:r>
        <w:rPr>
          <w:rFonts w:ascii="Times New Roman" w:hAnsi="Times New Roman"/>
          <w:sz w:val="20"/>
          <w:u w:val="single"/>
        </w:rPr>
        <w:t>Section 6.7(a)</w:t>
      </w:r>
      <w:r>
        <w:rPr>
          <w:rFonts w:ascii="Times New Roman" w:hAnsi="Times New Roman"/>
          <w:sz w:val="20"/>
        </w:rPr>
        <w:t>, Parent shall, or shall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w:t>
      </w:r>
      <w:r>
        <w:rPr>
          <w:rFonts w:ascii="Times New Roman" w:hAnsi="Times New Roman"/>
          <w:sz w:val="20"/>
          <w:u w:val="single"/>
        </w:rPr>
        <w:t>Company Bonus Plan</w:t>
      </w:r>
      <w:r>
        <w:rPr>
          <w:rFonts w:ascii="Times New Roman" w:hAnsi="Times New Roman"/>
          <w:sz w:val="20"/>
        </w:rPr>
        <w:t xml:space="preserve">”) based on actual levels of performance (as determined by the Company Board of Directors (or a committee thereof) in accordance with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 at the same time as annual bonuses have historically been paid in the ordinary course of business in accordance with the terms of the applicable Company Bonus Plan, subject to continued employment through the payment date unless otherwise provided on </w:t>
      </w:r>
      <w:r>
        <w:rPr>
          <w:rFonts w:ascii="Times New Roman" w:hAnsi="Times New Roman"/>
          <w:sz w:val="20"/>
          <w:u w:val="single"/>
        </w:rPr>
        <w:t>Section 6.7(a)</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shall confer upon any Continuing Employee any right to continue in the employ or service of Parent, the Surviving Corporation or any Affiliate of Parent, or shall interfere with or restrict in any way the rights of Parent, the Surviving Corporation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Surviving Corporation, the Company or any Affiliate of Parent and the Continuing Employee or any severance, benefit or other applicable plan or program covering such Continuing Employee. Notwithstanding anything in this Agreement to the contrary, nothing in this </w:t>
      </w:r>
      <w:r>
        <w:rPr>
          <w:rFonts w:ascii="Times New Roman" w:hAnsi="Times New Roman"/>
          <w:sz w:val="20"/>
          <w:u w:val="single"/>
        </w:rPr>
        <w:t>Section 6.7</w:t>
      </w:r>
      <w:r>
        <w:rPr>
          <w:rFonts w:ascii="Times New Roman" w:hAnsi="Times New Roman"/>
          <w:sz w:val="20"/>
        </w:rPr>
        <w:t xml:space="preserve"> shall (i) be deemed or construed to be an amendment or other modification of any Benefit Plan or (ii) create any third party rights in any current or former service provider of the Company or its Affiliates (or any beneficiaries or dependents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Section 16 Matters</w:t>
      </w:r>
      <w:r>
        <w:rPr>
          <w:rFonts w:ascii="Times New Roman" w:hAnsi="Times New Roman"/>
          <w:sz w:val="20"/>
        </w:rPr>
        <w:t xml:space="preserve">. Prior to the Effective Time, the Company Board of Directors shall take all necessary and appropriate action to approve, for purposes of Section 16(b) of the Exchange Act and the related rules and regulations thereunder, the disposition by Company directors and officers of Shares and Company Equity Awards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Control of Operations</w:t>
      </w:r>
      <w:r>
        <w:rPr>
          <w:rFonts w:ascii="Times New Roman" w:hAnsi="Times New Roman"/>
          <w:sz w:val="20"/>
        </w:rPr>
        <w:t xml:space="preserve">. Without limiting any party’s rights or obligations under this Agreement, the parties understand and agree that (a) nothing contained in this Agreement is intended to give Parent, directly or indirectly, the right to control or direct the Company’s business or operations prior to the Effective Time and (b) prior to the Effective Time, the Company shall exercise, consistent with the terms and conditions of this Agreement, complete control and supervision over its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Conduct of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immediately following execution of this Agreement, adopt this Agreement in its capacity as sole stockholder of Merger Sub, in accordance with applicable Law and the certificate of incorporation and bylaws of Merger Sub, and shall provide the Company with a correct and complete copy of the applicable resolutions effecting such adoption.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Sub shall not engage in any business activities and shall not incur any liabilities or obligations other than as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Transaction Litigation</w:t>
      </w:r>
      <w:r>
        <w:rPr>
          <w:rFonts w:ascii="Times New Roman" w:hAnsi="Times New Roman"/>
          <w:sz w:val="20"/>
        </w:rPr>
        <w:t xml:space="preserve">. The Company shall promptly notify Parent of any Transaction Litigation. Parent shall have the right to participate in the defense of any such Transaction Litigation, the Company shall consult with Parent regarding the defense of any such Transaction Litigation and shall give reasonable and good faith consideration to (i) Parent’s views with respect thereto and (ii) any comments Parent timely provides with respect to, any document production in connection with any Transaction Litigation, and the Company shall not settle or compromise any Transaction Litigation that is stockholder litigation without the prior written consent (not to be unreasonably withheld, conditioned or delayed) of Parent. Following the Effective Time, the Indemnified Persons may continue to retain counsel retained prior to the Effective Time to defend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Parent be required to retain more than one pre-Effective Time counsel for all the Indemnified Persons as a group, unless required by conflicts of interest between or among the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Deregistration</w:t>
      </w:r>
      <w:r>
        <w:rPr>
          <w:rFonts w:ascii="Times New Roman" w:hAnsi="Times New Roman"/>
          <w:sz w:val="20"/>
        </w:rPr>
        <w:t xml:space="preserve">. The Company shall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Shares from Nasdaq and the deregistration of the Shares under the Exchange Act as promptly as reasonably practicable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Financing; Financing Cooperation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Financing Condition</w:t>
      </w:r>
      <w:r>
        <w:rPr>
          <w:rFonts w:ascii="Times New Roman" w:hAnsi="Times New Roman"/>
          <w:sz w:val="20"/>
        </w:rPr>
        <w:t xml:space="preserve">. Parent and Merger Sub each acknowledge and agree that none of obtaining the Equity Financing, obtaining the Debt Financing, or obtaining any other alternate financing is a condition to the Closing, and the failure to obtain any of the Equity Financing, the Debt Financing or any other alternate financing shall not delay or otherwise affect Parent’s and Merger Sub’s obligations to consummate the Transactions in accordance with the terms of this Agreement. For the avoidance of doubt, if any of the Equity Financing, the Debt Financing or other alternate financing have not been obtained, Parent and Merger Sub shall continue to be obligated, until such time as this Agreement is validly terminated in accordance with its terms and conditions,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Amendments</w:t>
      </w:r>
      <w:r>
        <w:rPr>
          <w:rFonts w:ascii="Times New Roman" w:hAnsi="Times New Roman"/>
          <w:sz w:val="20"/>
        </w:rPr>
        <w:t>. Neither Parent nor Merger Sub shall cause, consent to or permit, without the prior written consent of the Company, (i) any cancellation or termination of any of the Commitment Letters or any definitive agreements related to the Financing, or (ii) any amendment or modification to be made to, or any waiver of any provision, right or remedy pursuant to, any Commitment Letter or any definitive agreements related to the Financing (such cancellation, termination, amendment, modification or waiver, being a “</w:t>
      </w:r>
      <w:r>
        <w:rPr>
          <w:rFonts w:ascii="Times New Roman" w:hAnsi="Times New Roman"/>
          <w:sz w:val="20"/>
          <w:u w:val="single"/>
        </w:rPr>
        <w:t>Commitment Letter Modification</w:t>
      </w:r>
      <w:r>
        <w:rPr>
          <w:rFonts w:ascii="Times New Roman" w:hAnsi="Times New Roman"/>
          <w:sz w:val="20"/>
        </w:rPr>
        <w:t xml:space="preserve">”) in each case if such Commitment Letter Modification (A) imposes new or additional conditions or other contingencies or adversely modifies any existing conditions or other contingencies, including by expanding, amending or otherwise modifying any of the conditions or other contingencies, in each case, to the consummation or receipt of all or any portion of the Financing which is required to fund the Required Amount at Closing, (B) reduces the aggregate principal amount of the Debt Financing contemplated in the Debt Commitment Letters (including by changing the amount of fees to be paid or the original issue discount) or the aggregate amount of the Equity Financing contemplated in the Equity Commitment Letter in each case below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 required to fund the Required Amount at Closing, (C) would reasonably be expected to adversely affect the ability of Parent or Merger Sub or any of their Affiliates that are parties to any Commitment Letter to enforce its rights against other parties to the Commitment Letters or the definitive agreements in each case which are required to fund the Required Amount at Closing relative to the ability of Parent or Merger Sub to enforce its rights against the other parties to the Commitment Letters as in effect on the date of this Agreement, (D) would otherwise reasonably be expected to make the timely funding of the Financing which is required to fund the Required Amount at Closing or satisfaction of the conditions to obtaining the Financing which is required to fund the Required Amount at Closing on the date on which the Merger is required to be consummated pursuant to the terms hereof less likely to occur or (E) would otherwise reasonably be expected to prevent, impede or delay the consummation of the Merger and the other Transactions contemplated by this Agreement (each of clauses (A) through (E), a “</w:t>
      </w:r>
      <w:r>
        <w:rPr>
          <w:rFonts w:ascii="Times New Roman" w:hAnsi="Times New Roman"/>
          <w:sz w:val="20"/>
          <w:u w:val="single"/>
        </w:rPr>
        <w:t>Prohibited Modification</w:t>
      </w:r>
      <w:r>
        <w:rPr>
          <w:rFonts w:ascii="Times New Roman" w:hAnsi="Times New Roman"/>
          <w:sz w:val="20"/>
        </w:rPr>
        <w:t xml:space="preserve">”). Each of Parent and Merger Sub shall promptly deliver to the Company true, correct and complete copies of all amendments, modifications or waivers to the Commitment Letters. As applicable, (1) any reference in this Agreement to “Equity Financing,” “Debt Financing” or “Financing” shall include the financing contemplated by the Equity Commitment Letter, the Debt Commitment Letters or other definitive agreement related to the Financing, as the case may be, as amended or modified in express compliance with this </w:t>
      </w:r>
      <w:r>
        <w:rPr>
          <w:rFonts w:ascii="Times New Roman" w:hAnsi="Times New Roman"/>
          <w:sz w:val="20"/>
          <w:u w:val="single"/>
        </w:rPr>
        <w:t>Section 6.13(b)</w:t>
      </w:r>
      <w:r>
        <w:rPr>
          <w:rFonts w:ascii="Times New Roman" w:hAnsi="Times New Roman"/>
          <w:sz w:val="20"/>
        </w:rPr>
        <w:t xml:space="preserve">, and “Equity Commitment Letter,” “Debt Commitment Letter” and any definitive agreement related to the Financing shall include such document as amended or modified in express compliance with this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obtain the Equity Financing as contemplated by the Equity Commitment Letters at the Closing upon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but subject to the satisfaction or, to the extent permitted by Law, waiver of such conditions at the Closing). Parent and Merger Sub shall (A) use their reasonable best efforts to take, or cause to be taken, as promptly as practicable after the date hereof, all actions and to do, or cause to be done, all things necessary to arrange, obtain and consummate the Debt Financing on the Closing Date in accordance with the Definitive Debt Financing Agreements, including using reasonable best efforts to (1) maintain in full force and effect the Commitment Letters, (2) satisfy on a timely basis (or obtain the waiver of) all conditions to funding set forth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any Commitment Letter Modifications other than Prohibited Modifications (such definitive agreements, the “</w:t>
      </w:r>
      <w:r>
        <w:rPr>
          <w:rFonts w:ascii="Times New Roman" w:hAnsi="Times New Roman"/>
          <w:sz w:val="20"/>
          <w:u w:val="single"/>
        </w:rPr>
        <w:t>Definitive Debt Financing Agreements</w:t>
      </w:r>
      <w:r>
        <w:rPr>
          <w:rFonts w:ascii="Times New Roman" w:hAnsi="Times New Roman"/>
          <w:sz w:val="20"/>
        </w:rPr>
        <w:t xml:space="preserve">”) and (B) comply with their obligations under the Commitment Letters and Definitive Debt Financing Agreements and enforce their rights under the Commitment Letters (including through the consummation and prosecution of litigations) if and to the extent necessary to fund the Required Amount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In the event any portion of the Debt Financing which is required to fund the Required Amount at Closing becomes unavailable on the terms and conditions contemplated in the Debt Commitment Letters subject to any Commitment Letter Modifications other than Prohibited Modifications for any reason, or to the extent that Parent reasonably believes that it may not have funds available on the Closing Date that are sufficient to enable it to fund the Required Amount at Closing in full, (A) Parent shall promptly notify the Company in writing (in any event within two (2) Business Days) and (B) Parent and Merger Sub shall use, and shall cause each Equity Investor to use their respective reasonable best efforts to take, or cause to be taken, all actions and to do, or cause to be done, all things necessary to arrange to obtain alternative financing from alternative sources (the “</w:t>
      </w:r>
      <w:r>
        <w:rPr>
          <w:rFonts w:ascii="Times New Roman" w:hAnsi="Times New Roman"/>
          <w:sz w:val="20"/>
          <w:u w:val="single"/>
        </w:rPr>
        <w:t>Alternative Financing</w:t>
      </w:r>
      <w:r>
        <w:rPr>
          <w:rFonts w:ascii="Times New Roman" w:hAnsi="Times New Roman"/>
          <w:sz w:val="20"/>
        </w:rPr>
        <w:t>”) in an amount, when added to the portion of the Financing that is and remains available to Parent, sufficient to consummate the Transactions and satisfy in full the Required Amount at Closing, and to obtain and provide the Company with a copy of, the new financing commitment that provides for such Alternative Financing (the “</w:t>
      </w:r>
      <w:r>
        <w:rPr>
          <w:rFonts w:ascii="Times New Roman" w:hAnsi="Times New Roman"/>
          <w:sz w:val="20"/>
          <w:u w:val="single"/>
        </w:rPr>
        <w:t>Alternative Commitment Letter</w:t>
      </w:r>
      <w:r>
        <w:rPr>
          <w:rFonts w:ascii="Times New Roman" w:hAnsi="Times New Roman"/>
          <w:sz w:val="20"/>
        </w:rPr>
        <w:t xml:space="preserve">”), which Alternative Commitment Letter would not contain any terms or conditions that would have been Prohibited Modifications if the same had been effected through a Commitment Letter Modification of the Debt Commitment Letters (except with the prior written consent of the Company). As applicable, references in this Agreement (x) to the Financing or the Debt Financing shall include any such Alternative Financing, (y) to the Commitment Letters or Debt Commitment Letter shall include any such Alternative Commitment Letters and (z) to the Definitive Debt Financing Agreements shall include the definitive documentation relating to any such Alternative Financing. Parent shall deliver to the Company correct and complete copies of all agreements pursuant to which any such alternative source shall have committed to provide Parent and Merger Sub with any portion of the Financing necessary to fund the Required Amount subject to the same redactions as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w:t>
      </w:r>
      <w:r>
        <w:rPr>
          <w:rFonts w:ascii="Times New Roman" w:hAnsi="Times New Roman"/>
          <w:sz w:val="20"/>
        </w:rPr>
        <w:t xml:space="preserve">. Parent shall (i) keep the Company fully informed on a current basis of the status of its efforts to arrange the Financing, and (ii) provide the Company with copies of all executed definitive agreements related to the Financing. Without limiting the generality of the foregoing, Parent and Merger Sub shall promptly notify the Company, in reasonable detail, (A) of any breach (or any breach threatened in writing) or default (or any event or circumstance that, with notice or lapse of time or both, could reasonably be expected to give rise to any breach or default) by any party to the Commitment Letters, the Definitive Debt Financing Agreements or any other definitive agreements related to the Financing, (B) of the receipt by Parent or Merger Sub of any oral or written notice or communication from any Equity Investor or the Debt Financing Sources with respect to any (1) breach (or any breach threatened in writing), default, termination or repudiation by any party to the Commitment Letters, the Definitive Debt Financing Agreements or any other definitive agreements related to the Financing of any provisions of the Commitment Letter, the Definitive Debt Financing Agreements or such other definitive agreements, or (2) dispute or disagreement between or among any parties to the Commitment Letters, the Definitive Debt Financing Agreements or any other definitive agreements related to the Financing and (C) if for any reason Parent or Merger Sub at any time believes that it will not be able to obtain all or any portion of the Financing needed for the full payment of the Required Amount, or all or any portion of the Debt Financing contemplated by Parent, on the terms, in the manner or from the sources contemplated by the Commitment Letters, the Definitive Debt Financing Agreements or any other definitive agreements related to the Financing, as the case may be. Parent shall provide any information reasonably requested by the Company relating to any of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in the previous sentence as soon as reasonably practicable (but in any event within two (2) Business Days) after the date that the Company delivers a written request therefor to Parent. Parent shall, and shall use its best efforts to cause the Equity Investors and the Debt Financing Sources to, provide the Company and its Representatives with such reasonable access to Parent, the Equity Investors, the Debt Financing Sources, the sources for the Alternative Financing, and their respective Representatives as the Company and its Representatives may reasonably request for the purpose of allowing the Company and its Representatives to understand the status of Parent’s efforts to arrange the Equity Financing and the Debt Financing; </w:t>
      </w:r>
      <w:r>
        <w:rPr>
          <w:rFonts w:ascii="Times New Roman" w:hAnsi="Times New Roman"/>
          <w:sz w:val="20"/>
          <w:u w:val="single"/>
        </w:rPr>
        <w:t>provided</w:t>
      </w:r>
      <w:r>
        <w:rPr>
          <w:rFonts w:ascii="Times New Roman" w:hAnsi="Times New Roman"/>
          <w:sz w:val="20"/>
        </w:rPr>
        <w:t xml:space="preserve"> that, Parent and its Representatives shall be permitted to participate in any such discussions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6.13</w:t>
      </w:r>
      <w:r>
        <w:rPr>
          <w:rFonts w:ascii="Times New Roman" w:hAnsi="Times New Roman"/>
          <w:sz w:val="20"/>
        </w:rPr>
        <w:t xml:space="preserve"> to the contrary, compliance by Parent and Merger Sub with this </w:t>
      </w:r>
      <w:r>
        <w:rPr>
          <w:rFonts w:ascii="Times New Roman" w:hAnsi="Times New Roman"/>
          <w:sz w:val="20"/>
          <w:u w:val="single"/>
        </w:rPr>
        <w:t>Section 6.13</w:t>
      </w:r>
      <w:r>
        <w:rPr>
          <w:rFonts w:ascii="Times New Roman" w:hAnsi="Times New Roman"/>
          <w:sz w:val="20"/>
        </w:rPr>
        <w:t xml:space="preserve"> shall not relieve Parent or Merger Sub of its obligation to consummate the Transactions whether or not the Financing is available and each of Parent and Merger Sub acknowledges that this Agreement and the Transactions, including the Merger, are not contingent on Parent or Merger Sub’s ability to obtain the Financing (or any other alternate financing) or any specific term with respect to such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Effective Time, upon reasonable request by Parent and at Parent’s sole cost and expense, the Company will use its reasonable best efforts, and will cause each of the Company Subsidiaries and its and their respective Representatives, to use its respective reasonable best efforts, to provide such customary cooperation as is reasonably requested in writing by Parent, any Subsidiary of Parent or any of its or their respective Representatives in connection with the arrangement and consummation of the Debt Financing or any other financing (whether in the form of debt securities, a credit or loan facility or otherwise, obtained or proposed to be obtained by Parent, any Parent Subsidiary, Company and/or any Company Subsidiary) and/or any rollover, extension, refinancing and/or amendment of any existing financing of the Company and/or any Company Subsidiary in connection with the consummation of the Transactions, including reasonable best efforts in regard to the following, to: </w:t>
      </w:r>
    </w:p>
    <w:p>
      <w:pPr>
        <w:pStyle w:val="TextBody"/>
        <w:bidi w:val="0"/>
        <w:spacing w:before="120" w:after="0"/>
        <w:jc w:val="left"/>
        <w:rPr>
          <w:rFonts w:ascii="Times New Roman" w:hAnsi="Times New Roman"/>
          <w:sz w:val="20"/>
        </w:rPr>
      </w:pPr>
      <w:r>
        <w:rPr>
          <w:rFonts w:ascii="Times New Roman" w:hAnsi="Times New Roman"/>
          <w:sz w:val="20"/>
        </w:rPr>
        <w:t xml:space="preserve">(A) cooperate with the marketing efforts or due diligence efforts of the Parent or the Debt Financing Sources by causing appropriate senior management of the Company and any Company Subsidiary to participate in a reasonable and limited number of meetings and calls, diligence sessions, drafting sessions, road shows, ratings agency presentations and lender meetings in connection with any Debt Financing or any other financing in connection with the consummation of the Transactions, and in each case which shall be requested reasonably in advance with or by the parties acting as lead arrangers, agents, underwriters or initial purchasers for, and prospective lenders of, the Debt Financing or any other financing in connection with the Transactions and be virtual and at reasonable and mutually agreed times (unless otherwise agreed to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provide the Required Financial Information and such other financial or other information regarding the Company that is reasonably available or within the Company’s possession, in each case, reasonably requested by Parent or the Debt Financing Sources in connection with the timely preparation of customary rating agency presentations, bank information memoranda, offering memoranda and private placement memoranda, credit agreements and similar documents required in connection with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reasonably assist Parent in connection with the execution, delivery, preparation and registration of (but with respect to executing, only to the extent effective at or from the Effective Time) any pledge and security documents and other definitive financing documents (including any schedules and exhibits thereto) as may be reasonably requested by Parent or the Debt Financing Sources, and otherwise reasonably facilitate the pledging of collateral and the granting of security interests in respect of the Debt Financing or any other financing in connection with the Transactions, it being understood that such documents will not take effect until the Effective Time; </w:t>
      </w:r>
    </w:p>
    <w:p>
      <w:pPr>
        <w:pStyle w:val="TextBody"/>
        <w:bidi w:val="0"/>
        <w:spacing w:before="120" w:after="0"/>
        <w:jc w:val="left"/>
        <w:rPr>
          <w:rFonts w:ascii="Times New Roman" w:hAnsi="Times New Roman"/>
          <w:sz w:val="20"/>
        </w:rPr>
      </w:pPr>
      <w:r>
        <w:rPr>
          <w:rFonts w:ascii="Times New Roman" w:hAnsi="Times New Roman"/>
          <w:sz w:val="20"/>
        </w:rPr>
        <w:t>(D) provide Parent with (1) customary payoff letters with respect to any indebtedness for borrowed money which shall provide (x) the total amount required to be paid to fully satisfy the obligations thereunder (other than those obligations expressly permitted to survive thereunder) (the “</w:t>
      </w:r>
      <w:r>
        <w:rPr>
          <w:rFonts w:ascii="Times New Roman" w:hAnsi="Times New Roman"/>
          <w:sz w:val="20"/>
          <w:u w:val="single"/>
        </w:rPr>
        <w:t>Payoff Amount</w:t>
      </w:r>
      <w:r>
        <w:rPr>
          <w:rFonts w:ascii="Times New Roman" w:hAnsi="Times New Roman"/>
          <w:sz w:val="20"/>
        </w:rPr>
        <w:t xml:space="preserve">”), (y) wire instructions for payment of such Payoff Amount, and (z) that upon payment of the Payoff Amount set forth in such payoff letter, all guarantees and Liens, if any, in connection therewith shall be released and terminated and (2) other customary documents and deliverables to release and terminate all related guarantees and Liens, if any; </w:t>
      </w:r>
    </w:p>
    <w:p>
      <w:pPr>
        <w:pStyle w:val="TextBody"/>
        <w:bidi w:val="0"/>
        <w:spacing w:before="120" w:after="0"/>
        <w:jc w:val="left"/>
        <w:rPr>
          <w:rFonts w:ascii="Times New Roman" w:hAnsi="Times New Roman"/>
          <w:sz w:val="20"/>
        </w:rPr>
      </w:pPr>
      <w:r>
        <w:rPr>
          <w:rFonts w:ascii="Times New Roman" w:hAnsi="Times New Roman"/>
          <w:sz w:val="20"/>
        </w:rPr>
        <w:t xml:space="preserve">(E) furnish Parent and the Debt Financing Sources with customary authorization and representation letters, and such necessary documentation and other information to the extent required by regulatory authorities pursuant to applicable “know your customer” and anti-money laundering rules and regulations, including the PATRIOT Act and the requirements of 31 C.F.R. §1010.230 to the extent requested at least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cause its independent accountants to provide customary assistance and cooperation with any offering of securities including (x) providing any customary “comfort” letters (including customary “negative assurance” comfort), reports and consents and (y) participating in customary accounting due diligence sessions; </w:t>
      </w:r>
    </w:p>
    <w:p>
      <w:pPr>
        <w:pStyle w:val="TextBody"/>
        <w:bidi w:val="0"/>
        <w:spacing w:before="120" w:after="0"/>
        <w:jc w:val="left"/>
        <w:rPr>
          <w:rFonts w:ascii="Times New Roman" w:hAnsi="Times New Roman"/>
          <w:sz w:val="20"/>
        </w:rPr>
      </w:pPr>
      <w:r>
        <w:rPr>
          <w:rFonts w:ascii="Times New Roman" w:hAnsi="Times New Roman"/>
          <w:sz w:val="20"/>
        </w:rPr>
        <w:t xml:space="preserve">(G) cooperate with the Debt Financing Sources’ due diligence, to the extent customary or reasonable, including provision of customary documentary diligence through a virtual data room and delivery of any customary certificates by the Chief Financial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provide, as promptly as reasonably practicable, all financial and other customary financial information regarding the Company and the Company Subsidiaries as may be reasonably necessary for Parent to prepare pro forma financial statements required for a public offering of debt securities or required by Regulation S-K and Regulation S-X, including in connection with the Debt Financing or any other financing in connection with the Transactions (it being understood that Parent shall be solely responsible for the preparation of any pro forma financial information or pro forma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 cooperate with the preparation and delivery by Parent of customary definitive financing documents, including, in each case, the schedules thereto, or documents contemplated by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provide customary guarantee documentation at the Closing of the Debt Financing or any other financing in connection with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(K) comply with customary publicity guidelines with respect to a high yield offering pursuant to Rule 144A/Regulation S under the Securities Act, including refraining from public comment related to the Debt Financing or any other financing in connection with the Transactions without the prior consent of the Parent, except as may be required by law or regulation or as expressly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Notwithstanding the provisions of </w:t>
      </w:r>
      <w:r>
        <w:rPr>
          <w:rFonts w:ascii="Times New Roman" w:hAnsi="Times New Roman"/>
          <w:sz w:val="20"/>
          <w:u w:val="single"/>
        </w:rPr>
        <w:t>Section 6.13(f)(i)</w:t>
      </w:r>
      <w:r>
        <w:rPr>
          <w:rFonts w:ascii="Times New Roman" w:hAnsi="Times New Roman"/>
          <w:sz w:val="20"/>
        </w:rPr>
        <w:t xml:space="preserve"> or any other provision of this Agreement, nothing in this Agreement will require the Company, any of the Company Subsidiaries or any of their Affiliates to (A) waive or amend any terms of this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w:t>
      </w:r>
      <w:r>
        <w:rPr>
          <w:rFonts w:ascii="Times New Roman" w:hAnsi="Times New Roman"/>
          <w:sz w:val="20"/>
          <w:u w:val="single"/>
        </w:rPr>
        <w:t>provided</w:t>
      </w:r>
      <w:r>
        <w:rPr>
          <w:rFonts w:ascii="Times New Roman" w:hAnsi="Times New Roman"/>
          <w:sz w:val="20"/>
        </w:rPr>
        <w:t xml:space="preserve"> that the Company and Company Subsidiaries shall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this Agreement to be breached, cause any condition to the Closing to fail to be satisfied or otherwise cause any breach of this Agreement, (H) prepare or deliver any Excluded Information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w:t>
      </w:r>
      <w:r>
        <w:rPr>
          <w:rFonts w:ascii="Times New Roman" w:hAnsi="Times New Roman"/>
          <w:sz w:val="20"/>
          <w:u w:val="single"/>
        </w:rPr>
        <w:t>provided</w:t>
      </w:r>
      <w:r>
        <w:rPr>
          <w:rFonts w:ascii="Times New Roman" w:hAnsi="Times New Roman"/>
          <w:sz w:val="20"/>
        </w:rPr>
        <w:t xml:space="preserve"> that the Company and the Company Subsidiaries shall use commercially reasonable efforts to provide an alternative means of disclosing or providing such information. In addition, (x) no action, liability or obligation of the Company, any of the Company Subsidiaries or any of their respective Representatives pursuant to any certificate, agreement, arrangement, document or instrument relating to the Debt Financing will be effective until the Effective Time, and neither the Company nor any of the Company Subsidiaries will be required to take any action pursuant to any certificate, agreement, arrangement, document or instrument (including being an issuer or other obligor with respect to the Debt Financing) that is not contingent on the occurrence of the Closing or that must be effective prior to the Effective Time or that would not terminate without liability to such Persons or any of their Affiliates upon the termination of this Agreement, in each case other than the execution of customary authorization and representation letters and certificates, and (y) any bank information memoranda required in relation to the Debt Financing will contain disclosure and financial statements reflecting the Surviving Corporation or its Subsidiaries as the obligor. In addition, nothing in this </w:t>
      </w:r>
      <w:r>
        <w:rPr>
          <w:rFonts w:ascii="Times New Roman" w:hAnsi="Times New Roman"/>
          <w:sz w:val="20"/>
          <w:u w:val="single"/>
        </w:rPr>
        <w:t>Section 6.13</w:t>
      </w:r>
      <w:r>
        <w:rPr>
          <w:rFonts w:ascii="Times New Roman" w:hAnsi="Times New Roman"/>
          <w:sz w:val="20"/>
        </w:rPr>
        <w:t xml:space="preserve"> will require (x) any Representative of the Company or any of the Company Subsidiaries to deliver any certificate or opinion or take any other action that would reasonably be expected to result in personal liability to such Representative or (y) the members of the Company Board of Directors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Confidentiality</w:t>
      </w:r>
      <w:r>
        <w:rPr>
          <w:rFonts w:ascii="Times New Roman" w:hAnsi="Times New Roman"/>
          <w:sz w:val="20"/>
        </w:rPr>
        <w:t xml:space="preserve">. All non-public or other confidential information provided by the Company, the Company Subsidiaries or any of their respective Representatives pursuant to this Agreement shall be kept confidential in accordance with the Confidentiality Agreement. Notwithstanding anything to the contrary contained herein, Parent and Merger Sub shall obtain the Company’s prior written consent prior to disclosing any Confidential Information (as defined in the Confidentiality Agreement) to the Equity Investors, the Debt Financing Sources or other potential financing sources (debt, equity or otherwise) to the extent required and in accordance with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Company Reimbursement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request by the Company, Parent shall as promptly as practicable (and in any event within five (5) Business Days of receipt of invoice) reimburse the Company and the Company Subsidiaries for all reasonable and documented out-of-pocket costs and expenses (including accounting and legal fees and expenses) incurred by the Company and any of the Company Subsidiaries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Parent shall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and any information utilized in connection therewith except to the extent resulting from fraud, bad faith, gross negligence or Willful Breach of this Agreement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Parent’s indemnification obligations under this </w:t>
      </w:r>
      <w:r>
        <w:rPr>
          <w:rFonts w:ascii="Times New Roman" w:hAnsi="Times New Roman"/>
          <w:sz w:val="20"/>
          <w:u w:val="single"/>
        </w:rPr>
        <w:t>Section 6.13(h)</w:t>
      </w:r>
      <w:r>
        <w:rPr>
          <w:rFonts w:ascii="Times New Roman" w:hAnsi="Times New Roman"/>
          <w:sz w:val="20"/>
        </w:rPr>
        <w:t xml:space="preserve">, the Company hereby consents to the customary use of its and the Company Subsidiaries’ logos and trademarks in connection with the Debt Financing and any other financing in connection with the Transactions; </w:t>
      </w:r>
      <w:r>
        <w:rPr>
          <w:rFonts w:ascii="Times New Roman" w:hAnsi="Times New Roman"/>
          <w:sz w:val="20"/>
          <w:u w:val="single"/>
        </w:rPr>
        <w:t>provided</w:t>
      </w:r>
      <w:r>
        <w:rPr>
          <w:rFonts w:ascii="Times New Roman" w:hAnsi="Times New Roman"/>
          <w:sz w:val="20"/>
        </w:rPr>
        <w:t xml:space="preserve"> that such name and logos shall be used solely in a manner that is not intended or reasonably likely to harm, disparage or otherwise adversely affect in any material respect the Company, any of the Company Subsidiaries or any of its or their respective Affiliates or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(iv) The obligations under </w:t>
      </w:r>
      <w:r>
        <w:rPr>
          <w:rFonts w:ascii="Times New Roman" w:hAnsi="Times New Roman"/>
          <w:sz w:val="20"/>
          <w:u w:val="single"/>
        </w:rPr>
        <w:t>Section 6.13(f)</w:t>
      </w:r>
      <w:r>
        <w:rPr>
          <w:rFonts w:ascii="Times New Roman" w:hAnsi="Times New Roman"/>
          <w:sz w:val="20"/>
        </w:rPr>
        <w:t xml:space="preserve"> are the sole obligations of the Company and the Company Subsidiaries with respect to the Debt Financing and no other provision of this Agreement shall be deemed to expand or modify such obligations. Notwithstanding anything herein to the contrary, except for a Willful Breach of the provisions of this </w:t>
      </w:r>
      <w:r>
        <w:rPr>
          <w:rFonts w:ascii="Times New Roman" w:hAnsi="Times New Roman"/>
          <w:sz w:val="20"/>
          <w:u w:val="single"/>
        </w:rPr>
        <w:t>Section 6.13</w:t>
      </w:r>
      <w:r>
        <w:rPr>
          <w:rFonts w:ascii="Times New Roman" w:hAnsi="Times New Roman"/>
          <w:sz w:val="20"/>
        </w:rPr>
        <w:t xml:space="preserve"> that was the primary cause of the failure of the Debt Financing to be available, the Company’s breach of or non-compliance with any provisions of this </w:t>
      </w:r>
      <w:r>
        <w:rPr>
          <w:rFonts w:ascii="Times New Roman" w:hAnsi="Times New Roman"/>
          <w:sz w:val="20"/>
          <w:u w:val="single"/>
        </w:rPr>
        <w:t>Section 6.13</w:t>
      </w:r>
      <w:r>
        <w:rPr>
          <w:rFonts w:ascii="Times New Roman" w:hAnsi="Times New Roman"/>
          <w:sz w:val="20"/>
        </w:rPr>
        <w:t xml:space="preserve"> shall not be deemed to result in the failure of any of the conditions to Closing set forth in </w:t>
      </w:r>
      <w:r>
        <w:rPr>
          <w:rFonts w:ascii="Times New Roman" w:hAnsi="Times New Roman"/>
          <w:sz w:val="20"/>
          <w:u w:val="single"/>
        </w:rPr>
        <w:t>Article VII</w:t>
      </w:r>
      <w:r>
        <w:rPr>
          <w:rFonts w:ascii="Times New Roman" w:hAnsi="Times New Roman"/>
          <w:sz w:val="20"/>
        </w:rPr>
        <w:t xml:space="preserve"> or any right of Parent or Merger Sub to terminate this Agreement under </w:t>
      </w:r>
      <w:r>
        <w:rPr>
          <w:rFonts w:ascii="Times New Roman" w:hAnsi="Times New Roman"/>
          <w:sz w:val="20"/>
          <w:u w:val="single"/>
        </w:rPr>
        <w:t>Article VIII</w:t>
      </w:r>
      <w:r>
        <w:rPr>
          <w:rFonts w:ascii="Times New Roman" w:hAnsi="Times New Roman"/>
          <w:sz w:val="20"/>
        </w:rPr>
        <w:t xml:space="preserve"> and the Company shall be deemed to have performed and complied in all material respects with such obligations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Certain Constraints</w:t>
      </w:r>
      <w:r>
        <w:rPr>
          <w:rFonts w:ascii="Times New Roman" w:hAnsi="Times New Roman"/>
          <w:sz w:val="20"/>
        </w:rPr>
        <w:t xml:space="preserve">. Parent and Merger Sub shall not, and Parent shall cause its Affiliates, the Equity Investors and the Debt Financing Sources not to, enter into any Contract or other understanding or arrangement that would reasonably be expected to prohibit or seek to prohibit any bank, investment bank or other potential provider of debt or equity financing from providing or seek to provide debt or equity financing or financial advisory services to any Person in connection with a Competing Proposal or any other transaction relating to the Company or any of the Company Subsidiaries. Parent and Merger Sub acknowledge and agree that, in the event any Person who becomes an Affiliate of Parent after the date hereof takes any action that is prohibited by this </w:t>
      </w:r>
      <w:r>
        <w:rPr>
          <w:rFonts w:ascii="Times New Roman" w:hAnsi="Times New Roman"/>
          <w:sz w:val="20"/>
          <w:u w:val="single"/>
        </w:rPr>
        <w:t>Section 6.13(i)</w:t>
      </w:r>
      <w:r>
        <w:rPr>
          <w:rFonts w:ascii="Times New Roman" w:hAnsi="Times New Roman"/>
          <w:sz w:val="20"/>
        </w:rPr>
        <w:t xml:space="preserve"> in circumstances where Parent shall have failed to prevent such Affiliate from taking such prohibited action, such action shall be deemed to be a breach of this </w:t>
      </w:r>
      <w:r>
        <w:rPr>
          <w:rFonts w:ascii="Times New Roman" w:hAnsi="Times New Roman"/>
          <w:sz w:val="20"/>
          <w:u w:val="single"/>
        </w:rPr>
        <w:t>Section 6.13(i)</w:t>
      </w:r>
      <w:r>
        <w:rPr>
          <w:rFonts w:ascii="Times New Roman" w:hAnsi="Times New Roman"/>
          <w:sz w:val="20"/>
        </w:rPr>
        <w:t xml:space="preserve"> by Parent and Merger Sub, even if the Person taking such action was not an Affiliate of Parent at the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Joint and Several Obligations</w:t>
      </w:r>
      <w:r>
        <w:rPr>
          <w:rFonts w:ascii="Times New Roman" w:hAnsi="Times New Roman"/>
          <w:sz w:val="20"/>
        </w:rPr>
        <w:t xml:space="preserve">. The obligations of Parent and Merger Sub with respect to the Debt Financing and the Debt Commitment Letters shall be joint and several obligations of Parent, Merger Sub, and of each Affiliate of Parent that is a party to any of the Debt Commitment Letters, which obligations shall be assumed by each such Affiliate that is a party to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CVR Agreement</w:t>
      </w:r>
      <w:r>
        <w:rPr>
          <w:rFonts w:ascii="Times New Roman" w:hAnsi="Times New Roman"/>
          <w:sz w:val="20"/>
        </w:rPr>
        <w:t>. At or prior to the Effective Time, Parent shall duly execute and deliver, and Parent shall cause the Rights Agent to duly execute and deliver, the CVR Agreement, subject to any reasonable revisions to the CVR Agreement that are requested by the Rights Agent and approved prior to the Effective Time by Parent and the Company (which approval by both parties shall not be unreasonably withheld, conditioned or delayed). Parent and the Company and their respective Representatives shall cooperate in good faith with each other (a) regarding the Tax treatment of and Tax reporting with respect to the CVR Agreement and payments in the form of or with respect to any CVR,</w:t>
      </w:r>
      <w:r>
        <w:rPr>
          <w:rFonts w:ascii="Times New Roman" w:hAnsi="Times New Roman"/>
          <w:sz w:val="20"/>
          <w:u w:val="single"/>
        </w:rPr>
        <w:t xml:space="preserve"> </w:t>
      </w:r>
      <w:r>
        <w:rPr>
          <w:rFonts w:ascii="Times New Roman" w:hAnsi="Times New Roman"/>
          <w:sz w:val="20"/>
        </w:rPr>
        <w:t xml:space="preserve">and (b) as necessary to ensure that the CVRs are not subject to registration under the Securities Act, the Exchange Act or any applicable state securities or “blue sky” laws, including by making changes to the form of CVR Agreement approved prior to the Effective Time by Parent and the Company (which approval by both parties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Company Convertible Notes</w:t>
      </w:r>
      <w:r>
        <w:rPr>
          <w:rFonts w:ascii="Times New Roman" w:hAnsi="Times New Roman"/>
          <w:sz w:val="20"/>
        </w:rPr>
        <w:t xml:space="preserve">. The Company shall timely provide or cause to be provided, in accordance with the provisions of the Indenture, all supplemental indenture, notices, announcements, certificates and legal opinions required by the Indenture to be provided in connection with the Merger prior to the Effective Time, and use its reasonable best efforts to take all other actions that may be required to be taken prior to or at the Effective Time under the terms of the Company Convertible Notes and the Indenture as a result of the Transactions, including for the avoidance of doubt as a result of the Transactions constituting a “Fundamental Change” or “Make-Whole Fundamental Change” (as such terms are defined in the Indenture). Parent and its counsel shall be provided with copies of any such supplemental indenture, notice, announcement, certificate or legal opinion, in each case at least five (5) Business Days prior to the delivery to the recipients thereof, and the Company shall give reasonable and good faith consideration to any comments made by Parent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Further Assurance</w:t>
      </w:r>
      <w:r>
        <w:rPr>
          <w:rFonts w:ascii="Times New Roman" w:hAnsi="Times New Roman"/>
          <w:sz w:val="20"/>
        </w:rPr>
        <w:t xml:space="preserve">. At and after the Effective Time, the officers and directors of the Surviving Corporation shall be authorized to execute and deliver, in the name and on behalf of the Company or Merger Sub, any agreements, instruments, deeds, bills of sale, assignments, assurances or other documents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Director Resignations</w:t>
      </w:r>
      <w:r>
        <w:rPr>
          <w:rFonts w:ascii="Times New Roman" w:hAnsi="Times New Roman"/>
          <w:sz w:val="20"/>
        </w:rPr>
        <w:t xml:space="preserve">. The Company shall use reasonable best efforts to cause each director of the Company immediately prior to the Effective Time to resign from the Company Board of Directors, to be effective as of, and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Certain Tax Matters</w:t>
      </w:r>
      <w:r>
        <w:rPr>
          <w:rFonts w:ascii="Times New Roman" w:hAnsi="Times New Roman"/>
          <w:sz w:val="20"/>
        </w:rPr>
        <w:t xml:space="preserve">. At Parent’s request, the Company shall reasonably cooperate with Parent to provide information regarding the Company and its Subsidiaries and/or the Company’s shareholders in connection with the preparation and submission by Parent or its Affiliates of a request to the Internal Revenue Service for a private letter ruling to the effect that the Transactions will satisfy the </w:t>
      </w:r>
      <w:r>
        <w:rPr>
          <w:rFonts w:ascii="Times New Roman" w:hAnsi="Times New Roman"/>
          <w:i/>
          <w:sz w:val="20"/>
        </w:rPr>
        <w:t xml:space="preserve">de minimis </w:t>
      </w:r>
      <w:r>
        <w:rPr>
          <w:rFonts w:ascii="Times New Roman" w:hAnsi="Times New Roman"/>
          <w:sz w:val="20"/>
        </w:rPr>
        <w:t>exception under Section 1.7874-10 of the Treasury Regulations (the “</w:t>
      </w:r>
      <w:r>
        <w:rPr>
          <w:rFonts w:ascii="Times New Roman" w:hAnsi="Times New Roman"/>
          <w:sz w:val="20"/>
          <w:u w:val="single"/>
        </w:rPr>
        <w:t>PLR Request</w:t>
      </w:r>
      <w:r>
        <w:rPr>
          <w:rFonts w:ascii="Times New Roman" w:hAnsi="Times New Roman"/>
          <w:sz w:val="20"/>
        </w:rPr>
        <w:t xml:space="preserve">”). Such cooperation shall include, without limitation, the provision of records and information (to the extent in the Company’s or its Subsidiaries’ possession) that are reasonably relevant to the PLR Request or requested by the Internal Revenue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Conditions to Each Party’s Obligations to Effect the Merger</w:t>
      </w:r>
      <w:r>
        <w:rPr>
          <w:rFonts w:ascii="Times New Roman" w:hAnsi="Times New Roman"/>
          <w:sz w:val="20"/>
        </w:rPr>
        <w:t xml:space="preserve">. The respective obligations of each party to effect the Merger shall be subject to the satisfaction on or prior to the Closing Date of each of the following conditions, any and all of which may be waived in writing in whole or in part by Parent, Merger Sub and the Company, as the case may be,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Statutes; Court Orders</w:t>
      </w:r>
      <w:r>
        <w:rPr>
          <w:rFonts w:ascii="Times New Roman" w:hAnsi="Times New Roman"/>
          <w:sz w:val="20"/>
        </w:rPr>
        <w:t xml:space="preserve">. No order, injunction, decree or decision issued by any Governmental Entity preventing the consummation of the Merger shall be in effect, and no statute, rule or regulation shall have been enacted, entered, promulgated or enforced, and still be in effect, by any Governmental Entity that prohibits or makes illegal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w:t>
      </w:r>
      <w:r>
        <w:rPr>
          <w:rFonts w:ascii="Times New Roman" w:hAnsi="Times New Roman"/>
          <w:sz w:val="20"/>
        </w:rPr>
        <w:t xml:space="preserve">. (i) The applicable waiting period (or extensions thereof) with respect to the Merger under the HSR Act shall have expired or otherwise been terminated, (ii) no voluntary agreement between the parties and a Governmental Entity not to consummate the Merger shall be in effect, and (iii) the approvals, filings, notifications, clearances or expirations or terminations of waiting periods set forth in </w:t>
      </w:r>
      <w:r>
        <w:rPr>
          <w:rFonts w:ascii="Times New Roman" w:hAnsi="Times New Roman"/>
          <w:sz w:val="20"/>
          <w:u w:val="single"/>
        </w:rPr>
        <w:t>Section 7.1(c)</w:t>
      </w:r>
      <w:r>
        <w:rPr>
          <w:rFonts w:ascii="Times New Roman" w:hAnsi="Times New Roman"/>
          <w:sz w:val="20"/>
        </w:rPr>
        <w:t xml:space="preserve"> of the Company Disclosure Schedule shall have occurred or been obtained, made or waived,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waiver in writing by Parent,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 3.1(a)</w:t>
      </w:r>
      <w:r>
        <w:rPr>
          <w:rFonts w:ascii="Times New Roman" w:hAnsi="Times New Roman"/>
          <w:sz w:val="20"/>
        </w:rPr>
        <w:t xml:space="preserve">,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(ii) the representations and warranties of the Company set forth in </w:t>
      </w:r>
      <w:r>
        <w:rPr>
          <w:rFonts w:ascii="Times New Roman" w:hAnsi="Times New Roman"/>
          <w:sz w:val="20"/>
          <w:u w:val="single"/>
        </w:rPr>
        <w:t>Section 3.7(b)</w:t>
      </w:r>
      <w:r>
        <w:rPr>
          <w:rFonts w:ascii="Times New Roman" w:hAnsi="Times New Roman"/>
          <w:sz w:val="20"/>
        </w:rPr>
        <w:t xml:space="preserve"> shall be true and correct as of immediately prior to the Closing Date as though made as of such time, (iii) the representations and warranties of the Company set forth in </w:t>
      </w:r>
      <w:r>
        <w:rPr>
          <w:rFonts w:ascii="Times New Roman" w:hAnsi="Times New Roman"/>
          <w:sz w:val="20"/>
          <w:u w:val="single"/>
        </w:rPr>
        <w:t>Section 3.2(a)</w:t>
      </w:r>
      <w:r>
        <w:rPr>
          <w:rFonts w:ascii="Times New Roman" w:hAnsi="Times New Roman"/>
          <w:sz w:val="20"/>
        </w:rPr>
        <w:t xml:space="preserve"> and the first sentence of </w:t>
      </w:r>
      <w:r>
        <w:rPr>
          <w:rFonts w:ascii="Times New Roman" w:hAnsi="Times New Roman"/>
          <w:sz w:val="20"/>
          <w:u w:val="single"/>
        </w:rPr>
        <w:t xml:space="preserve">Section 3.2(c) </w:t>
      </w:r>
      <w:r>
        <w:rPr>
          <w:rFonts w:ascii="Times New Roman" w:hAnsi="Times New Roman"/>
          <w:sz w:val="20"/>
        </w:rPr>
        <w:t xml:space="preserve">shall be true and correct as of immediately prior to the Closing Date as though made as of such time (except that representations and warranties that expressly speak specifically as of the date of this Agreement or another date shall be true and correct as of such date), except for </w:t>
      </w:r>
      <w:r>
        <w:rPr>
          <w:rFonts w:ascii="Times New Roman" w:hAnsi="Times New Roman"/>
          <w:i/>
          <w:sz w:val="20"/>
        </w:rPr>
        <w:t>de minimis</w:t>
      </w:r>
      <w:r>
        <w:rPr>
          <w:rFonts w:ascii="Times New Roman" w:hAnsi="Times New Roman"/>
          <w:sz w:val="20"/>
        </w:rPr>
        <w:t xml:space="preserve"> inaccuracies and (iv) all other representations and warranties of the Company set forth in </w:t>
      </w:r>
      <w:r>
        <w:rPr>
          <w:rFonts w:ascii="Times New Roman" w:hAnsi="Times New Roman"/>
          <w:sz w:val="20"/>
          <w:u w:val="single"/>
        </w:rPr>
        <w:t>Article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III</w:t>
      </w:r>
      <w:r>
        <w:rPr>
          <w:rFonts w:ascii="Times New Roman" w:hAnsi="Times New Roman"/>
          <w:sz w:val="20"/>
        </w:rPr>
        <w:t xml:space="preserve"> (other than those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be true and correct (without giving effect to any qualification as to materiality or Company Material Adverse Effect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or complied in all material respects with all obligations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Since the date of this Agreement, no Company Material Adverse Effect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Officer’s Certificate</w:t>
      </w:r>
      <w:r>
        <w:rPr>
          <w:rFonts w:ascii="Times New Roman" w:hAnsi="Times New Roman"/>
          <w:sz w:val="20"/>
        </w:rPr>
        <w:t xml:space="preserve">. Parent shall have received a certificate signed by an executive officer on behalf of the Company, dated as of the Closing Date, to the effect that the conditions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Conditions to Obligations of the Company</w:t>
      </w:r>
      <w:r>
        <w:rPr>
          <w:rFonts w:ascii="Times New Roman" w:hAnsi="Times New Roman"/>
          <w:sz w:val="20"/>
        </w:rPr>
        <w:t xml:space="preserve">. The obligations of the Company to effect the Merger are also subject to the satisfaction (or waiver in writing by the Company,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Parent and Merger Sub set forth in (i)</w:t>
      </w:r>
      <w:r>
        <w:rPr>
          <w:rFonts w:ascii="Times New Roman" w:hAnsi="Times New Roman"/>
          <w:sz w:val="20"/>
          <w:u w:val="single"/>
        </w:rPr>
        <w:t> Section 4.1</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and (ii)</w:t>
      </w:r>
      <w:r>
        <w:rPr>
          <w:rFonts w:ascii="Times New Roman" w:hAnsi="Times New Roman"/>
          <w:sz w:val="20"/>
          <w:u w:val="single"/>
        </w:rPr>
        <w:t> Article IV</w:t>
      </w:r>
      <w:r>
        <w:rPr>
          <w:rFonts w:ascii="Times New Roman" w:hAnsi="Times New Roman"/>
          <w:sz w:val="20"/>
        </w:rPr>
        <w:t xml:space="preserve"> not described in the foregoing </w:t>
      </w:r>
      <w:r>
        <w:rPr>
          <w:rFonts w:ascii="Times New Roman" w:hAnsi="Times New Roman"/>
          <w:sz w:val="20"/>
          <w:u w:val="single"/>
        </w:rPr>
        <w:t>clause (i)</w:t>
      </w:r>
      <w:r>
        <w:rPr>
          <w:rFonts w:ascii="Times New Roman" w:hAnsi="Times New Roman"/>
          <w:sz w:val="20"/>
        </w:rPr>
        <w:t xml:space="preserve"> shall be true and correct (without giving effect to any materiality or similar qualification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or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performed or complied in all material respects with all obligations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Officer’s Certificate</w:t>
      </w:r>
      <w:r>
        <w:rPr>
          <w:rFonts w:ascii="Times New Roman" w:hAnsi="Times New Roman"/>
          <w:sz w:val="20"/>
        </w:rPr>
        <w:t xml:space="preserve">. The Company shall have received a certificate signed by an executive officer on behalf of Parent, dated as of the Closing Date, to the effect that the conditions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CVR Agreement</w:t>
      </w:r>
      <w:r>
        <w:rPr>
          <w:rFonts w:ascii="Times New Roman" w:hAnsi="Times New Roman"/>
          <w:sz w:val="20"/>
        </w:rPr>
        <w:t xml:space="preserve">. The CVR Agreement shall have been executed and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This Agreement may be terminated at any time (except as otherwise provided below, whether before or after receipt of the Requisite Stockholder Approval, if applicable)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has not made the Regulatory Commitment in writing to the Company within ten (10) Business Days of the Company’s written request following receipt of a Staff Recommendation;</w:t>
      </w:r>
      <w:r>
        <w:rPr>
          <w:rFonts w:ascii="Times New Roman" w:hAnsi="Times New Roman"/>
          <w:sz w:val="20"/>
          <w:u w:val="single"/>
        </w:rPr>
        <w:t xml:space="preserve"> 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the Company if the Company’s breach, in any material respect, of its obligations set forth in </w:t>
      </w:r>
      <w:r>
        <w:rPr>
          <w:rFonts w:ascii="Times New Roman" w:hAnsi="Times New Roman"/>
          <w:sz w:val="20"/>
          <w:u w:val="single"/>
        </w:rPr>
        <w:t>Section 6.2</w:t>
      </w:r>
      <w:r>
        <w:rPr>
          <w:rFonts w:ascii="Times New Roman" w:hAnsi="Times New Roman"/>
          <w:sz w:val="20"/>
        </w:rPr>
        <w:t xml:space="preserve"> has been the primary cause of a Burdensome Condition Requirement; </w:t>
      </w:r>
      <w:r>
        <w:rPr>
          <w:rFonts w:ascii="Times New Roman" w:hAnsi="Times New Roman"/>
          <w:sz w:val="20"/>
          <w:u w:val="single"/>
        </w:rPr>
        <w:t xml:space="preserve">provided, further, </w:t>
      </w:r>
      <w:r>
        <w:rPr>
          <w:rFonts w:ascii="Times New Roman" w:hAnsi="Times New Roman"/>
          <w:sz w:val="20"/>
        </w:rPr>
        <w:t xml:space="preserve">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only be available for ten (10)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Parent,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(B) a Burdensome Condition Requirement exists, and (C) Parent has not made the Regulatory Commitment in writing to the Company;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Parent if Parent’s breach, in any material respect, of its obligations set forth in </w:t>
      </w:r>
      <w:r>
        <w:rPr>
          <w:rFonts w:ascii="Times New Roman" w:hAnsi="Times New Roman"/>
          <w:sz w:val="20"/>
          <w:u w:val="single"/>
        </w:rPr>
        <w:t xml:space="preserve">Section 6.2 </w:t>
      </w:r>
      <w:r>
        <w:rPr>
          <w:rFonts w:ascii="Times New Roman" w:hAnsi="Times New Roman"/>
          <w:sz w:val="20"/>
        </w:rPr>
        <w:t>has been the primary cause of a Burdensome Condition Requirement;</w:t>
      </w:r>
      <w:r>
        <w:rPr>
          <w:rFonts w:ascii="Times New Roman" w:hAnsi="Times New Roman"/>
          <w:sz w:val="20"/>
          <w:u w:val="single"/>
        </w:rPr>
        <w:t xml:space="preserve"> provided, further</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only be available for two (2)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by either Parent or the Company, if the Effective Time shall not have occurred by 11:59 p.m. Eastern Time on May 2, 2027 (the “</w:t>
      </w:r>
      <w:r>
        <w:rPr>
          <w:rFonts w:ascii="Times New Roman" w:hAnsi="Times New Roman"/>
          <w:sz w:val="20"/>
          <w:u w:val="single"/>
        </w:rPr>
        <w:t>Outside Date</w:t>
      </w:r>
      <w:r>
        <w:rPr>
          <w:rFonts w:ascii="Times New Roman" w:hAnsi="Times New Roman"/>
          <w:sz w:val="20"/>
        </w:rPr>
        <w:t xml:space="preserve">,” which may be extended pursuant to this </w:t>
      </w:r>
      <w:r>
        <w:rPr>
          <w:rFonts w:ascii="Times New Roman" w:hAnsi="Times New Roman"/>
          <w:sz w:val="20"/>
          <w:u w:val="single"/>
        </w:rPr>
        <w:t>Section 8.1(d)) (provided, however</w:t>
      </w:r>
      <w:r>
        <w:rPr>
          <w:rFonts w:ascii="Times New Roman" w:hAnsi="Times New Roman"/>
          <w:sz w:val="20"/>
        </w:rPr>
        <w:t xml:space="preserve">, if there is a Government Closure that causes the Parties to be unable to make any filing required under the HSR Act, then the Outside Date shall automatically be extended for a Business Day period equal to the number of Business Days such Government Closure is in effect plus ten (10) Business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Outside Date shall not be extended beyond November 30, 2027); </w:t>
      </w:r>
      <w:r>
        <w:rPr>
          <w:rFonts w:ascii="Times New Roman" w:hAnsi="Times New Roman"/>
          <w:sz w:val="20"/>
          <w:u w:val="single"/>
        </w:rPr>
        <w:t>provided</w:t>
      </w:r>
      <w:r>
        <w:rPr>
          <w:rFonts w:ascii="Times New Roman" w:hAnsi="Times New Roman"/>
          <w:sz w:val="20"/>
        </w:rPr>
        <w:t xml:space="preserve">, that the Outside Date will be extended for a single additional period until the earlier of (x) November 30, 2027 and (y) the date that is three (3) months following the Outside Date in effect prior to giving effect to this proviso if, (A) as of the Outside Date, all of the conditions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shall have made the Regulatory Commitment in writing to the Company within ten (10) Business Days of the Company’s written request following receipt of a Staff Recommendation, if the Company has made such a written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8.1(d)</w:t>
      </w:r>
      <w:r>
        <w:rPr>
          <w:rFonts w:ascii="Times New Roman" w:hAnsi="Times New Roman"/>
          <w:sz w:val="20"/>
        </w:rPr>
        <w:t xml:space="preserve"> shall (1) not be available to any party whose breach, in any material respect, of any representation, warranty, covenant or agreement set forth in this Agreement has been the primary cause of the Effective Time not occurring prior to the Outside Date, and (2) be subject to the proviso set forth in Section 8.1(k);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(ii) any statute, rule or regulation has been enacted, entered, promulgated or enforced by a Governmental Entity of competent jurisdiction, which statute, rule or regulation prohibits, makes illegal or enjoins the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8.1(e)</w:t>
      </w:r>
      <w:r>
        <w:rPr>
          <w:rFonts w:ascii="Times New Roman" w:hAnsi="Times New Roman"/>
          <w:sz w:val="20"/>
        </w:rPr>
        <w:t xml:space="preserve"> shall not be available to a party if the issuance of such permanent injunction or other final and non-appealable order, decree or decision, or statute, rule or regulation, was primarily due to the failure of such party (treating Parent and Merger Sub as one party for this purpose) to perform any of its obligations under this Agreement, including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either Parent or the Company, if the Company Stockholders Meeting (as it may be adjourned or postponed in accordance with this Agreement), in each case, at which a vote on the approval of this Agreement was taken, shall have concluded and the Requisite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the Effective Time, if there has been a breach by the Company of any representation, warranty, covenant or agreement of the Company set forth in this Agreement, which breach shall result in the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being satisfied and is not curable prior to the Outside Date, or if curable prior to the Outside Date, has not been cured within the earlier of (i) 30 calendar days after the receipt of notice thereof from Parent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8.1(g)</w:t>
      </w:r>
      <w:r>
        <w:rPr>
          <w:rFonts w:ascii="Times New Roman" w:hAnsi="Times New Roman"/>
          <w:sz w:val="20"/>
        </w:rPr>
        <w:t xml:space="preserve"> if Parent or Merger Sub are then in material breach of any representation, warranty, covenant or agreement of Parent or Merger Sub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by Parent, prior to obtaining the Requisite Stockholder Approval, if the Company Board of Directors or any committee thereof shall have effected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prior to the Effective Time, if there has been a breach by Parent or Merger Sub of any representation, warranty, covenant or agreement of Parent or Merger Sub set forth in this Agreement, which breach would reasonably be expected to prevent, or materially impair or delay, the ability of either Parent or Merger Sub to perform its obligations under this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8.1(i)</w:t>
      </w:r>
      <w:r>
        <w:rPr>
          <w:rFonts w:ascii="Times New Roman" w:hAnsi="Times New Roman"/>
          <w:sz w:val="20"/>
        </w:rPr>
        <w:t xml:space="preserve"> if the Company is then in material breach of any representation, warranty, covenant or agreement of the Company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by the Company, prior to obtaining the Requisite Stockholder Approval, in compliance with notice obligations of the Company set forth in </w:t>
      </w:r>
      <w:r>
        <w:rPr>
          <w:rFonts w:ascii="Times New Roman" w:hAnsi="Times New Roman"/>
          <w:sz w:val="20"/>
          <w:u w:val="single"/>
        </w:rPr>
        <w:t>Section 5.2(e)</w:t>
      </w:r>
      <w:r>
        <w:rPr>
          <w:rFonts w:ascii="Times New Roman" w:hAnsi="Times New Roman"/>
          <w:sz w:val="20"/>
        </w:rPr>
        <w:t xml:space="preserve"> in order to accept a Superior Proposal and enter into, promptly following such termination, a binding and definitive Alternative Acquisition Agreement with respect to such Superior Proposal; </w:t>
      </w:r>
      <w:r>
        <w:rPr>
          <w:rFonts w:ascii="Times New Roman" w:hAnsi="Times New Roman"/>
          <w:sz w:val="20"/>
          <w:u w:val="single"/>
        </w:rPr>
        <w:t>provided</w:t>
      </w:r>
      <w:r>
        <w:rPr>
          <w:rFonts w:ascii="Times New Roman" w:hAnsi="Times New Roman"/>
          <w:sz w:val="20"/>
        </w:rPr>
        <w:t xml:space="preserve">,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the Company, if (A)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(B)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(C) following such failure by Parent and Merger Sub to consummate the Merger, the Company has confirmed to Parent in writing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(ii) the Company is ready, willing and able to consummate the Merger and (D) Parent and Merger Sub fail to consummate the Merger within two (2) Business Days after receipt of the notice contemplated by the foregoing </w:t>
      </w:r>
      <w:r>
        <w:rPr>
          <w:rFonts w:ascii="Times New Roman" w:hAnsi="Times New Roman"/>
          <w:sz w:val="20"/>
          <w:u w:val="single"/>
        </w:rPr>
        <w:t>clause (C)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in </w:t>
      </w:r>
      <w:r>
        <w:rPr>
          <w:rFonts w:ascii="Times New Roman" w:hAnsi="Times New Roman"/>
          <w:sz w:val="20"/>
          <w:u w:val="single"/>
        </w:rPr>
        <w:t>Section 8.1(d)</w:t>
      </w:r>
      <w:r>
        <w:rPr>
          <w:rFonts w:ascii="Times New Roman" w:hAnsi="Times New Roman"/>
          <w:sz w:val="20"/>
        </w:rPr>
        <w:t xml:space="preserve"> to the contrary, no party shall be permitted to terminate this Agreement pursuant to </w:t>
      </w:r>
      <w:r>
        <w:rPr>
          <w:rFonts w:ascii="Times New Roman" w:hAnsi="Times New Roman"/>
          <w:sz w:val="20"/>
          <w:u w:val="single"/>
        </w:rPr>
        <w:t>Section 8.1(d)</w:t>
      </w:r>
      <w:r>
        <w:rPr>
          <w:rFonts w:ascii="Times New Roman" w:hAnsi="Times New Roman"/>
          <w:sz w:val="20"/>
        </w:rPr>
        <w:t xml:space="preserve"> during such two (2) Business Day period following delivery of the notice referred to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or parties specifying the provision hereof pursuant to which such termination is made, such termination will be effective immediately upon the delivery of such written notice and this Agreement shall forthwith become null and void without any liability on the part of Parent, Merger Sub, the Company or any other Person, except that the last sentence of </w:t>
      </w:r>
      <w:r>
        <w:rPr>
          <w:rFonts w:ascii="Times New Roman" w:hAnsi="Times New Roman"/>
          <w:sz w:val="20"/>
          <w:u w:val="single"/>
        </w:rPr>
        <w:t>Section 6.1(a)</w:t>
      </w:r>
      <w:r>
        <w:rPr>
          <w:rFonts w:ascii="Times New Roman" w:hAnsi="Times New Roman"/>
          <w:sz w:val="20"/>
        </w:rPr>
        <w:t xml:space="preserve"> (Confidentiality), </w:t>
      </w:r>
      <w:r>
        <w:rPr>
          <w:rFonts w:ascii="Times New Roman" w:hAnsi="Times New Roman"/>
          <w:sz w:val="20"/>
          <w:u w:val="single"/>
        </w:rPr>
        <w:t>Section 6.3</w:t>
      </w:r>
      <w:r>
        <w:rPr>
          <w:rFonts w:ascii="Times New Roman" w:hAnsi="Times New Roman"/>
          <w:sz w:val="20"/>
        </w:rPr>
        <w:t xml:space="preserve"> (Publicity), </w:t>
      </w:r>
      <w:r>
        <w:rPr>
          <w:rFonts w:ascii="Times New Roman" w:hAnsi="Times New Roman"/>
          <w:sz w:val="20"/>
          <w:u w:val="single"/>
        </w:rPr>
        <w:t>Section 6.13(g)</w:t>
      </w:r>
      <w:r>
        <w:rPr>
          <w:rFonts w:ascii="Times New Roman" w:hAnsi="Times New Roman"/>
          <w:sz w:val="20"/>
        </w:rPr>
        <w:t xml:space="preserve"> (Financing; Financing Cooperation and Indemnification – Confidentiality), </w:t>
      </w:r>
      <w:r>
        <w:rPr>
          <w:rFonts w:ascii="Times New Roman" w:hAnsi="Times New Roman"/>
          <w:sz w:val="20"/>
          <w:u w:val="single"/>
        </w:rPr>
        <w:t>Section 6.13(h)</w:t>
      </w:r>
      <w:r>
        <w:rPr>
          <w:rFonts w:ascii="Times New Roman" w:hAnsi="Times New Roman"/>
          <w:sz w:val="20"/>
        </w:rPr>
        <w:t xml:space="preserve"> (Financing; Financing Cooperation and Indemnification – Company Reimbursement and Indemnification), this </w:t>
      </w:r>
      <w:r>
        <w:rPr>
          <w:rFonts w:ascii="Times New Roman" w:hAnsi="Times New Roman"/>
          <w:sz w:val="20"/>
          <w:u w:val="single"/>
        </w:rPr>
        <w:t>Section 8.2</w:t>
      </w:r>
      <w:r>
        <w:rPr>
          <w:rFonts w:ascii="Times New Roman" w:hAnsi="Times New Roman"/>
          <w:sz w:val="20"/>
        </w:rPr>
        <w:t xml:space="preserve"> (Effect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w:t>
      </w:r>
      <w:r>
        <w:rPr>
          <w:rFonts w:ascii="Times New Roman" w:hAnsi="Times New Roman"/>
          <w:sz w:val="20"/>
          <w:u w:val="single"/>
        </w:rPr>
        <w:t>Section 8.3</w:t>
      </w:r>
      <w:r>
        <w:rPr>
          <w:rFonts w:ascii="Times New Roman" w:hAnsi="Times New Roman"/>
          <w:sz w:val="20"/>
        </w:rPr>
        <w:t xml:space="preserve"> (Termination Fees) and </w:t>
      </w:r>
      <w:r>
        <w:rPr>
          <w:rFonts w:ascii="Times New Roman" w:hAnsi="Times New Roman"/>
          <w:sz w:val="20"/>
          <w:u w:val="single"/>
        </w:rPr>
        <w:t>Article IX</w:t>
      </w:r>
      <w:r>
        <w:rPr>
          <w:rFonts w:ascii="Times New Roman" w:hAnsi="Times New Roman"/>
          <w:sz w:val="20"/>
        </w:rPr>
        <w:t xml:space="preserve"> (Miscellaneous) (and any related definitions contained in any such Sections or Article) shall survive such termination;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 termination of this Agreement shall affect the rights or obligations of the parties hereto or the other parties thereto as set forth in the Confidentiality Agreement, the Guarantee, the Commitment Letters, the Definitive Debt Financing Agreements or any other agreements, instruments or documents relating to the Financing or any other alternate financing, all of which shall survive termination of this Agreement in accordance with their respective terms and remain fully enforceable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nothing herein shall relieve any party from liability for its fraud or Willful Breach of this Agreement that occurred prior to such termination, which the parties acknowledge and agree shall not be limited to the reimbursement of expenses or out-of-pocket costs, and may include, pursuant to Section 261(a)(1) of the DGCL or otherwise, the benefit of the bargain lost by the Company’s stockholders, a decrease in share value or lost premium and other economic benefit to the stockholder or other equityholders of the Company (taking into consideration all relevant matters, including the total amount payable to such Persons if the Merger were consummated pursuant to the terms of this Agreement and the time value of money), which shall be deemed in such event to be damages of the Company (such liabilities described in this proviso, the “</w:t>
      </w:r>
      <w:r>
        <w:rPr>
          <w:rFonts w:ascii="Times New Roman" w:hAnsi="Times New Roman"/>
          <w:sz w:val="20"/>
          <w:u w:val="single"/>
        </w:rPr>
        <w:t>Benefit of the Bargain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Termination Fee</w:t>
      </w:r>
      <w:r>
        <w:rPr>
          <w:rFonts w:ascii="Times New Roman" w:hAnsi="Times New Roman"/>
          <w:sz w:val="20"/>
        </w:rPr>
        <w:t>. The Company shall be required to pay to Parent the Company Termination Fee in any of the following events (</w:t>
      </w:r>
      <w:r>
        <w:rPr>
          <w:rFonts w:ascii="Times New Roman" w:hAnsi="Times New Roman"/>
          <w:sz w:val="20"/>
          <w:u w:val="single"/>
        </w:rPr>
        <w:t>provided</w:t>
      </w:r>
      <w:r>
        <w:rPr>
          <w:rFonts w:ascii="Times New Roman" w:hAnsi="Times New Roman"/>
          <w:sz w:val="20"/>
        </w:rPr>
        <w:t xml:space="preserve"> that in no event shall the Company be required to pay the Company Termination Fee on more than one occasion):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Parent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8.1(j)</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this Agreement is terminated by (1) Parent or the Company, in each case, pursuant to </w:t>
      </w:r>
      <w:r>
        <w:rPr>
          <w:rFonts w:ascii="Times New Roman" w:hAnsi="Times New Roman"/>
          <w:sz w:val="20"/>
          <w:u w:val="single"/>
        </w:rPr>
        <w:t>Section 8.1(d)</w:t>
      </w:r>
      <w:r>
        <w:rPr>
          <w:rFonts w:ascii="Times New Roman" w:hAnsi="Times New Roman"/>
          <w:sz w:val="20"/>
        </w:rPr>
        <w:t xml:space="preserve"> (but in the case of a termination by the Company, only if at such time Parent would not be prohibited from terminating this Agreement pursuant to the proviso to </w:t>
      </w:r>
      <w:r>
        <w:rPr>
          <w:rFonts w:ascii="Times New Roman" w:hAnsi="Times New Roman"/>
          <w:sz w:val="20"/>
          <w:u w:val="single"/>
        </w:rPr>
        <w:t>Section 8.1(d)</w:t>
      </w:r>
      <w:r>
        <w:rPr>
          <w:rFonts w:ascii="Times New Roman" w:hAnsi="Times New Roman"/>
          <w:sz w:val="20"/>
        </w:rPr>
        <w:t xml:space="preserve">), (2) Parent or the Company, in each case, pursuant to </w:t>
      </w:r>
      <w:r>
        <w:rPr>
          <w:rFonts w:ascii="Times New Roman" w:hAnsi="Times New Roman"/>
          <w:sz w:val="20"/>
          <w:u w:val="single"/>
        </w:rPr>
        <w:t>Section 8.1(f)</w:t>
      </w:r>
      <w:r>
        <w:rPr>
          <w:rFonts w:ascii="Times New Roman" w:hAnsi="Times New Roman"/>
          <w:sz w:val="20"/>
        </w:rPr>
        <w:t xml:space="preserve"> or (3) Parent pursuant to </w:t>
      </w:r>
      <w:r>
        <w:rPr>
          <w:rFonts w:ascii="Times New Roman" w:hAnsi="Times New Roman"/>
          <w:sz w:val="20"/>
          <w:u w:val="single"/>
        </w:rPr>
        <w:t>Section 8.1(g)</w:t>
      </w:r>
      <w:r>
        <w:rPr>
          <w:rFonts w:ascii="Times New Roman" w:hAnsi="Times New Roman"/>
          <w:sz w:val="20"/>
        </w:rPr>
        <w:t xml:space="preserve"> (but solely with respect to a Willful Breach), (B) any Person shall have publicly disclosed a </w:t>
      </w:r>
      <w:r>
        <w:rPr>
          <w:rFonts w:ascii="Times New Roman" w:hAnsi="Times New Roman"/>
          <w:i/>
          <w:sz w:val="20"/>
        </w:rPr>
        <w:t>bona fide</w:t>
      </w:r>
      <w:r>
        <w:rPr>
          <w:rFonts w:ascii="Times New Roman" w:hAnsi="Times New Roman"/>
          <w:sz w:val="20"/>
        </w:rPr>
        <w:t xml:space="preserve"> Competing Proposal after the date hereof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8.3(a)(iii)</w:t>
      </w:r>
      <w:r>
        <w:rPr>
          <w:rFonts w:ascii="Times New Roman" w:hAnsi="Times New Roman"/>
          <w:sz w:val="20"/>
        </w:rPr>
        <w:t xml:space="preserve">, each reference to “15%” in the definition of “Competing Proposal” shall be deemed to be a reference to “50%.”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the Company Termination Fee</w:t>
      </w:r>
      <w:r>
        <w:rPr>
          <w:rFonts w:ascii="Times New Roman" w:hAnsi="Times New Roman"/>
          <w:sz w:val="20"/>
        </w:rPr>
        <w:t xml:space="preserve">. Payment of the Company Termination Fee shall be made to the account or accounts designated by Parent in writing by wire transfer of immediately available funds (i) in the case of </w:t>
      </w:r>
      <w:r>
        <w:rPr>
          <w:rFonts w:ascii="Times New Roman" w:hAnsi="Times New Roman"/>
          <w:sz w:val="20"/>
          <w:u w:val="single"/>
        </w:rPr>
        <w:t>Section 8.3(a)(i)</w:t>
      </w:r>
      <w:r>
        <w:rPr>
          <w:rFonts w:ascii="Times New Roman" w:hAnsi="Times New Roman"/>
          <w:sz w:val="20"/>
        </w:rPr>
        <w:t xml:space="preserve">, within ten (10) Business Days of the date of such termination, (ii) in the case of </w:t>
      </w:r>
      <w:r>
        <w:rPr>
          <w:rFonts w:ascii="Times New Roman" w:hAnsi="Times New Roman"/>
          <w:sz w:val="20"/>
          <w:u w:val="single"/>
        </w:rPr>
        <w:t>Section 8.3(a)(ii)</w:t>
      </w:r>
      <w:r>
        <w:rPr>
          <w:rFonts w:ascii="Times New Roman" w:hAnsi="Times New Roman"/>
          <w:sz w:val="20"/>
        </w:rPr>
        <w:t xml:space="preserve">, substantially concurrently with such termination and (iii) in the case of </w:t>
      </w:r>
      <w:r>
        <w:rPr>
          <w:rFonts w:ascii="Times New Roman" w:hAnsi="Times New Roman"/>
          <w:sz w:val="20"/>
          <w:u w:val="single"/>
        </w:rPr>
        <w:t>Section 8.3(a)(iii)</w:t>
      </w:r>
      <w:r>
        <w:rPr>
          <w:rFonts w:ascii="Times New Roman" w:hAnsi="Times New Roman"/>
          <w:sz w:val="20"/>
        </w:rPr>
        <w:t xml:space="preserve">, on the date of consummation of the transaction contemplated by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General Termination Fee</w:t>
      </w:r>
      <w:r>
        <w:rPr>
          <w:rFonts w:ascii="Times New Roman" w:hAnsi="Times New Roman"/>
          <w:sz w:val="20"/>
        </w:rPr>
        <w:t xml:space="preserve">. Parent shall be required to pay to the Company the Parent General Termination Fee if this Agreement is terminated (i) by the Company pursuant to </w:t>
      </w:r>
      <w:r>
        <w:rPr>
          <w:rFonts w:ascii="Times New Roman" w:hAnsi="Times New Roman"/>
          <w:sz w:val="20"/>
          <w:u w:val="single"/>
        </w:rPr>
        <w:t>Section 8.1(k)</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8.1(k)</w:t>
      </w:r>
      <w:r>
        <w:rPr>
          <w:rFonts w:ascii="Times New Roman" w:hAnsi="Times New Roman"/>
          <w:sz w:val="20"/>
        </w:rPr>
        <w:t xml:space="preserve">) or (ii) by the Company pursuant to </w:t>
      </w:r>
      <w:r>
        <w:rPr>
          <w:rFonts w:ascii="Times New Roman" w:hAnsi="Times New Roman"/>
          <w:sz w:val="20"/>
          <w:u w:val="single"/>
        </w:rPr>
        <w:t>Section 8.1(i)</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8.1(i)</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the Parent General Termination Fee</w:t>
      </w:r>
      <w:r>
        <w:rPr>
          <w:rFonts w:ascii="Times New Roman" w:hAnsi="Times New Roman"/>
          <w:sz w:val="20"/>
        </w:rPr>
        <w:t xml:space="preserve">. Payment of the Parent General Termination Fee shall be made to the account or accounts designated by the Company by wire transfer of immediately available funds (i) in the case of </w:t>
      </w:r>
      <w:r>
        <w:rPr>
          <w:rFonts w:ascii="Times New Roman" w:hAnsi="Times New Roman"/>
          <w:sz w:val="20"/>
          <w:u w:val="single"/>
        </w:rPr>
        <w:t>Section 8.1(k)</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within five (5) Business Days of such termination and (ii) in the case of </w:t>
      </w:r>
      <w:r>
        <w:rPr>
          <w:rFonts w:ascii="Times New Roman" w:hAnsi="Times New Roman"/>
          <w:sz w:val="20"/>
          <w:u w:val="single"/>
        </w:rPr>
        <w:t>Section 8.1(d)</w:t>
      </w:r>
      <w:r>
        <w:rPr>
          <w:rFonts w:ascii="Times New Roman" w:hAnsi="Times New Roman"/>
          <w:sz w:val="20"/>
        </w:rPr>
        <w:t xml:space="preserve">, concurrently with and as a condition to the termination by Parent.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Regulatory Termination Fee</w:t>
      </w:r>
      <w:r>
        <w:rPr>
          <w:rFonts w:ascii="Times New Roman" w:hAnsi="Times New Roman"/>
          <w:sz w:val="20"/>
        </w:rPr>
        <w:t xml:space="preserve">. Parent shall be required to pay to the Company the Parent Regulatory Termination Fee if this Agreement is terminated (i) by the Company pursuant to </w:t>
      </w:r>
      <w:r>
        <w:rPr>
          <w:rFonts w:ascii="Times New Roman" w:hAnsi="Times New Roman"/>
          <w:sz w:val="20"/>
          <w:u w:val="single"/>
        </w:rPr>
        <w:t>Section 8.1(e)</w:t>
      </w:r>
      <w:r>
        <w:rPr>
          <w:rFonts w:ascii="Times New Roman" w:hAnsi="Times New Roman"/>
          <w:sz w:val="20"/>
        </w:rPr>
        <w:t xml:space="preserve">, or by Parent pursuant to </w:t>
      </w:r>
      <w:r>
        <w:rPr>
          <w:rFonts w:ascii="Times New Roman" w:hAnsi="Times New Roman"/>
          <w:sz w:val="20"/>
          <w:u w:val="single"/>
        </w:rPr>
        <w:t>Section 8.1(e)</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8.1(e)</w:t>
      </w:r>
      <w:r>
        <w:rPr>
          <w:rFonts w:ascii="Times New Roman" w:hAnsi="Times New Roman"/>
          <w:sz w:val="20"/>
        </w:rPr>
        <w:t xml:space="preserve">, solely to the extent such final order, injunction, decree, decision, determination or judgment or statute, rule or regulation is solely related to any Required Governmental Approval under any applicable Antitrust Laws or FDI Laws; (ii) by the Company pursuant to </w:t>
      </w:r>
      <w:r>
        <w:rPr>
          <w:rFonts w:ascii="Times New Roman" w:hAnsi="Times New Roman"/>
          <w:sz w:val="20"/>
          <w:u w:val="single"/>
        </w:rPr>
        <w:t>Section 8.1(b)</w:t>
      </w:r>
      <w:r>
        <w:rPr>
          <w:rFonts w:ascii="Times New Roman" w:hAnsi="Times New Roman"/>
          <w:sz w:val="20"/>
        </w:rPr>
        <w:t xml:space="preserve">; (iii) by Parent pursuant to Section 8.1(c); or (iv) by the Company pursuant to </w:t>
      </w:r>
      <w:r>
        <w:rPr>
          <w:rFonts w:ascii="Times New Roman" w:hAnsi="Times New Roman"/>
          <w:sz w:val="20"/>
          <w:u w:val="single"/>
        </w:rPr>
        <w:t>Section 8.1(d)</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8.1(d)</w:t>
      </w:r>
      <w:r>
        <w:rPr>
          <w:rFonts w:ascii="Times New Roman" w:hAnsi="Times New Roman"/>
          <w:sz w:val="20"/>
        </w:rPr>
        <w:t xml:space="preserve">, if, in each case of clauses (i) through (iv), at the time of such termination, (A) a condition to the Closing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solely to the extent solely relating to Required Governmental Approvals under any applicable Antitrust Laws or FDI Laws shall not have been satisfied, and (B) the other conditions to the Closing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(other than those conditions that by their terms are to be satisfied by actions taken at the Closing)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the Parent Regulatory Termination Fee</w:t>
      </w:r>
      <w:r>
        <w:rPr>
          <w:rFonts w:ascii="Times New Roman" w:hAnsi="Times New Roman"/>
          <w:sz w:val="20"/>
        </w:rPr>
        <w:t xml:space="preserve">. Payment of the Parent Regulatory Termination Fee shall be made to the account or accounts designated by the Company by wire transfer of immediately available funds within ten (10) Business Days of termination of this Agreement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Acknowledgement; Exclusive Remedy</w:t>
      </w:r>
      <w:r>
        <w:rPr>
          <w:rFonts w:ascii="Times New Roman" w:hAnsi="Times New Roman"/>
          <w:sz w:val="20"/>
        </w:rPr>
        <w:t xml:space="preserve">. Each of the parties acknowledges and agrees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damages resulting from termination of this Agreement under circumstances where the Company Termination Fee or the Parent Termination Fee is payable are uncertain and incapable of accurate calculation and therefore, neither the Company Termination Fee nor the Parent Termination Fee is a penalty but rather each constitutes liquidated damages in a reasonable amount that will compensate, in the case of the Company Termination Fee, Parent and Merger Sub, or in the case of the Parent Termination Fee, the Company, for the efforts and resources expended and opportunities foregone while negotiating this Agreement and in reliance on this Agreement and on the expectation of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but without limiting the rights of Parent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Parent Related Party’s right in connection with claims against the Company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Parent’s right to receive payment of the Company Termination Fee (if payable pursuant to </w:t>
      </w:r>
      <w:r>
        <w:rPr>
          <w:rFonts w:ascii="Times New Roman" w:hAnsi="Times New Roman"/>
          <w:sz w:val="20"/>
          <w:u w:val="single"/>
        </w:rPr>
        <w:t>Section 8.3(a)</w:t>
      </w:r>
      <w:r>
        <w:rPr>
          <w:rFonts w:ascii="Times New Roman" w:hAnsi="Times New Roman"/>
          <w:sz w:val="20"/>
        </w:rPr>
        <w:t>) will be the sole and exclusive remedy of (A) Parent, the Merger Sub, the Equity Investors, their Subsidiaries and each of their respective Affiliates and (B)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((A) and (B)), the “</w:t>
      </w:r>
      <w:r>
        <w:rPr>
          <w:rFonts w:ascii="Times New Roman" w:hAnsi="Times New Roman"/>
          <w:sz w:val="20"/>
          <w:u w:val="single"/>
        </w:rPr>
        <w:t>Parent Related Parties</w:t>
      </w:r>
      <w:r>
        <w:rPr>
          <w:rFonts w:ascii="Times New Roman" w:hAnsi="Times New Roman"/>
          <w:sz w:val="20"/>
        </w:rPr>
        <w:t>”), against (1) the Company, the Company Subsidiaries and each of their respective Affiliates or (2)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((1) and (2)), the “</w:t>
      </w:r>
      <w:r>
        <w:rPr>
          <w:rFonts w:ascii="Times New Roman" w:hAnsi="Times New Roman"/>
          <w:sz w:val="20"/>
          <w:u w:val="single"/>
        </w:rPr>
        <w:t>Company Related Parties</w:t>
      </w:r>
      <w:r>
        <w:rPr>
          <w:rFonts w:ascii="Times New Roman" w:hAnsi="Times New Roman"/>
          <w:sz w:val="20"/>
        </w:rPr>
        <w:t xml:space="preserve">”), for any loss, liabilities or damages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including any Regulatory Commitment, and upon payment of the Company Termination Fee (if payable pursuant to </w:t>
      </w:r>
      <w:r>
        <w:rPr>
          <w:rFonts w:ascii="Times New Roman" w:hAnsi="Times New Roman"/>
          <w:sz w:val="20"/>
          <w:u w:val="single"/>
        </w:rPr>
        <w:t>Section 8.3(a)</w:t>
      </w:r>
      <w:r>
        <w:rPr>
          <w:rFonts w:ascii="Times New Roman" w:hAnsi="Times New Roman"/>
          <w:sz w:val="20"/>
        </w:rPr>
        <w:t xml:space="preserve">), none of the Company Related Parties shall have any further liability or obligation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the Commitment Letters, the Guarantee or the Definitive Debt Financing Agreements, whether in equity or at law, in contract, in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but without limiting the rights of the Company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Company Related Party’s right in connection with claims against the Parent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the Company’s right to receive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will be the sole and exclusive remedy of the Company Related Parties against the Parent Related Parties or (A) the lenders, agents, underwriters, commitment parties and arrangers of the Debt Financing, and each of their respective Affiliates or (B) the former, current and future holders of any equity (including convertible securities), controlling persons, members, managers, general or limited partners, Representatives and assignees or successors of each the lenders, agents, underwriters, commitment parties and arrangers of the Debt Financing (collectively ((A) and (B)), the “</w:t>
      </w:r>
      <w:r>
        <w:rPr>
          <w:rFonts w:ascii="Times New Roman" w:hAnsi="Times New Roman"/>
          <w:sz w:val="20"/>
          <w:u w:val="single"/>
        </w:rPr>
        <w:t>Lender Related Parties</w:t>
      </w:r>
      <w:r>
        <w:rPr>
          <w:rFonts w:ascii="Times New Roman" w:hAnsi="Times New Roman"/>
          <w:sz w:val="20"/>
        </w:rPr>
        <w:t xml:space="preserve">”), for any loss, liabilities or damages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the Commitment Letters or the Guarantee and upon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Section 8.3(e)</w:t>
      </w:r>
      <w:r>
        <w:rPr>
          <w:rFonts w:ascii="Times New Roman" w:hAnsi="Times New Roman"/>
          <w:sz w:val="20"/>
          <w:u w:val="single"/>
        </w:rPr>
        <w:t>)</w:t>
      </w:r>
      <w:r>
        <w:rPr>
          <w:rFonts w:ascii="Times New Roman" w:hAnsi="Times New Roman"/>
          <w:sz w:val="20"/>
        </w:rPr>
        <w:t xml:space="preserve">, none of the Parent Related Parties or the Lender Related Parties shall have any further liability or obligation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or any Regulatory Commitment, the Commitment Letters or the Guarantee, whether in equity or at law, in contract, in tort or otherwise; </w:t>
      </w:r>
      <w:r>
        <w:rPr>
          <w:rFonts w:ascii="Times New Roman" w:hAnsi="Times New Roman"/>
          <w:sz w:val="20"/>
          <w:u w:val="single"/>
        </w:rPr>
        <w:t>provided</w:t>
      </w:r>
      <w:r>
        <w:rPr>
          <w:rFonts w:ascii="Times New Roman" w:hAnsi="Times New Roman"/>
          <w:sz w:val="20"/>
        </w:rPr>
        <w:t xml:space="preserve"> that, notwithstanding the foregoing, nothing herein shall in any way limit or modify the rights of the Parent and/or its Affiliates under the Debt Commitment Letters or any Definitive Debt Financing Agreement, or the obligations of the Debt Financing Sources to the Parent and/or its Affiliates under the Debt Commitment Letters or any Definitive Debt Financing Agreement, or following the Closing Date, the rights of the Surviving Corporation and its Subsidiaries against the Debt Financing Sources with respect to the Debt Financing to which they are party or any of the transactions contemplated thereby or any services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to the contrary in </w:t>
      </w:r>
      <w:r>
        <w:rPr>
          <w:rFonts w:ascii="Times New Roman" w:hAnsi="Times New Roman"/>
          <w:sz w:val="20"/>
          <w:u w:val="single"/>
        </w:rPr>
        <w:t>Section 8.3(g)(ii)</w:t>
      </w:r>
      <w:r>
        <w:rPr>
          <w:rFonts w:ascii="Times New Roman" w:hAnsi="Times New Roman"/>
          <w:sz w:val="20"/>
        </w:rPr>
        <w:t xml:space="preserve"> nothing in </w:t>
      </w:r>
      <w:r>
        <w:rPr>
          <w:rFonts w:ascii="Times New Roman" w:hAnsi="Times New Roman"/>
          <w:sz w:val="20"/>
          <w:u w:val="single"/>
        </w:rPr>
        <w:t>Section 8.3(g)(ii)</w:t>
      </w:r>
      <w:r>
        <w:rPr>
          <w:rFonts w:ascii="Times New Roman" w:hAnsi="Times New Roman"/>
          <w:sz w:val="20"/>
        </w:rPr>
        <w:t xml:space="preserve"> shall relieve the Company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the Company for breaches (including any fraud or Willful Breach) under this Agreement (taking into account the payment of the Company Termination Fee pursuant to this Agreement) exceed an amount equal to the Company Termination Fee in the aggregate for all such breaches (if any) (the “</w:t>
      </w:r>
      <w:r>
        <w:rPr>
          <w:rFonts w:ascii="Times New Roman" w:hAnsi="Times New Roman"/>
          <w:sz w:val="20"/>
          <w:u w:val="single"/>
        </w:rPr>
        <w:t>Company Liability Limitation</w:t>
      </w:r>
      <w:r>
        <w:rPr>
          <w:rFonts w:ascii="Times New Roman" w:hAnsi="Times New Roman"/>
          <w:sz w:val="20"/>
        </w:rPr>
        <w:t xml:space="preserve">”). In no event shall any of the Parent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Company Liability Limitation against any of the Company Related Parties for, or with respect to, this Agreement, the Transactions, the termination of this Agreement, the failure to consummate the Merger or any claims or actions under applicable Law arising out of any such breach, termination or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Notwithstanding anything to the contrary in </w:t>
      </w:r>
      <w:r>
        <w:rPr>
          <w:rFonts w:ascii="Times New Roman" w:hAnsi="Times New Roman"/>
          <w:sz w:val="20"/>
          <w:u w:val="single"/>
        </w:rPr>
        <w:t>Section 8.3(g)(iii)</w:t>
      </w:r>
      <w:r>
        <w:rPr>
          <w:rFonts w:ascii="Times New Roman" w:hAnsi="Times New Roman"/>
          <w:sz w:val="20"/>
        </w:rPr>
        <w:t xml:space="preserve"> nothing in </w:t>
      </w:r>
      <w:r>
        <w:rPr>
          <w:rFonts w:ascii="Times New Roman" w:hAnsi="Times New Roman"/>
          <w:sz w:val="20"/>
          <w:u w:val="single"/>
        </w:rPr>
        <w:t>Section 8.3(g)(iii)</w:t>
      </w:r>
      <w:r>
        <w:rPr>
          <w:rFonts w:ascii="Times New Roman" w:hAnsi="Times New Roman"/>
          <w:sz w:val="20"/>
        </w:rPr>
        <w:t xml:space="preserve"> shall relieve Parent or Merger Sub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Parent, Merger Sub or any of their Affiliates for breaches (including any fraud or Willful Breach) under this Agreement (taking into account the payment of any Parent Termination Fee pursuant to this Agreement), the Guarantee or the Equity Commitment Letter exceed an amount equal to the sum of (i) the Parent General Termination Fee, (ii) any filing fees actually paid by the Company in connection with any Required Governmental Approvals contemplated by </w:t>
      </w:r>
      <w:r>
        <w:rPr>
          <w:rFonts w:ascii="Times New Roman" w:hAnsi="Times New Roman"/>
          <w:sz w:val="20"/>
          <w:u w:val="single"/>
        </w:rPr>
        <w:t>Section 6.2</w:t>
      </w:r>
      <w:r>
        <w:rPr>
          <w:rFonts w:ascii="Times New Roman" w:hAnsi="Times New Roman"/>
          <w:sz w:val="20"/>
        </w:rPr>
        <w:t xml:space="preserve"> and (iii) any indemnification and expense reimbursement payable pursuant to </w:t>
      </w:r>
      <w:r>
        <w:rPr>
          <w:rFonts w:ascii="Times New Roman" w:hAnsi="Times New Roman"/>
          <w:sz w:val="20"/>
          <w:u w:val="single"/>
        </w:rPr>
        <w:t>Section 6.13(h)</w:t>
      </w:r>
      <w:r>
        <w:rPr>
          <w:rFonts w:ascii="Times New Roman" w:hAnsi="Times New Roman"/>
          <w:sz w:val="20"/>
        </w:rPr>
        <w:t>, in the aggregate for all such breaches (if any) (the “</w:t>
      </w:r>
      <w:r>
        <w:rPr>
          <w:rFonts w:ascii="Times New Roman" w:hAnsi="Times New Roman"/>
          <w:sz w:val="20"/>
          <w:u w:val="single"/>
        </w:rPr>
        <w:t>Parent Liability Limitation</w:t>
      </w:r>
      <w:r>
        <w:rPr>
          <w:rFonts w:ascii="Times New Roman" w:hAnsi="Times New Roman"/>
          <w:sz w:val="20"/>
        </w:rPr>
        <w:t xml:space="preserve">”). In no event shall any of the Company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Parent Liability Limitation against any of the Parent Related Parties for, or with respect to, this Agreement, the Equity Commitment Letter, the Guarantee,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(vi) Under no circumstances will Parent and Merger Sub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the Company Termination Fee if payable pursuant to Section 8.3(a). Under no circumstances will the Company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a Parent Termination Fee if payable pursuant to </w:t>
      </w:r>
      <w:r>
        <w:rPr>
          <w:rFonts w:ascii="Times New Roman" w:hAnsi="Times New Roman"/>
          <w:sz w:val="20"/>
          <w:u w:val="single"/>
        </w:rPr>
        <w:t>Section 8.3(c) or Section 8.3(e).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to the contrary in this Agreement, the Parties acknowledge and agree that Parent, if required to pay a Parent Termination Fee, shall only be required to pay the Parent Regulatory Termination Fee or the Parent General Termination Fee (and never both), and in no event shall Parent be required to pay the Parent Regulatory Termination Fee or the Parent General Termination Fee on more than one occasion, in each case, whether or not such Parent Termination Fee may be payable pursuant to more than one provision of this Agreement at the same time or at different times and upon the occurrence of different events.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provided in this Agreement, this Agreement may be amended, modified and supplemented, whether before or after receipt of the Requisite Stockholder Approval, if applicable, by written agreement of the parties hereto (by action taken by their respective boards of directors (or similar governing body));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adoption of this Agreement by the stockholders of the Company, no amendment shall be made which by Law requires further approval by such stockholders without obtaining such further approval. This Agreement may not be amended except by an instrument in writing signed on behalf of each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any party or parties hereto may, to the extent legally allowed and except as otherwise set forth herein, (i) extend the time for the performance of any of the obligations or other acts of the other party or parties, as applicable, (ii) waive any inaccuracies in the representations and warranties made to such party or parties contained herein or in any document delivered pursuant hereto and (iii) waive compliance with any of the agreements or conditions for the benefit of such party or parties contained herein. Any agreement on the part of a party or parties to any such extension or waiver shall be valid only if set forth in an instrument in writing signed on behalf of such party or parties, as applicable. Any delay in exercising any right under this Agreement shall not constitute a waiver of such right.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w:t>
      </w:r>
      <w:r>
        <w:rPr>
          <w:rFonts w:ascii="Times New Roman" w:hAnsi="Times New Roman"/>
          <w:sz w:val="20"/>
          <w:u w:val="single"/>
        </w:rPr>
        <w:t>Section 8.3(g)(iii)</w:t>
      </w:r>
      <w:r>
        <w:rPr>
          <w:rFonts w:ascii="Times New Roman" w:hAnsi="Times New Roman"/>
          <w:sz w:val="20"/>
        </w:rPr>
        <w:t xml:space="preserve">, this </w:t>
      </w:r>
      <w:r>
        <w:rPr>
          <w:rFonts w:ascii="Times New Roman" w:hAnsi="Times New Roman"/>
          <w:sz w:val="20"/>
          <w:u w:val="single"/>
        </w:rPr>
        <w:t>Section 9.1(c)</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any other provision of this Agreement to the extent a modification thereof would affect the substance of any of the foregoing sections) shall not be amended or modified in any manner adversely affecting any Debt Financing Sources without the prior written consent of such adversely affected Debt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Non-Survival of Representations, Warranties, Covenants and Agreements</w:t>
      </w:r>
      <w:r>
        <w:rPr>
          <w:rFonts w:ascii="Times New Roman" w:hAnsi="Times New Roman"/>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prior to the Effective Time, will survive the Effective Time, except for (a) those covenants and agreements contained herein that by their terms apply or are to be performed in whole or in part after the Effective Time and (b)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Expenses</w:t>
      </w:r>
      <w:r>
        <w:rPr>
          <w:rFonts w:ascii="Times New Roman" w:hAnsi="Times New Roman"/>
          <w:sz w:val="20"/>
        </w:rPr>
        <w:t xml:space="preserve">. Except as otherwise specifically provided in this Agreement, whether or not the Merger is consummated, each party shall bear its own expenses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Notices</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Parent or Merger Sub or, after the Effective Time, the Company or the Surviving Corporation, to: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Westport Plaza, Suite 800, Floor 8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63146 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tbl>
      <w:tblPr>
        <w:tblW w:w="5000" w:type="pct"/>
        <w:jc w:val="left"/>
        <w:tblInd w:w="0" w:type="dxa"/>
        <w:tblLayout w:type="fixed"/>
        <w:tblCellMar>
          <w:top w:w="0" w:type="dxa"/>
          <w:left w:w="0" w:type="dxa"/>
          <w:bottom w:w="0" w:type="dxa"/>
          <w:right w:w="0" w:type="dxa"/>
        </w:tblCellMar>
      </w:tblPr>
      <w:tblGrid>
        <w:gridCol w:w="869"/>
        <w:gridCol w:w="942"/>
        <w:gridCol w:w="8394"/>
      </w:tblGrid>
      <w:tr>
        <w:trPr/>
        <w:tc>
          <w:tcPr>
            <w:tcW w:w="869" w:type="dxa"/>
            <w:tcBorders/>
            <w:vAlign w:val="center"/>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Attention: </w:t>
            </w:r>
          </w:p>
        </w:tc>
        <w:tc>
          <w:tcPr>
            <w:tcW w:w="8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Carlos Gil Rivas </w:t>
            </w:r>
          </w:p>
        </w:tc>
      </w:tr>
    </w:tbl>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tbl>
      <w:tblPr>
        <w:tblW w:w="5000" w:type="pct"/>
        <w:jc w:val="left"/>
        <w:tblInd w:w="0" w:type="dxa"/>
        <w:tblLayout w:type="fixed"/>
        <w:tblCellMar>
          <w:top w:w="0" w:type="dxa"/>
          <w:left w:w="0" w:type="dxa"/>
          <w:bottom w:w="0" w:type="dxa"/>
          <w:right w:w="0" w:type="dxa"/>
        </w:tblCellMar>
      </w:tblPr>
      <w:tblGrid>
        <w:gridCol w:w="836"/>
        <w:gridCol w:w="578"/>
        <w:gridCol w:w="8791"/>
      </w:tblGrid>
      <w:tr>
        <w:trPr/>
        <w:tc>
          <w:tcPr>
            <w:tcW w:w="836" w:type="dxa"/>
            <w:tcBorders/>
            <w:vAlign w:val="center"/>
          </w:tcPr>
          <w:p>
            <w:pPr>
              <w:pStyle w:val="TableContents"/>
              <w:bidi w:val="0"/>
              <w:spacing w:before="0" w:after="283"/>
              <w:jc w:val="left"/>
              <w:rPr/>
            </w:pPr>
            <w:r>
              <w:rPr/>
              <w:t> </w:t>
            </w:r>
          </w:p>
        </w:tc>
        <w:tc>
          <w:tcPr>
            <w:tcW w:w="578" w:type="dxa"/>
            <w:tcBorders/>
          </w:tcPr>
          <w:p>
            <w:pPr>
              <w:pStyle w:val="TableContents"/>
              <w:bidi w:val="0"/>
              <w:spacing w:before="0" w:after="283"/>
              <w:jc w:val="left"/>
              <w:rPr/>
            </w:pPr>
            <w:r>
              <w:rPr/>
              <w:t>Email:</w:t>
            </w:r>
          </w:p>
        </w:tc>
        <w:tc>
          <w:tcPr>
            <w:tcW w:w="8791" w:type="dxa"/>
            <w:tcBorders/>
          </w:tcPr>
          <w:p>
            <w:pPr>
              <w:pStyle w:val="TableContents"/>
              <w:bidi w:val="0"/>
              <w:spacing w:before="0" w:after="0"/>
              <w:jc w:val="left"/>
              <w:rPr/>
            </w:pPr>
            <w:r>
              <w:rPr/>
              <w:t xml:space="preserve">    </w:t>
            </w:r>
            <w:r>
              <w:rPr>
                <w:rFonts w:ascii="Times New Roman" w:hAnsi="Times New Roman"/>
                <w:sz w:val="20"/>
              </w:rPr>
              <w:t xml:space="preserve">carlos.gilrivas@kirkland.com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sohargan@kirkland.com </w:t>
      </w:r>
    </w:p>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william.stanton@kirkland.com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55"/>
        <w:gridCol w:w="905"/>
        <w:gridCol w:w="8445"/>
      </w:tblGrid>
      <w:tr>
        <w:trPr/>
        <w:tc>
          <w:tcPr>
            <w:tcW w:w="855" w:type="dxa"/>
            <w:tcBorders/>
            <w:vAlign w:val="center"/>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Attention:</w:t>
            </w:r>
          </w:p>
        </w:tc>
        <w:tc>
          <w:tcPr>
            <w:tcW w:w="8445" w:type="dxa"/>
            <w:tcBorders/>
          </w:tcPr>
          <w:p>
            <w:pPr>
              <w:pStyle w:val="TableContents"/>
              <w:bidi w:val="0"/>
              <w:spacing w:before="0" w:after="0"/>
              <w:jc w:val="left"/>
              <w:rPr/>
            </w:pPr>
            <w:r>
              <w:rPr/>
              <w:t> </w:t>
            </w:r>
            <w:r>
              <w:rPr>
                <w:rFonts w:ascii="Times New Roman" w:hAnsi="Times New Roman"/>
                <w:sz w:val="20"/>
              </w:rPr>
              <w:t xml:space="preserve">Mary Anne Heino, Chief Executive Officer. </w:t>
            </w:r>
          </w:p>
        </w:tc>
      </w:tr>
    </w:tbl>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29"/>
        <w:gridCol w:w="930"/>
        <w:gridCol w:w="8446"/>
      </w:tblGrid>
      <w:tr>
        <w:trPr/>
        <w:tc>
          <w:tcPr>
            <w:tcW w:w="829" w:type="dxa"/>
            <w:tcBorders/>
            <w:vAlign w:val="center"/>
          </w:tcPr>
          <w:p>
            <w:pPr>
              <w:pStyle w:val="TableContents"/>
              <w:bidi w:val="0"/>
              <w:spacing w:before="0" w:after="283"/>
              <w:jc w:val="left"/>
              <w:rPr/>
            </w:pPr>
            <w:r>
              <w:rPr/>
              <w:t> </w:t>
            </w:r>
          </w:p>
        </w:tc>
        <w:tc>
          <w:tcPr>
            <w:tcW w:w="930" w:type="dxa"/>
            <w:tcBorders/>
          </w:tcPr>
          <w:p>
            <w:pPr>
              <w:pStyle w:val="TableContents"/>
              <w:bidi w:val="0"/>
              <w:spacing w:before="0" w:after="283"/>
              <w:jc w:val="left"/>
              <w:rPr/>
            </w:pPr>
            <w:r>
              <w:rPr/>
              <w:t>Attention:</w:t>
            </w:r>
          </w:p>
        </w:tc>
        <w:tc>
          <w:tcPr>
            <w:tcW w:w="8446" w:type="dxa"/>
            <w:tcBorders/>
          </w:tcPr>
          <w:p>
            <w:pPr>
              <w:pStyle w:val="TableContents"/>
              <w:bidi w:val="0"/>
              <w:spacing w:before="0" w:after="0"/>
              <w:jc w:val="left"/>
              <w:rPr/>
            </w:pPr>
            <w:r>
              <w:rPr/>
              <w:t> </w:t>
            </w:r>
            <w:r>
              <w:rPr>
                <w:rFonts w:ascii="Times New Roman" w:hAnsi="Times New Roman"/>
                <w:sz w:val="20"/>
              </w:rPr>
              <w:t xml:space="preserve">Daniel M. Niedzwiecki, Chief Administrative Officer, General </w:t>
            </w:r>
          </w:p>
        </w:tc>
      </w:tr>
    </w:tbl>
    <w:p>
      <w:pPr>
        <w:pStyle w:val="TextBody"/>
        <w:bidi w:val="0"/>
        <w:spacing w:before="0" w:after="0"/>
        <w:jc w:val="left"/>
        <w:rPr/>
      </w:pPr>
      <w:r>
        <w:rPr/>
        <w:t>  </w:t>
      </w:r>
      <w:r>
        <w:rPr>
          <w:rFonts w:ascii="Times New Roman" w:hAnsi="Times New Roman"/>
          <w:sz w:val="20"/>
        </w:rPr>
        <w:t xml:space="preserve">Counsel and Corporate Secretary </w:t>
      </w:r>
    </w:p>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30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tbl>
      <w:tblPr>
        <w:tblW w:w="5000" w:type="pct"/>
        <w:jc w:val="left"/>
        <w:tblInd w:w="0" w:type="dxa"/>
        <w:tblLayout w:type="fixed"/>
        <w:tblCellMar>
          <w:top w:w="0" w:type="dxa"/>
          <w:left w:w="0" w:type="dxa"/>
          <w:bottom w:w="0" w:type="dxa"/>
          <w:right w:w="0" w:type="dxa"/>
        </w:tblCellMar>
      </w:tblPr>
      <w:tblGrid>
        <w:gridCol w:w="863"/>
        <w:gridCol w:w="918"/>
        <w:gridCol w:w="8424"/>
      </w:tblGrid>
      <w:tr>
        <w:trPr/>
        <w:tc>
          <w:tcPr>
            <w:tcW w:w="863"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8424" w:type="dxa"/>
            <w:tcBorders/>
          </w:tcPr>
          <w:p>
            <w:pPr>
              <w:pStyle w:val="TableContents"/>
              <w:bidi w:val="0"/>
              <w:spacing w:before="0" w:after="0"/>
              <w:jc w:val="left"/>
              <w:rPr/>
            </w:pPr>
            <w:r>
              <w:rPr/>
              <w:t> </w:t>
            </w:r>
            <w:r>
              <w:rPr>
                <w:rFonts w:ascii="Times New Roman" w:hAnsi="Times New Roman"/>
                <w:sz w:val="20"/>
              </w:rPr>
              <w:t xml:space="preserve">Jack Bodner; Andrew Ment </w:t>
            </w:r>
          </w:p>
        </w:tc>
      </w:tr>
    </w:tbl>
    <w:tbl>
      <w:tblPr>
        <w:tblW w:w="5000" w:type="pct"/>
        <w:jc w:val="left"/>
        <w:tblInd w:w="0" w:type="dxa"/>
        <w:tblLayout w:type="fixed"/>
        <w:tblCellMar>
          <w:top w:w="0" w:type="dxa"/>
          <w:left w:w="0" w:type="dxa"/>
          <w:bottom w:w="0" w:type="dxa"/>
          <w:right w:w="0" w:type="dxa"/>
        </w:tblCellMar>
      </w:tblPr>
      <w:tblGrid>
        <w:gridCol w:w="853"/>
        <w:gridCol w:w="652"/>
        <w:gridCol w:w="8700"/>
      </w:tblGrid>
      <w:tr>
        <w:trPr/>
        <w:tc>
          <w:tcPr>
            <w:tcW w:w="853" w:type="dxa"/>
            <w:tcBorders/>
            <w:vAlign w:val="center"/>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E-mail:</w:t>
            </w:r>
          </w:p>
        </w:tc>
        <w:tc>
          <w:tcPr>
            <w:tcW w:w="8700" w:type="dxa"/>
            <w:tcBorders/>
          </w:tcPr>
          <w:p>
            <w:pPr>
              <w:pStyle w:val="TableContents"/>
              <w:bidi w:val="0"/>
              <w:spacing w:before="0" w:after="0"/>
              <w:jc w:val="left"/>
              <w:rPr/>
            </w:pPr>
            <w:r>
              <w:rPr/>
              <w:t>  </w:t>
            </w:r>
            <w:r>
              <w:rPr>
                <w:rFonts w:ascii="Times New Roman" w:hAnsi="Times New Roman"/>
                <w:sz w:val="20"/>
              </w:rPr>
              <w:t xml:space="preserve">jbodner@cov.com; ament@cov.com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Sections, Exhibits, Annexes and Schedules are to Articles, Sections, Exhibits, Annexes and Schedules of this Agreement unless otherwise specified. Subject to </w:t>
      </w:r>
      <w:r>
        <w:rPr>
          <w:rFonts w:ascii="Times New Roman" w:hAnsi="Times New Roman"/>
          <w:sz w:val="20"/>
          <w:u w:val="single"/>
        </w:rPr>
        <w:t>Section 9.7(b)</w:t>
      </w:r>
      <w:r>
        <w:rPr>
          <w:rFonts w:ascii="Times New Roman" w:hAnsi="Times New Roman"/>
          <w:sz w:val="20"/>
        </w:rPr>
        <w:t xml:space="preserve">, all Exhibits, Annexes and Schedules annexed hereto or referred to herein are hereby incorporated in and made a part of this Agreement as if set forth in full herein.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Law shall be deemed to refer to such Law, as amended (and, in the case of statutes, any rules and regulations promulgated under such statutes), in each case, as of such date, (b) to any Contract are to that Contract as amended, modified or supplemented from time to time in accordance with the terms hereof and thereof; </w:t>
      </w:r>
      <w:r>
        <w:rPr>
          <w:rFonts w:ascii="Times New Roman" w:hAnsi="Times New Roman"/>
          <w:sz w:val="20"/>
          <w:u w:val="single"/>
        </w:rPr>
        <w:t>provided</w:t>
      </w:r>
      <w:r>
        <w:rPr>
          <w:rFonts w:ascii="Times New Roman" w:hAnsi="Times New Roman"/>
          <w:sz w:val="20"/>
        </w:rPr>
        <w:t xml:space="preserve"> that with respect to any Contract listed on any Schedules hereto (including the Company Disclosure Schedule), all such amendments, modifications or supplements must also be listed in the appropriate Schedule (including the Company Disclosure Schedule), (c) to any Person include the successors and permitted assigns of that Person, (d) to the Subsidiaries of a Person shall be deemed to include all direct and indirect Subsidiaries of such Person unless otherwise indicated or the context otherwise requires, (e) from or through any date mean, unless otherwise specified, from and including or through and including, respectively, (f) to the “date hereof” means the date of this Agreement, (g) to a “party” or the “parties” mean the parties to this Agreement unless otherwise specified or the context otherwise requires, and (h) to any Governmental Entity shall be deemed to include any successor thereto.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Counterparts</w:t>
      </w:r>
      <w:r>
        <w:rPr>
          <w:rFonts w:ascii="Times New Roman" w:hAnsi="Times New Roman"/>
          <w:sz w:val="20"/>
        </w:rPr>
        <w:t xml:space="preserve">. This Agreement may be executed manually or by facsimile or other electronic transmission by the parties (including in .pdf, .tiff, .jpg or similar format), in any number of counterparts, each of which shall be considered one and the same agreement and shall become effective when a counterpart hereof shall have been signed by each of the parties and delivered to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exhibits, schedules (including the Company Disclosure Schedule) and annexes hereto, the CVR Agreement, and the documents and instruments relating to the Merger referred to in this Agreement, including the Confidentiality Agreement, the Guarantee and the Commitment Letters, constitute the entire agreement, and supersedes all prior agreements and understandings, both written and oral, among the parties hereto with respect to the subject matter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Confidentiality Agreement shall not be superseded, shall survive any termination of this Agreement and shall continue in full force and effect until the earlier to occur of (i) the Effective Time and (ii) the date on which the Confidentiality Agreement is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 other provision of this Agreement to the contrary, the Company Disclosure Schedule is “facts ascertainable” as that term is used in Section 251(b) of the DGCL, and does not form part of this Agreement but instead operates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is not intended to, and will not, create any agreement of employment with any person, confer any rights or remedies upon any person other than the parties hereto and their respective successors and permitted assigns or otherwise create any third-party beneficiary hereto, except (i) with respect to the Persons who are express third-party beneficiaries of </w:t>
      </w:r>
      <w:r>
        <w:rPr>
          <w:rFonts w:ascii="Times New Roman" w:hAnsi="Times New Roman"/>
          <w:sz w:val="20"/>
          <w:u w:val="single"/>
        </w:rPr>
        <w:t>Section 6.4</w:t>
      </w:r>
      <w:r>
        <w:rPr>
          <w:rFonts w:ascii="Times New Roman" w:hAnsi="Times New Roman"/>
          <w:sz w:val="20"/>
        </w:rPr>
        <w:t xml:space="preserve">, (ii) from and after the Effective Time, (A) the right of the holders of Shares to receive the applicable Merger Consideration payable in accordance with </w:t>
      </w:r>
      <w:r>
        <w:rPr>
          <w:rFonts w:ascii="Times New Roman" w:hAnsi="Times New Roman"/>
          <w:sz w:val="20"/>
          <w:u w:val="single"/>
        </w:rPr>
        <w:t>Section 2.2</w:t>
      </w:r>
      <w:r>
        <w:rPr>
          <w:rFonts w:ascii="Times New Roman" w:hAnsi="Times New Roman"/>
          <w:sz w:val="20"/>
        </w:rPr>
        <w:t xml:space="preserve">, and (B) the right of the holders of the Company Equity Awards to receive the payment in accordance with </w:t>
      </w:r>
      <w:r>
        <w:rPr>
          <w:rFonts w:ascii="Times New Roman" w:hAnsi="Times New Roman"/>
          <w:sz w:val="20"/>
          <w:u w:val="single"/>
        </w:rPr>
        <w:t>Section 2.4</w:t>
      </w:r>
      <w:r>
        <w:rPr>
          <w:rFonts w:ascii="Times New Roman" w:hAnsi="Times New Roman"/>
          <w:sz w:val="20"/>
        </w:rPr>
        <w:t xml:space="preserve">, (iii) the limitations on liability of the Company Related Parties set forth in </w:t>
      </w:r>
      <w:r>
        <w:rPr>
          <w:rFonts w:ascii="Times New Roman" w:hAnsi="Times New Roman"/>
          <w:sz w:val="20"/>
          <w:u w:val="single"/>
        </w:rPr>
        <w:t>Section 8.3(g)(ii)</w:t>
      </w:r>
      <w:r>
        <w:rPr>
          <w:rFonts w:ascii="Times New Roman" w:hAnsi="Times New Roman"/>
          <w:sz w:val="20"/>
        </w:rPr>
        <w:t xml:space="preserve"> and </w:t>
      </w:r>
      <w:r>
        <w:rPr>
          <w:rFonts w:ascii="Times New Roman" w:hAnsi="Times New Roman"/>
          <w:sz w:val="20"/>
          <w:u w:val="single"/>
        </w:rPr>
        <w:t>Section 8.3(g)(iv)</w:t>
      </w:r>
      <w:r>
        <w:rPr>
          <w:rFonts w:ascii="Times New Roman" w:hAnsi="Times New Roman"/>
          <w:sz w:val="20"/>
        </w:rPr>
        <w:t xml:space="preserve"> (iv) the limitations on liability of the Parent Related Parties set forth in </w:t>
      </w:r>
      <w:r>
        <w:rPr>
          <w:rFonts w:ascii="Times New Roman" w:hAnsi="Times New Roman"/>
          <w:sz w:val="20"/>
          <w:u w:val="single"/>
        </w:rPr>
        <w:t>Section 8.3(g)(iii)</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and (v) the rights of the Company as an express third-party beneficiary of the Guarantee and the Equity Commitment Letter, and any other applicable agreements or documents relating to the Equity Financing or Debt Financing to which the Company is expressly made a third party beneficiary. Parent acknowledges and agrees that the Company shall be entitled to pursue, on the behalf the stockholders or other equityholders of the Company, specific performance as set forth in </w:t>
      </w:r>
      <w:r>
        <w:rPr>
          <w:rFonts w:ascii="Times New Roman" w:hAnsi="Times New Roman"/>
          <w:sz w:val="20"/>
          <w:u w:val="single"/>
        </w:rPr>
        <w:t>Section 9.9</w:t>
      </w:r>
      <w:r>
        <w:rPr>
          <w:rFonts w:ascii="Times New Roman" w:hAnsi="Times New Roman"/>
          <w:sz w:val="20"/>
        </w:rPr>
        <w:t xml:space="preserve"> or damages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and upon receipt of any payments as a result thereof, the Company shall be entitled to retain the amount of such payments so received.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the remaining provisions of this Agreement will be enforced so as to effect the original intent of the parties as closely as possible in an acceptable manner to the end that the transactions contemplated by this Agreement are fulfilled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Governing Law; Jurisdiction; 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or the Transactions,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in respect of the Transactions,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9.4</w:t>
      </w:r>
      <w:r>
        <w:rPr>
          <w:rFonts w:ascii="Times New Roman" w:hAnsi="Times New Roman"/>
          <w:sz w:val="20"/>
        </w:rPr>
        <w:t xml:space="preserve"> or in such other manner as may be permitted by Law shall be valid and sufficient service thereof. The parties hereto agree that service of any court paper may be made in any manner as may be provided under applicable Law or court rules governing service of process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Specific Performance</w:t>
      </w:r>
      <w:r>
        <w:rPr>
          <w:rFonts w:ascii="Times New Roman" w:hAnsi="Times New Roman"/>
          <w:sz w:val="20"/>
        </w:rPr>
        <w:t xml:space="preserve">. The parties agree that irreparable damage would occur and that the parties would not have any adequate remedy at law in the event that the parties hereto do not perform the provisions of this Agreement (including any party hereto failing to take such actions as are required of it hereunder in order to consummate this Agreement) in accordance with its specified terms or otherwise breach such provisions. The parties hereto acknowledge and agree that, subject to </w:t>
      </w:r>
      <w:r>
        <w:rPr>
          <w:rFonts w:ascii="Times New Roman" w:hAnsi="Times New Roman"/>
          <w:sz w:val="20"/>
          <w:u w:val="single"/>
        </w:rPr>
        <w:t>Section 8.3(g)(vi)</w:t>
      </w:r>
      <w:r>
        <w:rPr>
          <w:rFonts w:ascii="Times New Roman" w:hAnsi="Times New Roman"/>
          <w:sz w:val="20"/>
        </w:rPr>
        <w:t xml:space="preserve"> (i) the parties hereto will be entitled, in addition to,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lieu of, any other remedy to which they are entitled at law or in equity or under this Agreement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to an injunction, specific performance and other equitable relief to prevent breaches (or threatened breaches) of this Agreement and to enforce specifically the terms and provisions hereof, without proof of damages or otherwise (and each party hereto hereby waives any requirement for the securing or posting of any bond in connection with such remedy); and (ii) the right to an injunction, specific enforcement and other equitable relief is an integral part of the Transactions and without that right, none of the parties would have entered into this Agreement. The parties hereto further agree not to assert that a remedy of specific enforcement is unenforceable, invalid, contrary to Law or inequitable for any reason, nor to assert that a remedy of monetary damages would provide an adequate remedy. Without limiting the generality of the foregoing, and notwithstanding anything to the contrary set forth herein, the Guarantee or the Commitment Letters, the parties further acknowledge and agree that prior to the Closing, the Company shall be entitled to specific performance to cause Parent and/or Merger Sub to draw down the full proceeds of the Equity Financing and to cause Parent or Merger Sub to consummate the Merger on the terms and subject to the conditions in this Agreement, if, (i)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(ii)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(iii) following such failure by Parent and Merger Sub to consummate the Merger, the Company has confirmed to Parent in writing that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(B) the Company is ready, willing and able to consummate the Merger, (iv) Parent and Merger Sub fail to consummate the Merger within two (2) Business Days after receipt of the notice contemplated by the foregoing </w:t>
      </w:r>
      <w:r>
        <w:rPr>
          <w:rFonts w:ascii="Times New Roman" w:hAnsi="Times New Roman"/>
          <w:sz w:val="20"/>
          <w:u w:val="single"/>
        </w:rPr>
        <w:t>clause (iii)</w:t>
      </w:r>
      <w:r>
        <w:rPr>
          <w:rFonts w:ascii="Times New Roman" w:hAnsi="Times New Roman"/>
          <w:sz w:val="20"/>
        </w:rPr>
        <w:t xml:space="preserve">, and (v) the Debt Financing has been funded or will be funded in accordance with the terms and conditions of the Debt Commitment Letters at the Closing if the Equity Financing is funded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Objections</w:t>
      </w:r>
      <w:r>
        <w:rPr>
          <w:rFonts w:ascii="Times New Roman" w:hAnsi="Times New Roman"/>
          <w:sz w:val="20"/>
        </w:rPr>
        <w:t xml:space="preserve">. 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Any party hereto seeking an injunction or injunctions to prevent breaches of this Agreement and to enforce specifically the terms and provisions of this Agreement will not be required to provide any bond or other security in connection with such injunction or enforcement, and each party hereto irrevocably waives any right that it may have to require the obtaining, furnishing or posting of any such bond or other security. The rights and remedies provided in this Agreement shall be cumulative and not exclusive of any rights or remedies provided by applicable Law, and the exercise by a party hereto of any one remedy shall not preclude the exercise of any other remedy. The parties hereto further agree that (i) by seeking the remedies provided for in this </w:t>
      </w:r>
      <w:r>
        <w:rPr>
          <w:rFonts w:ascii="Times New Roman" w:hAnsi="Times New Roman"/>
          <w:sz w:val="20"/>
          <w:u w:val="single"/>
        </w:rPr>
        <w:t>Section 9.9</w:t>
      </w:r>
      <w:r>
        <w:rPr>
          <w:rFonts w:ascii="Times New Roman" w:hAnsi="Times New Roman"/>
          <w:sz w:val="20"/>
        </w:rPr>
        <w:t xml:space="preserve">, a party hereto shall not in any respect waive its right to seek any other form of relief that may be available to a party under this Agreement (but subject in all respects to the terms hereof) in the event that this Agreement has been terminated or in the event that the remedies provided for in this </w:t>
      </w:r>
      <w:r>
        <w:rPr>
          <w:rFonts w:ascii="Times New Roman" w:hAnsi="Times New Roman"/>
          <w:sz w:val="20"/>
          <w:u w:val="single"/>
        </w:rPr>
        <w:t>Section 9.9</w:t>
      </w:r>
      <w:r>
        <w:rPr>
          <w:rFonts w:ascii="Times New Roman" w:hAnsi="Times New Roman"/>
          <w:sz w:val="20"/>
        </w:rPr>
        <w:t xml:space="preserve"> are not available or otherwise are not granted, and (ii) nothing set forth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require any party hereto to institute any proceeding for (or limit any party’s right to institute any proceeding for) specific performance under this </w:t>
      </w:r>
      <w:r>
        <w:rPr>
          <w:rFonts w:ascii="Times New Roman" w:hAnsi="Times New Roman"/>
          <w:sz w:val="20"/>
          <w:u w:val="single"/>
        </w:rPr>
        <w:t>Section 9.9</w:t>
      </w:r>
      <w:r>
        <w:rPr>
          <w:rFonts w:ascii="Times New Roman" w:hAnsi="Times New Roman"/>
          <w:sz w:val="20"/>
        </w:rPr>
        <w:t xml:space="preserve"> prior or as a condition to exercising any termination right under </w:t>
      </w:r>
      <w:r>
        <w:rPr>
          <w:rFonts w:ascii="Times New Roman" w:hAnsi="Times New Roman"/>
          <w:sz w:val="20"/>
          <w:u w:val="single"/>
        </w:rPr>
        <w:t>Article VIII</w:t>
      </w:r>
      <w:r>
        <w:rPr>
          <w:rFonts w:ascii="Times New Roman" w:hAnsi="Times New Roman"/>
          <w:sz w:val="20"/>
        </w:rPr>
        <w:t xml:space="preserve">, pursuing damages after such termination in accordance with the terms of this Agreement, nor shall the commencement of any proceeding pursuant to this </w:t>
      </w:r>
      <w:r>
        <w:rPr>
          <w:rFonts w:ascii="Times New Roman" w:hAnsi="Times New Roman"/>
          <w:sz w:val="20"/>
          <w:u w:val="single"/>
        </w:rPr>
        <w:t>Section 9.9</w:t>
      </w:r>
      <w:r>
        <w:rPr>
          <w:rFonts w:ascii="Times New Roman" w:hAnsi="Times New Roman"/>
          <w:sz w:val="20"/>
        </w:rPr>
        <w:t xml:space="preserve"> or anything set forth in this </w:t>
      </w:r>
      <w:r>
        <w:rPr>
          <w:rFonts w:ascii="Times New Roman" w:hAnsi="Times New Roman"/>
          <w:sz w:val="20"/>
          <w:u w:val="single"/>
        </w:rPr>
        <w:t>Section 9.9</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Assignment</w:t>
      </w:r>
      <w:r>
        <w:rPr>
          <w:rFonts w:ascii="Times New Roman" w:hAnsi="Times New Roman"/>
          <w:sz w:val="20"/>
        </w:rPr>
        <w:t xml:space="preserve">. No party may assign, delegate or otherwise transfer any of its rights or obligations under this Agreement without the prior written consent of each other party hereto, except that each of Parent and Merger Sub may transfer or assign its respective rights under this Agreement, in whole or from time to time in part, (a) to one or more of its Affiliates at any time or (b) as collateral to any Debt Financing Sources at any time pursuant to the terms of the Debt Financing; </w:t>
      </w:r>
      <w:r>
        <w:rPr>
          <w:rFonts w:ascii="Times New Roman" w:hAnsi="Times New Roman"/>
          <w:sz w:val="20"/>
          <w:u w:val="single"/>
        </w:rPr>
        <w:t>provided</w:t>
      </w:r>
      <w:r>
        <w:rPr>
          <w:rFonts w:ascii="Times New Roman" w:hAnsi="Times New Roman"/>
          <w:sz w:val="20"/>
        </w:rPr>
        <w:t xml:space="preserve"> that such transfer or assignment shall not relieve Parent or Merger Sub of its respective obligations hereunder or enlarge, alter or change any obligation of any other party hereto or due to Parent or Merger Sub. Any purported assignment not permitted under this </w:t>
      </w:r>
      <w:r>
        <w:rPr>
          <w:rFonts w:ascii="Times New Roman" w:hAnsi="Times New Roman"/>
          <w:sz w:val="20"/>
          <w:u w:val="single"/>
        </w:rPr>
        <w:t>Section 9.10</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240" w:after="0"/>
        <w:jc w:val="left"/>
        <w:rPr/>
      </w:pPr>
      <w:r>
        <w:rPr/>
        <w:t>“</w:t>
      </w:r>
      <w:r>
        <w:rPr>
          <w:rFonts w:ascii="Times New Roman" w:hAnsi="Times New Roman"/>
          <w:sz w:val="20"/>
          <w:u w:val="single"/>
        </w:rPr>
        <w:t>Atomic Energy Act</w:t>
      </w:r>
      <w:r>
        <w:rPr>
          <w:rFonts w:ascii="Times New Roman" w:hAnsi="Times New Roman"/>
          <w:sz w:val="20"/>
        </w:rPr>
        <w:t xml:space="preserve">” means the Atomic Energy Act of 1954, as amended (42 U.S.C. § 2011 et seq.). </w:t>
      </w:r>
    </w:p>
    <w:p>
      <w:pPr>
        <w:pStyle w:val="TextBody"/>
        <w:bidi w:val="0"/>
        <w:spacing w:before="240" w:after="0"/>
        <w:jc w:val="left"/>
        <w:rPr/>
      </w:pPr>
      <w:r>
        <w:rPr/>
        <w:t>“</w:t>
      </w:r>
      <w:r>
        <w:rPr>
          <w:rFonts w:ascii="Times New Roman" w:hAnsi="Times New Roman"/>
          <w:sz w:val="20"/>
          <w:u w:val="single"/>
        </w:rPr>
        <w:t>Balance Sheet</w:t>
      </w:r>
      <w:r>
        <w:rPr>
          <w:rFonts w:ascii="Times New Roman" w:hAnsi="Times New Roman"/>
          <w:sz w:val="20"/>
        </w:rPr>
        <w:t xml:space="preserve">” means the consolidated balance sheet of the Company dated as of March 31, 2026, included in the Company’s Quarterly Report on Form 10-Q for the quarterly period ended March 31, 2026 filed with the SEC on May 7, 2026. </w:t>
      </w:r>
    </w:p>
    <w:p>
      <w:pPr>
        <w:pStyle w:val="TextBody"/>
        <w:bidi w:val="0"/>
        <w:spacing w:before="240" w:after="0"/>
        <w:jc w:val="left"/>
        <w:rPr/>
      </w:pPr>
      <w:r>
        <w:rPr/>
        <w:t>“</w:t>
      </w:r>
      <w:r>
        <w:rPr>
          <w:rFonts w:ascii="Times New Roman" w:hAnsi="Times New Roman"/>
          <w:sz w:val="20"/>
          <w:u w:val="single"/>
        </w:rPr>
        <w:t>Balance Sheet Date</w:t>
      </w:r>
      <w:r>
        <w:rPr>
          <w:rFonts w:ascii="Times New Roman" w:hAnsi="Times New Roman"/>
          <w:sz w:val="20"/>
        </w:rPr>
        <w:t xml:space="preserve">” means March 31, 2026.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3.10(a)</w:t>
      </w:r>
      <w:r>
        <w:rPr>
          <w:rFonts w:ascii="Times New Roman" w:hAnsi="Times New Roman"/>
          <w:sz w:val="20"/>
        </w:rPr>
        <w:t xml:space="preserve"> of the Agreement. </w:t>
      </w:r>
    </w:p>
    <w:p>
      <w:pPr>
        <w:pStyle w:val="TextBody"/>
        <w:bidi w:val="0"/>
        <w:spacing w:before="240" w:after="0"/>
        <w:jc w:val="left"/>
        <w:rPr/>
      </w:pPr>
      <w:r>
        <w:rPr/>
        <w:t>“</w:t>
      </w:r>
      <w:r>
        <w:rPr>
          <w:rFonts w:ascii="Times New Roman" w:hAnsi="Times New Roman"/>
          <w:sz w:val="20"/>
          <w:u w:val="single"/>
        </w:rPr>
        <w:t>Burdensome Condition Requirement</w:t>
      </w:r>
      <w:r>
        <w:rPr>
          <w:rFonts w:ascii="Times New Roman" w:hAnsi="Times New Roman"/>
          <w:sz w:val="20"/>
        </w:rPr>
        <w:t xml:space="preserve">” means that following the receipt of the Staff Recommendation pursuant to </w:t>
      </w:r>
      <w:r>
        <w:rPr>
          <w:rFonts w:ascii="Times New Roman" w:hAnsi="Times New Roman"/>
          <w:sz w:val="20"/>
          <w:u w:val="single"/>
        </w:rPr>
        <w:t>Section 6.2(e)</w:t>
      </w:r>
      <w:r>
        <w:rPr>
          <w:rFonts w:ascii="Times New Roman" w:hAnsi="Times New Roman"/>
          <w:sz w:val="20"/>
        </w:rPr>
        <w:t xml:space="preserve">, it is readily apparent that a Remedy that constitutes a Burdensome Condition would be required to be included in any Regulatory Commitment of Parent in order to resolve any adverse Staff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Data</w:t>
      </w:r>
      <w:r>
        <w:rPr>
          <w:rFonts w:ascii="Times New Roman" w:hAnsi="Times New Roman"/>
          <w:sz w:val="20"/>
        </w:rPr>
        <w:t xml:space="preserve">” means all information and data (whether of employees, contractors, consultants, customers, consumers, or other Persons and whether in electronic or any other form or medium) that is Processed by the Company or any Company Subsidiary’s Business Systems.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or Sunday or a day on which commercial banks are authorized or required by Law to be closed in New York, New York; Bedford, Massachusetts; or London, United Kingdom. </w:t>
      </w:r>
    </w:p>
    <w:p>
      <w:pPr>
        <w:pStyle w:val="TextBody"/>
        <w:bidi w:val="0"/>
        <w:spacing w:before="240" w:after="0"/>
        <w:jc w:val="left"/>
        <w:rPr/>
      </w:pPr>
      <w:r>
        <w:rPr/>
        <w:t>“</w:t>
      </w:r>
      <w:r>
        <w:rPr>
          <w:rFonts w:ascii="Times New Roman" w:hAnsi="Times New Roman"/>
          <w:sz w:val="20"/>
          <w:u w:val="single"/>
        </w:rPr>
        <w:t>Business Systems</w:t>
      </w:r>
      <w:r>
        <w:rPr>
          <w:rFonts w:ascii="Times New Roman" w:hAnsi="Times New Roman"/>
          <w:sz w:val="20"/>
        </w:rPr>
        <w:t xml:space="preserve">” means all software, firmware, hardware, telecommunications, networks, and other similar or related items of automated, computerized or software systems, that are owned, licensed, or otherwise relied on by the Company or any Company Subsidiaries. </w:t>
      </w:r>
    </w:p>
    <w:p>
      <w:pPr>
        <w:pStyle w:val="TextBody"/>
        <w:bidi w:val="0"/>
        <w:spacing w:before="240" w:after="0"/>
        <w:jc w:val="left"/>
        <w:rPr/>
      </w:pPr>
      <w:r>
        <w:rPr/>
        <w:t>“</w:t>
      </w:r>
      <w:r>
        <w:rPr>
          <w:rFonts w:ascii="Times New Roman" w:hAnsi="Times New Roman"/>
          <w:sz w:val="20"/>
          <w:u w:val="single"/>
        </w:rPr>
        <w:t>CMA</w:t>
      </w:r>
      <w:r>
        <w:rPr>
          <w:rFonts w:ascii="Times New Roman" w:hAnsi="Times New Roman"/>
          <w:sz w:val="20"/>
        </w:rPr>
        <w:t xml:space="preserve">” means the United Kingdom’s Competition and Markets Authority. </w:t>
      </w:r>
    </w:p>
    <w:p>
      <w:pPr>
        <w:pStyle w:val="TextBody"/>
        <w:bidi w:val="0"/>
        <w:spacing w:before="240" w:after="0"/>
        <w:jc w:val="left"/>
        <w:rPr/>
      </w:pPr>
      <w:r>
        <w:rPr/>
        <w:t>“</w:t>
      </w:r>
      <w:r>
        <w:rPr>
          <w:rFonts w:ascii="Times New Roman" w:hAnsi="Times New Roman"/>
          <w:sz w:val="20"/>
          <w:u w:val="single"/>
        </w:rPr>
        <w:t>CMA Briefing Paper</w:t>
      </w:r>
      <w:r>
        <w:rPr>
          <w:rFonts w:ascii="Times New Roman" w:hAnsi="Times New Roman"/>
          <w:sz w:val="20"/>
        </w:rPr>
        <w:t xml:space="preserve">” means a briefing paper prepared by Parent in accordance with the provisions of </w:t>
      </w:r>
      <w:r>
        <w:rPr>
          <w:rFonts w:ascii="Times New Roman" w:hAnsi="Times New Roman"/>
          <w:sz w:val="20"/>
          <w:u w:val="single"/>
        </w:rPr>
        <w:t>Section 6.2(a)</w:t>
      </w:r>
      <w:r>
        <w:rPr>
          <w:rFonts w:ascii="Times New Roman" w:hAnsi="Times New Roman"/>
          <w:sz w:val="20"/>
        </w:rPr>
        <w:t xml:space="preserve">, submitted to the CMA in respect of the transactions contemplated by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dated as of May 1, 2025.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Amended and Restated Certificate of Incorporation of the Company filed with the Secretary of State of the State of Delaware on April 26, 2018, as amended by the Certificate of Amendment filed with the Secretary of State of the State of Delaware on April 30, 2026. </w:t>
      </w:r>
    </w:p>
    <w:p>
      <w:pPr>
        <w:pStyle w:val="TextBody"/>
        <w:bidi w:val="0"/>
        <w:spacing w:before="240" w:after="0"/>
        <w:jc w:val="left"/>
        <w:rPr/>
      </w:pPr>
      <w:r>
        <w:rPr/>
        <w:t>“</w:t>
      </w:r>
      <w:r>
        <w:rPr>
          <w:rFonts w:ascii="Times New Roman" w:hAnsi="Times New Roman"/>
          <w:sz w:val="20"/>
          <w:u w:val="single"/>
        </w:rPr>
        <w:t>Company Convertible Notes</w:t>
      </w:r>
      <w:r>
        <w:rPr>
          <w:rFonts w:ascii="Times New Roman" w:hAnsi="Times New Roman"/>
          <w:sz w:val="20"/>
        </w:rPr>
        <w:t xml:space="preserve">” means the 2.625% Convertible Senior Notes due December 2027 issued under the Indenture. </w:t>
      </w:r>
    </w:p>
    <w:p>
      <w:pPr>
        <w:pStyle w:val="TextBody"/>
        <w:bidi w:val="0"/>
        <w:spacing w:before="240" w:after="0"/>
        <w:jc w:val="left"/>
        <w:rPr/>
      </w:pPr>
      <w:r>
        <w:rPr/>
        <w:t>“</w:t>
      </w:r>
      <w:r>
        <w:rPr>
          <w:rFonts w:ascii="Times New Roman" w:hAnsi="Times New Roman"/>
          <w:sz w:val="20"/>
          <w:u w:val="single"/>
        </w:rPr>
        <w:t>Company Equity Plan</w:t>
      </w:r>
      <w:r>
        <w:rPr>
          <w:rFonts w:ascii="Times New Roman" w:hAnsi="Times New Roman"/>
          <w:sz w:val="20"/>
        </w:rPr>
        <w:t xml:space="preserve">” means each of (i) the Company’s Amended and Restated 2026 Equity Incentive Plan, which amended and restated the Company’s 2015 Equity Incentive Plan, (ii) the Company’s 2013 Equity Incentive Plan and (iii) the Company’s 2008 Equity Incentive Plan.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2023 Employee Stock Purchase Plan.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Charter.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(i) Owned Company Intellectual Property and (ii) all Licensed Company Intellectual Property.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has a material adverse effect on (i) the business, financial condition, assets, liabilities, or results of operations of the Company and the Company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Effect resulting from the following will not be deemed to constitute a Company Material Adverse Effect and will be disregarded in determining whether a Company Material Adverse Effect has occurred: (A)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economic or political conditions (or changes or disruptions in such conditions) in the United States or any other country or region in the world, or conditions in the global economy generally; (B) conditions (or changes or disruptions in such conditions) generally affecting the industries in which the Company and the Company Subsidiaries operate; (C) 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(D) changes in the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(D)</w:t>
      </w:r>
      <w:r>
        <w:rPr>
          <w:rFonts w:ascii="Times New Roman" w:hAnsi="Times New Roman"/>
          <w:sz w:val="20"/>
        </w:rPr>
        <w:t xml:space="preserve"> shall not preclude a determination that a matter underlying such change has resulted in or contributed to a Company Material Adverse Effect); (E) the failure, in and of itself, of the Company to meet any internal or external projections, forecasts, estimates or predictions in respect of any financial or operating metrics before, on or after the date of this Agreement, or changes or prospective changes in the market price or trading volume of the Shares or the credit rating of the Company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(E)</w:t>
      </w:r>
      <w:r>
        <w:rPr>
          <w:rFonts w:ascii="Times New Roman" w:hAnsi="Times New Roman"/>
          <w:sz w:val="20"/>
        </w:rPr>
        <w:t xml:space="preserve"> shall not preclude a determination that a matter underlying such change has resulted in or contributed to a Company Material Adverse Effect); (F) 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(G) any changes or proposed changes in Laws, regulations or accounting principles, or interpretations thereof; (H) the negotiation, announcement, pendency or completion of this Agreement or the transactions contemplated hereby, including, in any such case, the impact thereof on relationships, contractual or otherwise, with customers, suppliers, vendors, lenders, investors, licensors, licensees, collaboration partners, employee or any other party having material business dealings with the Company or any Company Subsidiary; (I) the performance of this Agreement and the transactions contemplated hereby, including compliance with covenants set forth herein, or any action taken or omitted to be taken by the Company (1) at the request or with the prior written consent of Parent or (2) due to Parent not granting a consent requested by the Company pursuant to </w:t>
      </w:r>
      <w:r>
        <w:rPr>
          <w:rFonts w:ascii="Times New Roman" w:hAnsi="Times New Roman"/>
          <w:sz w:val="20"/>
          <w:u w:val="single"/>
        </w:rPr>
        <w:t>Section 5.1</w:t>
      </w:r>
      <w:r>
        <w:rPr>
          <w:rFonts w:ascii="Times New Roman" w:hAnsi="Times New Roman"/>
          <w:sz w:val="20"/>
        </w:rPr>
        <w:t xml:space="preserve">; (J) the identity of, or any facts or circumstances relating to, Parent, Merger Sub or their respective Affiliates; (K) the initiation or settlement of any Transaction Litigation or any Legal Proceedings commenced by or involving any Governmental Entity in connection with this Agreement or the transactions contemplated hereby; or (L) any matters set forth on the Company Disclosure Schedule or in the Company SEC Documents filed on or prior to the date hereof (excluding any disclosures in “risk factors” or otherwise relating to forward-looking statements to the extent that they are cautionary, predictive or forward-looking in nature (it being understood that any factual information contained within such disclosures shall not be excluded)); except, with respect to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definition, to the extent such change, effect, event, inaccuracy, occurrence or other matter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or (ii) the Company’s ability to consummate the Transactions on or before the Outside Date. </w:t>
      </w:r>
    </w:p>
    <w:p>
      <w:pPr>
        <w:pStyle w:val="TextBody"/>
        <w:bidi w:val="0"/>
        <w:spacing w:before="240" w:after="0"/>
        <w:jc w:val="left"/>
        <w:rPr/>
      </w:pPr>
      <w:r>
        <w:rPr/>
        <w:t>“</w:t>
      </w:r>
      <w:r>
        <w:rPr>
          <w:rFonts w:ascii="Times New Roman" w:hAnsi="Times New Roman"/>
          <w:sz w:val="20"/>
          <w:u w:val="single"/>
        </w:rPr>
        <w:t>Company Product</w:t>
      </w:r>
      <w:r>
        <w:rPr>
          <w:rFonts w:ascii="Times New Roman" w:hAnsi="Times New Roman"/>
          <w:sz w:val="20"/>
        </w:rPr>
        <w:t xml:space="preserve">” means any product or product candidate (including any pharmaceutical or medicinal therapy or compound, or medical device) developed, researched, marketed, commercialized, manufactured or tested by or on behalf of the Company or any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Competing Proposal</w:t>
      </w:r>
      <w:r>
        <w:rPr>
          <w:rFonts w:ascii="Times New Roman" w:hAnsi="Times New Roman"/>
          <w:sz w:val="20"/>
        </w:rPr>
        <w:t xml:space="preserve">” means any proposal or offer made by a Person or group (other than Parent) at any time after the date hereof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any Subsidiary of the Company.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means an amount in cash equal to $228,000,000.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means (i) the confidentiality agreement, dated as of February 18, 2026, by and between Parent and Lantheus Medical Imaging, Inc. (“</w:t>
      </w:r>
      <w:r>
        <w:rPr>
          <w:rFonts w:ascii="Times New Roman" w:hAnsi="Times New Roman"/>
          <w:sz w:val="20"/>
          <w:u w:val="single"/>
        </w:rPr>
        <w:t>Lantheus Medical</w:t>
      </w:r>
      <w:r>
        <w:rPr>
          <w:rFonts w:ascii="Times New Roman" w:hAnsi="Times New Roman"/>
          <w:sz w:val="20"/>
        </w:rPr>
        <w:t xml:space="preserve">”), as amended, and (ii) the clean team agreement, dated as of May 20, 2026, between Parent and Lantheus Medical.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note, bond, mortgage, indenture, contract, agreement, lease, license or other instrument that is legally binding.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means a Contingent Value Rights Agreement to be entered by the parties thereto at or prior to the Effective Time substantially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agents, arrangers, lenders and other entities that have committed to provide, syndicate or arrange all or any part of the Debt Financing, including the agent and lender parties to the Debt Commitment Letters or any joinder agreements, commitment letters, credit agreements or similar documents entered into in connection therewith, together with their respective Affiliates and their and their respective Affiliates’ officers, directors, employees, controlling persons, agents and other Representatives and their respective successors and assigns.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condition, circumstance, event, fact, or occurrence.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Laws which (i) regulate or relate to the protection or clean-up of the environment; the use, treatment, storage, transportation, handling, disposal or release of, or exposure to, Hazardous Substances; the preservation or protection of waterways, groundwater, drinking water, soil, subsurface strata, air, wildlife, plants or other natural resources; or the health and safety of persons or property, including protection of the health and safety of employees or (ii) impose liability or responsibility with respect to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regulations promulgated and rulings issued thereunder.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Laws relating to export, reexport, transfer, retransfer, and import controls, including the U.S. Export Administration Regulations, the customs and import Laws administered by U.S. Customs and Border Protection, and the EU Dual Use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any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w:t>
      </w:r>
    </w:p>
    <w:p>
      <w:pPr>
        <w:pStyle w:val="TextBody"/>
        <w:bidi w:val="0"/>
        <w:spacing w:before="240" w:after="0"/>
        <w:jc w:val="left"/>
        <w:rPr/>
      </w:pPr>
      <w:r>
        <w:rPr/>
        <w:t>“</w:t>
      </w:r>
      <w:r>
        <w:rPr>
          <w:rFonts w:ascii="Times New Roman" w:hAnsi="Times New Roman"/>
          <w:sz w:val="20"/>
          <w:u w:val="single"/>
        </w:rPr>
        <w:t>Exploit</w:t>
      </w:r>
      <w:r>
        <w:rPr>
          <w:rFonts w:ascii="Times New Roman" w:hAnsi="Times New Roman"/>
          <w:sz w:val="20"/>
        </w:rPr>
        <w:t xml:space="preserve">” means to make, have made, use, sell, offer for sale, import, and to otherwise exploit. “Exploitation” means to engage in any of the foregoing actions.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Federal Healthcare Program</w:t>
      </w:r>
      <w:r>
        <w:rPr>
          <w:rFonts w:ascii="Times New Roman" w:hAnsi="Times New Roman"/>
          <w:sz w:val="20"/>
        </w:rPr>
        <w:t xml:space="preserve">” has the meaning set forth in 42 U.S.C. 1320a-7b(f).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Good Clinical Practices</w:t>
      </w:r>
      <w:r>
        <w:rPr>
          <w:rFonts w:ascii="Times New Roman" w:hAnsi="Times New Roman"/>
          <w:sz w:val="20"/>
        </w:rPr>
        <w:t xml:space="preserve">” means all then-current applicable requirements and standards for designing, conducting, recording, and reporting clinical trials for pharmaceutical products, including (i) U.S. Code of Federal Regulations Title 21 parts 50, 54, 56, and 312, (ii) the applicable revision of ICH Guideline for good clinical practice E6, and (iii) Directive 2005/28/EC and Regulation (EU) No 536/2014. </w:t>
      </w:r>
    </w:p>
    <w:p>
      <w:pPr>
        <w:pStyle w:val="TextBody"/>
        <w:bidi w:val="0"/>
        <w:spacing w:before="240" w:after="0"/>
        <w:jc w:val="left"/>
        <w:rPr/>
      </w:pPr>
      <w:r>
        <w:rPr/>
        <w:t>“</w:t>
      </w:r>
      <w:r>
        <w:rPr>
          <w:rFonts w:ascii="Times New Roman" w:hAnsi="Times New Roman"/>
          <w:sz w:val="20"/>
          <w:u w:val="single"/>
        </w:rPr>
        <w:t>Good Laboratory Practices</w:t>
      </w:r>
      <w:r>
        <w:rPr>
          <w:rFonts w:ascii="Times New Roman" w:hAnsi="Times New Roman"/>
          <w:sz w:val="20"/>
        </w:rPr>
        <w:t xml:space="preserve">” means all then-current applicable requirements and standards for the conduct of non-clinical studies of pharmaceutical products, including (i) U.S. Code of Federal Regulations Title 21 part 58; (ii) Directive 2004/10/EC; (iii) Directive 2010/63/EU; and (iv) the OECD Principles on Good Laboratory Practice.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between the Company or any Company Subsidiary, on the one hand, and (i) any Governmental Entity, or (ii) any higher-tier subcontractor with respect to any contract described in </w:t>
      </w:r>
      <w:r>
        <w:rPr>
          <w:rFonts w:ascii="Times New Roman" w:hAnsi="Times New Roman"/>
          <w:sz w:val="20"/>
          <w:u w:val="single"/>
        </w:rPr>
        <w:t>clause (i)</w:t>
      </w:r>
      <w:r>
        <w:rPr>
          <w:rFonts w:ascii="Times New Roman" w:hAnsi="Times New Roman"/>
          <w:sz w:val="20"/>
        </w:rPr>
        <w:t xml:space="preserve"> immediately above, on the other hand. Unless otherwise indicated, a task, purchase or delivery order issued under a Government Contract shall not constitute a separate Government Contract for purposes of this definition, but shall be part of the Government Contract under which it was issued.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federal, state, local, international, multinational, supranational or foreign government or political subdivision thereof, or any agency, instrumentality, department, commission, board or bureau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or arbitral body (public or private), court or tribunal, in each case,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Guarantor</w:t>
      </w:r>
      <w:r>
        <w:rPr>
          <w:rFonts w:ascii="Times New Roman" w:hAnsi="Times New Roman"/>
          <w:sz w:val="20"/>
        </w:rPr>
        <w:t xml:space="preserve">” means each of Curium MidCo S.à.r.l, Curium BidCo S.à.r.l. and CapVest Strategic Opportunities 12 SCSp.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material, waste, or any toxic, infectious, carcinogenic, reactive, corrosive, ignitable or flammable chemical, or chemical compound, or hazardous substance, material or waste, whether solid, liquid or gas, in each case that is subject to regulation, control, liability or remediation under any Environmental Laws, including petroleum products or byproducts, asbestos, radioactive materials, polychlorinated biphenyls, toxic mold, or per- or polyfluoroalkyl substances. </w:t>
      </w:r>
    </w:p>
    <w:p>
      <w:pPr>
        <w:pStyle w:val="TextBody"/>
        <w:bidi w:val="0"/>
        <w:spacing w:before="240" w:after="0"/>
        <w:jc w:val="left"/>
        <w:rPr/>
      </w:pPr>
      <w:r>
        <w:rPr/>
        <w:t>“</w:t>
      </w:r>
      <w:r>
        <w:rPr>
          <w:rFonts w:ascii="Times New Roman" w:hAnsi="Times New Roman"/>
          <w:sz w:val="20"/>
          <w:u w:val="single"/>
        </w:rPr>
        <w:t>Health Authority</w:t>
      </w:r>
      <w:r>
        <w:rPr>
          <w:rFonts w:ascii="Times New Roman" w:hAnsi="Times New Roman"/>
          <w:sz w:val="20"/>
        </w:rPr>
        <w:t xml:space="preserve">” means the Governmental Entities which administer Health Laws including the FDA, Drug Enforcement Administration, United States Department of Health and Human Services, the Centers for Medicare and Medicaid Services, state Medicaid agencies, state boards of pharmacy, the European Commission, the competent authorities of the Member States of the European Union, the European Medicines Agency, any Notified Body, and other equivalent agencies or authorities.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(i) an investigational new drug application filed with the FDA for authorization to commence clinical studies and its equivalent in other countries or regulatory jurisdictions and (ii) all supplements and amendments that may be filed with respect to the foregoing.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indenture, dated as of December 8, 2022, by and among the Company, Lantheus Medical, a wholly owned subsidiary of the Company, as guarantor, and U.S. Bank Trust Company, National Association, as trustee, with respect to the Company Convertible Notes,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any and all intellectual property and proprietary rights and all rights associated therewith, throughout the world, including: (i) inventions (whether or not patentable) and improvements thereto, patents and patent applications and disclosures relating thereto (and any patents that issue as a result of those patent applications), and any renewals, reissues, reexaminations, extensions, continuations, continuations-in-part, divisions, certificate of invention, and substitutions relating to any of the patents and patent applications, as well as all related foreign patent and patent applications that are counterparts to such patents and patent applications and any other governmental grant for the protection of inventions or industrial designs, (ii) trademarks, service marks, trade dress, logos, brand names, trade names and corporate names, and other indicia of source, whether registered or unregistered, and the goodwill associated therewith, together with any registrations and applications for registration thereof, (iii) copyrights, rights under copyrights, and all works of authorship whether registered or unregistered, including moral rights, and any registrations and applications for registration thereof, (iv) trade secrets and confidential information, including know-how, concepts, methods, processes, designs, schematics, drawings, formulae, technical data, specifications, research and development information, technology, and business plans, (v) rights in software, databases and data collections (including knowledge databases, customer lists and customer databases), (vi) URL and domain name registrations and (vii) other rights to industrial property and European Community designs.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Intervening Event</w:t>
      </w:r>
      <w:r>
        <w:rPr>
          <w:rFonts w:ascii="Times New Roman" w:hAnsi="Times New Roman"/>
          <w:sz w:val="20"/>
        </w:rPr>
        <w:t xml:space="preserve">” means a material change, effect, event, circumstance, occurrence or other matter that was not known to the Company Board of Directors or any committee thereof as of the date of this Agreement (or if known, the extent of the consequences of which were not known to the Company Board of Directors or any committee thereof as of the date of this Agreement), which change, effect, event, circumstance, occurrence or other matter, or any consequence thereof, becomes known to the Company Board of Directors or any committee thereof prior to the date of the Company Stockholders Meeting (as it may be adjourned or postponed in accordance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any of the following constitute an Intervening Event: (i) any Competing Proposal or any inquiry, offer or proposal that constitutes or would reasonably be expected to lead to a Competing Proposal nor shall any such Competing Proposal be taken into account in determining whether there has been an Intervening Event, or (ii) changes in the market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preclude a determination that a matter underlying such change has constituted, resulted in or contributed to an Intervening Event).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listed on </w:t>
      </w:r>
      <w:r>
        <w:rPr>
          <w:rFonts w:ascii="Times New Roman" w:hAnsi="Times New Roman"/>
          <w:sz w:val="20"/>
          <w:u w:val="single"/>
        </w:rPr>
        <w:t>Section 9.11</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United States or foreign federal, national, state, provincial or local law, constitution, treaty, ordinance, code, rule, regulation, directive, statute, common law, order, executive order, writ, injunction, judgment, decree, ruling, award or other similar legal requirement enacted, issued, adopted, promulgated or applied by a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any civil, criminal or administrative claim, action, suit, demand, complaint, hearing, charge, litigation, arbitration or proceeding by or before any Governmental Entity. </w:t>
      </w:r>
    </w:p>
    <w:p>
      <w:pPr>
        <w:pStyle w:val="TextBody"/>
        <w:bidi w:val="0"/>
        <w:spacing w:before="240" w:after="0"/>
        <w:jc w:val="left"/>
        <w:rPr/>
      </w:pPr>
      <w:r>
        <w:rPr/>
        <w:t>“</w:t>
      </w:r>
      <w:r>
        <w:rPr>
          <w:rFonts w:ascii="Times New Roman" w:hAnsi="Times New Roman"/>
          <w:sz w:val="20"/>
          <w:u w:val="single"/>
        </w:rPr>
        <w:t>Licensed Company Intellectual Property</w:t>
      </w:r>
      <w:r>
        <w:rPr>
          <w:rFonts w:ascii="Times New Roman" w:hAnsi="Times New Roman"/>
          <w:sz w:val="20"/>
        </w:rPr>
        <w:t xml:space="preserve">” means all Intellectual Property Rights that are licensed or sublicensed to the Company or the Company Subsidiaries by third parties.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security interest, lien, pledge, agreement, limitation in voting rights, charge or other encumbrance of any nature whatsoever, but for the avoidance of doubt, not including a license granted to an Intellectual Property Right. </w:t>
      </w:r>
    </w:p>
    <w:p>
      <w:pPr>
        <w:pStyle w:val="TextBody"/>
        <w:bidi w:val="0"/>
        <w:spacing w:before="240" w:after="0"/>
        <w:jc w:val="left"/>
        <w:rPr/>
      </w:pPr>
      <w:r>
        <w:rPr/>
        <w:t>“</w:t>
      </w:r>
      <w:r>
        <w:rPr>
          <w:rFonts w:ascii="Times New Roman" w:hAnsi="Times New Roman"/>
          <w:sz w:val="20"/>
          <w:u w:val="single"/>
        </w:rPr>
        <w:t>made available</w:t>
      </w:r>
      <w:r>
        <w:rPr>
          <w:rFonts w:ascii="Times New Roman" w:hAnsi="Times New Roman"/>
          <w:sz w:val="20"/>
        </w:rPr>
        <w:t xml:space="preserve">” means, with respect to a particular document, item or other piece of information, (i) inclusion and availability in the virtual data room hosted in connection with the Transactions on or prior to 10:00 p.m. Eastern Time on the date that is one (1) Business Day prior to the date of this Agreement; </w:t>
      </w:r>
      <w:r>
        <w:rPr>
          <w:rFonts w:ascii="Times New Roman" w:hAnsi="Times New Roman"/>
          <w:sz w:val="20"/>
          <w:u w:val="single"/>
        </w:rPr>
        <w:t>provided</w:t>
      </w:r>
      <w:r>
        <w:rPr>
          <w:rFonts w:ascii="Times New Roman" w:hAnsi="Times New Roman"/>
          <w:sz w:val="20"/>
        </w:rPr>
        <w:t xml:space="preserve">, that documents included in the “Specified Disclosure Folder” in the data room prior to the execution of this Agreement shall be deemed ‘made available’ pursuant to this Agreement or (ii) identified on </w:t>
      </w:r>
      <w:r>
        <w:rPr>
          <w:rFonts w:ascii="Times New Roman" w:hAnsi="Times New Roman"/>
          <w:sz w:val="20"/>
          <w:u w:val="single"/>
        </w:rPr>
        <w:t>Section 9.11(a)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given to such term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the Nasdaq Global Market. </w:t>
      </w:r>
    </w:p>
    <w:p>
      <w:pPr>
        <w:pStyle w:val="TextBody"/>
        <w:bidi w:val="0"/>
        <w:spacing w:before="240" w:after="0"/>
        <w:jc w:val="left"/>
        <w:rPr/>
      </w:pPr>
      <w:r>
        <w:rPr/>
        <w:t>“</w:t>
      </w:r>
      <w:r>
        <w:rPr>
          <w:rFonts w:ascii="Times New Roman" w:hAnsi="Times New Roman"/>
          <w:sz w:val="20"/>
          <w:u w:val="single"/>
        </w:rPr>
        <w:t>Notified Body</w:t>
      </w:r>
      <w:r>
        <w:rPr>
          <w:rFonts w:ascii="Times New Roman" w:hAnsi="Times New Roman"/>
          <w:sz w:val="20"/>
        </w:rPr>
        <w:t xml:space="preserve">” means an entity licensed, authorized or approved by the applicable Governmental Entity or third-party private or public organization to assess and certify the conformity of a medical device with the requirements of applicable Law and harmonized standards relating to medical devices. </w:t>
      </w:r>
    </w:p>
    <w:p>
      <w:pPr>
        <w:pStyle w:val="TextBody"/>
        <w:bidi w:val="0"/>
        <w:spacing w:before="240" w:after="0"/>
        <w:jc w:val="left"/>
        <w:rPr/>
      </w:pPr>
      <w:r>
        <w:rPr/>
        <w:t>“</w:t>
      </w:r>
      <w:r>
        <w:rPr>
          <w:rFonts w:ascii="Times New Roman" w:hAnsi="Times New Roman"/>
          <w:sz w:val="20"/>
          <w:u w:val="single"/>
        </w:rPr>
        <w:t>NRC</w:t>
      </w:r>
      <w:r>
        <w:rPr>
          <w:rFonts w:ascii="Times New Roman" w:hAnsi="Times New Roman"/>
          <w:sz w:val="20"/>
        </w:rPr>
        <w:t xml:space="preserve">” means the U.S. Nuclear Regulatory Commission. </w:t>
      </w:r>
    </w:p>
    <w:p>
      <w:pPr>
        <w:pStyle w:val="TextBody"/>
        <w:bidi w:val="0"/>
        <w:spacing w:before="240" w:after="0"/>
        <w:jc w:val="left"/>
        <w:rPr/>
      </w:pPr>
      <w:r>
        <w:rPr/>
        <w:t>“</w:t>
      </w:r>
      <w:r>
        <w:rPr>
          <w:rFonts w:ascii="Times New Roman" w:hAnsi="Times New Roman"/>
          <w:sz w:val="20"/>
          <w:u w:val="single"/>
        </w:rPr>
        <w:t>Nuclear Regulatory Approval</w:t>
      </w:r>
      <w:r>
        <w:rPr>
          <w:rFonts w:ascii="Times New Roman" w:hAnsi="Times New Roman"/>
          <w:sz w:val="20"/>
        </w:rPr>
        <w:t xml:space="preserve">” means the approval from any applicable Nuclear Regulatory Authority (including, for the avoidance of doubt, any successor agency thereto) with respect to the direct or indirect disposition, issuance or transfer of the Nuclear Licenses held by any of the Company or its Subsidiaries and set forth on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License</w:t>
      </w:r>
      <w:r>
        <w:rPr>
          <w:rFonts w:ascii="Times New Roman" w:hAnsi="Times New Roman"/>
          <w:sz w:val="20"/>
        </w:rPr>
        <w:t xml:space="preserve">” means each license, permit, registration, approval, certificate, exception, exemption, grant, authorization, or similar document or authority that has been issued or granted by any Nuclear Regulatory Authority pursuant to Radiation Safety Laws and are, in each case, listed in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Material</w:t>
      </w:r>
      <w:r>
        <w:rPr>
          <w:rFonts w:ascii="Times New Roman" w:hAnsi="Times New Roman"/>
          <w:sz w:val="20"/>
        </w:rPr>
        <w:t xml:space="preserve">” means “source material,” “byproduct material,” or “special nuclear material,” as each term is defined in Section 11 of the Atomic Energy Act (42 U.S.C. § 2014). </w:t>
      </w:r>
    </w:p>
    <w:p>
      <w:pPr>
        <w:pStyle w:val="TextBody"/>
        <w:bidi w:val="0"/>
        <w:spacing w:before="240" w:after="0"/>
        <w:jc w:val="left"/>
        <w:rPr/>
      </w:pPr>
      <w:r>
        <w:rPr/>
        <w:t>“</w:t>
      </w:r>
      <w:r>
        <w:rPr>
          <w:rFonts w:ascii="Times New Roman" w:hAnsi="Times New Roman"/>
          <w:sz w:val="20"/>
          <w:u w:val="single"/>
        </w:rPr>
        <w:t>Nuclear Regulatory Authority</w:t>
      </w:r>
      <w:r>
        <w:rPr>
          <w:rFonts w:ascii="Times New Roman" w:hAnsi="Times New Roman"/>
          <w:sz w:val="20"/>
        </w:rPr>
        <w:t xml:space="preserve">” means any governmental authority, agency or other instrumentality charged with licensing, inspecting, enforcing, monitoring compliance with or otherwise administering the Atomic Energy Act, including, for the avoidance of doubt, the NRC and any agency, subdivision or instrumentality of a U.S. State with authority to regulate Nuclear Material pursuant to an agreement with the NRC under Section 274(b) of the Atomic Energy Act (42 U.S.C. § 2021).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Rights that are owned or purported to be owned, whether wholly or jointly with others, by the Company or any of the Company Subsidiaries.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 material adverse effect on the ability of Parent or Merger Sub to timely perform their obligations under this Agreement or to timely consummate the Transactions. </w:t>
      </w:r>
    </w:p>
    <w:p>
      <w:pPr>
        <w:pStyle w:val="TextBody"/>
        <w:bidi w:val="0"/>
        <w:spacing w:before="240" w:after="0"/>
        <w:jc w:val="left"/>
        <w:rPr/>
      </w:pPr>
      <w:r>
        <w:rPr/>
        <w:t>“</w:t>
      </w:r>
      <w:r>
        <w:rPr>
          <w:rFonts w:ascii="Times New Roman" w:hAnsi="Times New Roman"/>
          <w:sz w:val="20"/>
          <w:u w:val="single"/>
        </w:rPr>
        <w:t>Parent General Termination Fee</w:t>
      </w:r>
      <w:r>
        <w:rPr>
          <w:rFonts w:ascii="Times New Roman" w:hAnsi="Times New Roman"/>
          <w:sz w:val="20"/>
        </w:rPr>
        <w:t xml:space="preserve">” means an amount in cash equal to $385,000,000. </w:t>
      </w:r>
    </w:p>
    <w:p>
      <w:pPr>
        <w:pStyle w:val="TextBody"/>
        <w:bidi w:val="0"/>
        <w:spacing w:before="240" w:after="0"/>
        <w:jc w:val="left"/>
        <w:rPr/>
      </w:pPr>
      <w:r>
        <w:rPr/>
        <w:t>“</w:t>
      </w:r>
      <w:r>
        <w:rPr>
          <w:rFonts w:ascii="Times New Roman" w:hAnsi="Times New Roman"/>
          <w:sz w:val="20"/>
          <w:u w:val="single"/>
        </w:rPr>
        <w:t>Parent Regulatory Termination Fee</w:t>
      </w:r>
      <w:r>
        <w:rPr>
          <w:rFonts w:ascii="Times New Roman" w:hAnsi="Times New Roman"/>
          <w:sz w:val="20"/>
        </w:rPr>
        <w:t xml:space="preserve">” means an amount in cash equal to $100,000,000. </w:t>
      </w:r>
    </w:p>
    <w:p>
      <w:pPr>
        <w:pStyle w:val="TextBody"/>
        <w:bidi w:val="0"/>
        <w:spacing w:before="240" w:after="0"/>
        <w:jc w:val="left"/>
        <w:rPr/>
      </w:pPr>
      <w:r>
        <w:rPr/>
        <w:t>“</w:t>
      </w:r>
      <w:r>
        <w:rPr>
          <w:rFonts w:ascii="Times New Roman" w:hAnsi="Times New Roman"/>
          <w:sz w:val="20"/>
          <w:u w:val="single"/>
        </w:rPr>
        <w:t>Parent Termination Fee</w:t>
      </w:r>
      <w:r>
        <w:rPr>
          <w:rFonts w:ascii="Times New Roman" w:hAnsi="Times New Roman"/>
          <w:sz w:val="20"/>
        </w:rPr>
        <w:t xml:space="preserve">” means the Parent General Termination Fee or the Parent Regulatory Termination Fee,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Liens</w:t>
      </w:r>
      <w:r>
        <w:rPr>
          <w:rFonts w:ascii="Times New Roman" w:hAnsi="Times New Roman"/>
          <w:sz w:val="20"/>
        </w:rPr>
        <w:t xml:space="preserve">” means any (i) statutory Liens for current Taxes or other governmental charges not yet due and payable or the amount or validity of which is being contested in good faith by appropriate Legal Proceedings (and for which adequate reserves are maintained in accordance with GAAP on the Financial Statements), (ii) Liens arising under worker’s compensation, unemployment insurance, social security, retirement and similar Laws, (iii) other statutory Liens securing payments not yet due and payable, (iv) purchase money Liens and Liens securing rental payments under capital lease arrangements, (v) minor imperfections or irregularities of title, claims, Liens, easements, covenants and other restrictions or encumbrances, if any, that do not materially impact the continued use of the properties or assets subject thereto or affected thereby or otherwise materially impair business operations at such properties as presently conducted, (vi) mortgages, or deeds of trust, security interests or other Liens on title related to indebtedness reflected in the Financial Statements, (vii) Liens relating to or in connection with this Agreement, the Transactions, the Equity Financing, the Debt Financing, or any other transactions contemplated thereby, (viii) Liens arising from the Company Governing Documents or the organizational or governing documents of Company Subsidiaries or the Indenture, (ix) transfer and other restrictions under applicable federal and state securities Laws, (x) Liens that will be discharged at or prior to the Effective Time and (xi) Liens that have not had and would not reasonably be expected to have, individually or in the aggregate, a Company Material Adverse Effect.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is considered “protected health information,” “personally identifiable information,” “personal information,” “sensitive personal data,” “personal data” or any similar term under applicable Law. </w:t>
      </w:r>
    </w:p>
    <w:p>
      <w:pPr>
        <w:pStyle w:val="TextBody"/>
        <w:bidi w:val="0"/>
        <w:spacing w:before="240" w:after="0"/>
        <w:jc w:val="left"/>
        <w:rPr/>
      </w:pPr>
      <w:r>
        <w:rPr/>
        <w:t>“</w:t>
      </w:r>
      <w:r>
        <w:rPr>
          <w:rFonts w:ascii="Times New Roman" w:hAnsi="Times New Roman"/>
          <w:sz w:val="20"/>
          <w:u w:val="single"/>
        </w:rPr>
        <w:t>Privacy and Information Security Requirements</w:t>
      </w:r>
      <w:r>
        <w:rPr>
          <w:rFonts w:ascii="Times New Roman" w:hAnsi="Times New Roman"/>
          <w:sz w:val="20"/>
        </w:rPr>
        <w:t xml:space="preserve">” means collectively, all of the following to the extent relating to the Processing of Personal Information or otherwise relating to privacy, security, or security breach notification requirements and applicable either to the Company or any Company Subsidiary: (i) the Company or any Company Subsidiary’s online posted rules, policies, and procedures (including all website privacy policies and internal information security procedures); (ii) all applicable Laws; and (iii) industry standards binding on the Company or any Company Subsidiary. </w:t>
      </w:r>
    </w:p>
    <w:p>
      <w:pPr>
        <w:pStyle w:val="TextBody"/>
        <w:bidi w:val="0"/>
        <w:spacing w:before="240" w:after="0"/>
        <w:jc w:val="left"/>
        <w:rPr/>
      </w:pPr>
      <w:r>
        <w:rPr/>
        <w:t>“</w:t>
      </w:r>
      <w:r>
        <w:rPr>
          <w:rFonts w:ascii="Times New Roman" w:hAnsi="Times New Roman"/>
          <w:sz w:val="20"/>
          <w:u w:val="single"/>
        </w:rPr>
        <w:t>Process, Processed, or Processing</w:t>
      </w:r>
      <w:r>
        <w:rPr>
          <w:rFonts w:ascii="Times New Roman" w:hAnsi="Times New Roman"/>
          <w:sz w:val="20"/>
        </w:rPr>
        <w:t xml:space="preserve">” means the access, creation, collection, use, storage, maintenance, processing, recording, sharing, distribution, transfer, transmission, receipt, import, export, protection, safeguarding, access, disposal or disclosure or other activity regarding Personal Information (whether electronically or in any other form or medium). </w:t>
      </w:r>
    </w:p>
    <w:p>
      <w:pPr>
        <w:pStyle w:val="TextBody"/>
        <w:bidi w:val="0"/>
        <w:spacing w:before="240" w:after="0"/>
        <w:jc w:val="left"/>
        <w:rPr/>
      </w:pPr>
      <w:r>
        <w:rPr/>
        <w:t>“</w:t>
      </w:r>
      <w:r>
        <w:rPr>
          <w:rFonts w:ascii="Times New Roman" w:hAnsi="Times New Roman"/>
          <w:sz w:val="20"/>
          <w:u w:val="single"/>
        </w:rPr>
        <w:t>Radiation Safety Laws</w:t>
      </w:r>
      <w:r>
        <w:rPr>
          <w:rFonts w:ascii="Times New Roman" w:hAnsi="Times New Roman"/>
          <w:sz w:val="20"/>
        </w:rPr>
        <w:t xml:space="preserve">” means all applicable Laws with respect to any Nuclear Materials or products containing, composed of or made with the use of Nuclear Materials, including, but not limited to, the Atomic Energy Act, the Energy Reorganization Act of 1974, as amended (42 U.S.C. § 5801 et seq.), the respective regulations promulgated thereunder (including, without limitation, the NRC regulations, 10 C.F.R. chapter 1) or Laws of a United States state exercising authority over Nuclear Material pursuant to an agreement with the NRC under Section 274(b) of the Atomic Energy Act (42 U.S.C. § 2021), any related federal and state laws and regulations including, but not limited to, any applicable Laws governing the purchase, receipt, possession, storage, use, handling, transfer, control and disposal of and exposure to Nuclear Material and safety and protection against ionizing radiation, terms and conditions of any Nuclear License, and the comparable Laws and regulations of any foreign jurisdiction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Regulatory Approval</w:t>
      </w:r>
      <w:r>
        <w:rPr>
          <w:rFonts w:ascii="Times New Roman" w:hAnsi="Times New Roman"/>
          <w:sz w:val="20"/>
        </w:rPr>
        <w:t xml:space="preserve">” means any authorization, clearance, permit, license or approval issued by any applicable Health Authority that is required for the research, development, manufacture, distribution, marketing, storage, transportation, or sale of any Company Product.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their officers, directors, managers, employees, investment bankers, attorneys, accountants, auditors, consultants and other agents, advisors and representatives. </w:t>
      </w:r>
    </w:p>
    <w:p>
      <w:pPr>
        <w:pStyle w:val="TextBody"/>
        <w:bidi w:val="0"/>
        <w:spacing w:before="240" w:after="0"/>
        <w:jc w:val="left"/>
        <w:rPr/>
      </w:pPr>
      <w:r>
        <w:rPr/>
        <w:t>“</w:t>
      </w:r>
      <w:r>
        <w:rPr>
          <w:rFonts w:ascii="Times New Roman" w:hAnsi="Times New Roman"/>
          <w:sz w:val="20"/>
          <w:u w:val="single"/>
        </w:rPr>
        <w:t>Required Financial Information</w:t>
      </w:r>
      <w:r>
        <w:rPr>
          <w:rFonts w:ascii="Times New Roman" w:hAnsi="Times New Roman"/>
          <w:sz w:val="20"/>
        </w:rPr>
        <w:t xml:space="preserve">” means (a) audited consolidated balance sheets and related consolidated statements of operations, of comprehensive income, of stockholders’ equity and of cash flows of the Company and the Company Subsidiaries for the three most recently completed fiscal years ended at least 60 days before the Closing Date, prepared in accordance with GAAP applied on a basis consistent with that of the most recent fiscal year, and (b) unaudited condensed consolidated balance sheets and related condensed consolidated statements of operations, of comprehensive income, of stockholders’ equity and of cash flows of the Company and the Company Subsidiaries for each subsequent fiscal quarter (other than the fourth fiscal quarter) ended at least 45 days before the Closing Date (and the corresponding periods for the prior fiscal year) with “limited review” by the Company’s auditors, prepared in accordance with GAAP applied on a basis consistent with that of the most recent fiscal quarter. The Company’s filing with the SEC pursuant to the Securities Act, the Exchange Act and the rules and regulations of the SEC promulgated thereunder of any required audited financial statements with respect to it that is publicly available on Form 10-K or other filing or required unaudited financial statements with respect to it that is publicly available on Form 10-Q or other filing, in each case, by the stipulated deadline mentioned in the preceding sentence will satisfy the requirements, as applicable, of this definition. </w:t>
      </w:r>
    </w:p>
    <w:p>
      <w:pPr>
        <w:pStyle w:val="TextBody"/>
        <w:bidi w:val="0"/>
        <w:spacing w:before="240" w:after="0"/>
        <w:jc w:val="left"/>
        <w:rPr/>
      </w:pPr>
      <w:r>
        <w:rPr/>
        <w:t>“</w:t>
      </w:r>
      <w:r>
        <w:rPr>
          <w:rFonts w:ascii="Times New Roman" w:hAnsi="Times New Roman"/>
          <w:sz w:val="20"/>
          <w:u w:val="single"/>
        </w:rPr>
        <w:t>Required Nuclear Approvals</w:t>
      </w:r>
      <w:r>
        <w:rPr>
          <w:rFonts w:ascii="Times New Roman" w:hAnsi="Times New Roman"/>
          <w:sz w:val="20"/>
        </w:rPr>
        <w:t xml:space="preserve">” means both the Nuclear Regulatory Approvals and other consents and approvals set forth on </w:t>
      </w:r>
      <w:r>
        <w:rPr>
          <w:rFonts w:ascii="Times New Roman" w:hAnsi="Times New Roman"/>
          <w:sz w:val="20"/>
          <w:u w:val="single"/>
        </w:rPr>
        <w:t>Section 7.1(c)</w:t>
      </w:r>
      <w:r>
        <w:rPr>
          <w:rFonts w:ascii="Times New Roman" w:hAnsi="Times New Roman"/>
          <w:sz w:val="20"/>
        </w:rPr>
        <w:t xml:space="preserve"> of the Company Disclosure Schedule relating to nuclear Laws. </w:t>
      </w:r>
    </w:p>
    <w:p>
      <w:pPr>
        <w:pStyle w:val="TextBody"/>
        <w:bidi w:val="0"/>
        <w:spacing w:before="240" w:after="0"/>
        <w:jc w:val="left"/>
        <w:rPr/>
      </w:pPr>
      <w:r>
        <w:rPr/>
        <w:t>“</w:t>
      </w:r>
      <w:r>
        <w:rPr>
          <w:rFonts w:ascii="Times New Roman" w:hAnsi="Times New Roman"/>
          <w:sz w:val="20"/>
          <w:u w:val="single"/>
        </w:rPr>
        <w:t>Requisite Stockholder Approval</w:t>
      </w:r>
      <w:r>
        <w:rPr>
          <w:rFonts w:ascii="Times New Roman" w:hAnsi="Times New Roman"/>
          <w:sz w:val="20"/>
        </w:rPr>
        <w:t xml:space="preserve">” means, with respect to the adoption of this Agreement, the affirmative vote of the holders of a majority of the outstanding Shares entitled to vote at the Company Stockholders Meeting.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a rights agent selected by Parent and reasonably acceptable to the Company.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that is, or has been at any time since April 24, 2019, the subject or target of comprehensive Sanctions (including Cuba, Iran, North Korea, Syria (until July 1, 2025), the Crimea region of Ukraine, the so-called Donetsk People’s Republic, so-called Luhansk People’s Republic, and the non-government controlled areas of the Zaporizhzhia and Kherson regions of Ukraine).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including: (i) any Person listed on any U.S. or non-U.S. sanctions- or export-related restricted party list,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and Blocked Persons, or any other sanctions-related restricted party list maintained by OFAC, or the U.S. Department of State; (ii) any Person located, organized, or resident in, or a national of, a Sanctioned Country; (iii) a Governmental Entity of a Sanctioned Country or Venezuela; (iv) any Person that is, in the aggregate, 50 percent or greater owned, directly or indirectly, or otherwise controlled by a Person or Persons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(v) any national of a Sanctioned Country with whom U.S. persons are prohibited from dealing.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Laws relating to economic or trade sanctions, including the Laws administered or enforced by the United States (including by OFAC, or the U.S. Department of State), His Majesty’s Treasury of the United Kingdom, the European Union, and the United Nations Security Council.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actual security breach that results in (i) unauthorized access or use of any of the Business Systems, (ii) unauthorized Processing of any Business Data or the Company or any Company Subsidiary’s own confidential or proprietary information, or (iii) unauthorized interference with system operations or security safeguards of the Business Systems, including any phishing incident or ransomware attack, that compromised the integrity or availability of the Business Systems.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bona fide Competing Proposal (except the references in the definition thereof to “15%” shall be replaced by “50%”) that the Company Board of Directors or a committee thereof has determined in good faith, after consultation with its outside legal counsel and financial advisor, (i) if consummated, would be more favorable to the holders of Shares from a financial point of view than the Transactions (taking into account any changes to the terms of this Agreement proposed in writing by Parent in response to such Competing Proposal pursuant to </w:t>
      </w:r>
      <w:r>
        <w:rPr>
          <w:rFonts w:ascii="Times New Roman" w:hAnsi="Times New Roman"/>
          <w:sz w:val="20"/>
          <w:u w:val="single"/>
        </w:rPr>
        <w:t>Section 5.2(e)</w:t>
      </w:r>
      <w:r>
        <w:rPr>
          <w:rFonts w:ascii="Times New Roman" w:hAnsi="Times New Roman"/>
          <w:sz w:val="20"/>
        </w:rPr>
        <w:t xml:space="preserve">)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local and non-U.S. taxes, levies, duties, tariffs, imposts and other similar charges and fees, including net and gross income, franchise, windfall or other profits, minimum, alternative minimum, base erosion and anti-abuse, diverted profits, gross receipts, premium, real property, escheat and unclaimed property, tangible personal property, intangible property, sales, use, net worth, capital stock, payroll,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social security, workers’ compensation, unemployment, excise, withholding, ad valorem, stamp, transfer, value-added, goods and services, gains, capital, license, registration, documentation, severance, occupation, environmental, disability, and estimated taxes and fees, and any customs duties, together with any interest, penalty, or addition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claim for refund, estimated tax filing, declaration information return or information statements, including any schedule or attachment thereto or any amendment thereof, in each case, required to be filed with or supplied to any Governmental Entity with respect to Taxes, including any amendments thereof.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means any Legal Proceeding (including any class action or derivative litigation) asserted or commenced by, on behalf of or in the name of, against or otherwise involving the Company, the Company Board of Directors, any committee thereof and/or any of the Company’s directors or officers relating directly or indirectly to this Agreement, the Merger or any of the Transactions (including any such Legal Proceeding based on allegations that the Company’s entry into this Agreement or the terms and conditions of this Agreement or any of the Transactions constituted a breach of the fiduciary duties of any member of the Company Board of Directors or any officer of the Company).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including the Merger.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or a material failure to perform, any covenant, representation, warranty, or agreement set forth in this Agreement that is the consequence of an act or omission undertaken by the breaching party with the actual knowledge that the taking of, or failure to take, such act would cause,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401(k) Termination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6.7(e)</w:t>
            </w:r>
          </w:p>
        </w:tc>
      </w:tr>
      <w:tr>
        <w:trPr/>
        <w:tc>
          <w:tcPr>
            <w:tcW w:w="5229" w:type="dxa"/>
            <w:tcBorders/>
          </w:tcPr>
          <w:p>
            <w:pPr>
              <w:pStyle w:val="TableContents"/>
              <w:bidi w:val="0"/>
              <w:spacing w:before="0" w:after="283"/>
              <w:jc w:val="left"/>
              <w:rPr/>
            </w:pPr>
            <w:r>
              <w:rPr/>
              <w:t>Acceptable Confidentiality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5.2(b)</w:t>
            </w:r>
          </w:p>
        </w:tc>
      </w:tr>
      <w:tr>
        <w:trPr/>
        <w:tc>
          <w:tcPr>
            <w:tcW w:w="5229"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Preamble</w:t>
            </w:r>
          </w:p>
        </w:tc>
      </w:tr>
      <w:tr>
        <w:trPr/>
        <w:tc>
          <w:tcPr>
            <w:tcW w:w="5229" w:type="dxa"/>
            <w:tcBorders/>
          </w:tcPr>
          <w:p>
            <w:pPr>
              <w:pStyle w:val="TableContents"/>
              <w:bidi w:val="0"/>
              <w:spacing w:before="0" w:after="283"/>
              <w:jc w:val="left"/>
              <w:rPr/>
            </w:pPr>
            <w:r>
              <w:rPr/>
              <w:t>Alternative Acquisition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5.2(d)(ii)</w:t>
            </w:r>
          </w:p>
        </w:tc>
      </w:tr>
      <w:tr>
        <w:trPr/>
        <w:tc>
          <w:tcPr>
            <w:tcW w:w="5229" w:type="dxa"/>
            <w:tcBorders/>
          </w:tcPr>
          <w:p>
            <w:pPr>
              <w:pStyle w:val="TableContents"/>
              <w:bidi w:val="0"/>
              <w:spacing w:before="0" w:after="283"/>
              <w:jc w:val="left"/>
              <w:rPr/>
            </w:pPr>
            <w:r>
              <w:rPr/>
              <w:t>Alternative Commitment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6.13(c)(ii)</w:t>
            </w:r>
          </w:p>
        </w:tc>
      </w:tr>
      <w:tr>
        <w:trPr/>
        <w:tc>
          <w:tcPr>
            <w:tcW w:w="5229" w:type="dxa"/>
            <w:tcBorders/>
          </w:tcPr>
          <w:p>
            <w:pPr>
              <w:pStyle w:val="TableContents"/>
              <w:bidi w:val="0"/>
              <w:spacing w:before="0" w:after="283"/>
              <w:jc w:val="left"/>
              <w:rPr/>
            </w:pPr>
            <w:r>
              <w:rPr/>
              <w:t>Alternative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6.13(c)(ii)</w:t>
            </w:r>
          </w:p>
        </w:tc>
      </w:tr>
      <w:tr>
        <w:trPr/>
        <w:tc>
          <w:tcPr>
            <w:tcW w:w="5229" w:type="dxa"/>
            <w:tcBorders/>
          </w:tcPr>
          <w:p>
            <w:pPr>
              <w:pStyle w:val="TableContents"/>
              <w:bidi w:val="0"/>
              <w:spacing w:before="0" w:after="283"/>
              <w:jc w:val="left"/>
              <w:rPr/>
            </w:pPr>
            <w:r>
              <w:rPr/>
              <w:t>Anti-Corruption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3.20(a)</w:t>
            </w:r>
          </w:p>
        </w:tc>
      </w:tr>
      <w:tr>
        <w:trPr/>
        <w:tc>
          <w:tcPr>
            <w:tcW w:w="5229" w:type="dxa"/>
            <w:tcBorders/>
          </w:tcPr>
          <w:p>
            <w:pPr>
              <w:pStyle w:val="TableContents"/>
              <w:bidi w:val="0"/>
              <w:spacing w:before="0" w:after="283"/>
              <w:jc w:val="left"/>
              <w:rPr/>
            </w:pPr>
            <w:r>
              <w:rPr/>
              <w:t>Antitrust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3.5(b)</w:t>
            </w:r>
          </w:p>
        </w:tc>
      </w:tr>
      <w:tr>
        <w:trPr/>
        <w:tc>
          <w:tcPr>
            <w:tcW w:w="5229" w:type="dxa"/>
            <w:tcBorders/>
          </w:tcPr>
          <w:p>
            <w:pPr>
              <w:pStyle w:val="TableContents"/>
              <w:bidi w:val="0"/>
              <w:spacing w:before="0" w:after="283"/>
              <w:jc w:val="left"/>
              <w:rPr/>
            </w:pPr>
            <w:r>
              <w:rPr/>
              <w:t>Benefit of the Bargain Damages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8.2</w:t>
            </w:r>
          </w:p>
        </w:tc>
      </w:tr>
      <w:tr>
        <w:trPr/>
        <w:tc>
          <w:tcPr>
            <w:tcW w:w="5229" w:type="dxa"/>
            <w:tcBorders/>
          </w:tcPr>
          <w:p>
            <w:pPr>
              <w:pStyle w:val="TableContents"/>
              <w:bidi w:val="0"/>
              <w:spacing w:before="0" w:after="283"/>
              <w:jc w:val="left"/>
              <w:rPr/>
            </w:pPr>
            <w:r>
              <w:rPr/>
              <w:t>Book-Entry Shares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2.2(b)</w:t>
            </w:r>
          </w:p>
        </w:tc>
      </w:tr>
      <w:tr>
        <w:trPr/>
        <w:tc>
          <w:tcPr>
            <w:tcW w:w="5229" w:type="dxa"/>
            <w:tcBorders/>
          </w:tcPr>
          <w:p>
            <w:pPr>
              <w:pStyle w:val="TableContents"/>
              <w:bidi w:val="0"/>
              <w:spacing w:before="0" w:after="283"/>
              <w:jc w:val="left"/>
              <w:rPr/>
            </w:pPr>
            <w:r>
              <w:rPr/>
              <w:t>Certificate of Merger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1.3</w:t>
            </w:r>
          </w:p>
        </w:tc>
      </w:tr>
      <w:tr>
        <w:trPr/>
        <w:tc>
          <w:tcPr>
            <w:tcW w:w="5229" w:type="dxa"/>
            <w:tcBorders/>
          </w:tcPr>
          <w:p>
            <w:pPr>
              <w:pStyle w:val="TableContents"/>
              <w:bidi w:val="0"/>
              <w:spacing w:before="0" w:after="283"/>
              <w:jc w:val="left"/>
              <w:rPr/>
            </w:pPr>
            <w:r>
              <w:rPr/>
              <w:t>Certificates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2.2(b)</w:t>
            </w:r>
          </w:p>
        </w:tc>
      </w:tr>
      <w:tr>
        <w:trPr/>
        <w:tc>
          <w:tcPr>
            <w:tcW w:w="5229" w:type="dxa"/>
            <w:tcBorders/>
          </w:tcPr>
          <w:p>
            <w:pPr>
              <w:pStyle w:val="TableContents"/>
              <w:bidi w:val="0"/>
              <w:spacing w:before="0" w:after="283"/>
              <w:jc w:val="left"/>
              <w:rPr/>
            </w:pPr>
            <w:r>
              <w:rPr/>
              <w:t>Change of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5.2(d)(i)</w:t>
            </w:r>
          </w:p>
        </w:tc>
      </w:tr>
      <w:tr>
        <w:trPr/>
        <w:tc>
          <w:tcPr>
            <w:tcW w:w="5229" w:type="dxa"/>
            <w:tcBorders/>
          </w:tcPr>
          <w:p>
            <w:pPr>
              <w:pStyle w:val="TableContents"/>
              <w:bidi w:val="0"/>
              <w:spacing w:before="0" w:after="283"/>
              <w:jc w:val="left"/>
              <w:rPr/>
            </w:pPr>
            <w:r>
              <w:rPr/>
              <w:t>Closing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1.2</w:t>
            </w:r>
          </w:p>
        </w:tc>
      </w:tr>
      <w:tr>
        <w:trPr/>
        <w:tc>
          <w:tcPr>
            <w:tcW w:w="5229" w:type="dxa"/>
            <w:tcBorders/>
          </w:tcPr>
          <w:p>
            <w:pPr>
              <w:pStyle w:val="TableContents"/>
              <w:bidi w:val="0"/>
              <w:spacing w:before="0" w:after="283"/>
              <w:jc w:val="left"/>
              <w:rPr/>
            </w:pPr>
            <w:r>
              <w:rPr/>
              <w:t>Closing Date Underwater Option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2.4(a)</w:t>
            </w:r>
          </w:p>
        </w:tc>
      </w:tr>
      <w:tr>
        <w:trPr/>
        <w:tc>
          <w:tcPr>
            <w:tcW w:w="5229" w:type="dxa"/>
            <w:tcBorders/>
          </w:tcPr>
          <w:p>
            <w:pPr>
              <w:pStyle w:val="TableContents"/>
              <w:bidi w:val="0"/>
              <w:spacing w:before="0" w:after="283"/>
              <w:jc w:val="left"/>
              <w:rPr/>
            </w:pPr>
            <w:r>
              <w:rPr/>
              <w:t>Collective Bargaining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3.13(a)(x)</w:t>
            </w:r>
          </w:p>
        </w:tc>
      </w:tr>
      <w:tr>
        <w:trPr/>
        <w:tc>
          <w:tcPr>
            <w:tcW w:w="5229" w:type="dxa"/>
            <w:tcBorders/>
          </w:tcPr>
          <w:p>
            <w:pPr>
              <w:pStyle w:val="TableContents"/>
              <w:bidi w:val="0"/>
              <w:spacing w:before="0" w:after="283"/>
              <w:jc w:val="left"/>
              <w:rPr/>
            </w:pPr>
            <w:r>
              <w:rPr/>
              <w:t>Commitment Letters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Common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Preamble</w:t>
            </w:r>
          </w:p>
        </w:tc>
      </w:tr>
      <w:tr>
        <w:trPr/>
        <w:tc>
          <w:tcPr>
            <w:tcW w:w="5229" w:type="dxa"/>
            <w:tcBorders/>
          </w:tcPr>
          <w:p>
            <w:pPr>
              <w:pStyle w:val="TableContents"/>
              <w:bidi w:val="0"/>
              <w:spacing w:before="0" w:after="283"/>
              <w:jc w:val="left"/>
              <w:rPr/>
            </w:pPr>
            <w:r>
              <w:rPr/>
              <w:t>Company 401(k)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6.7(e)</w:t>
            </w:r>
          </w:p>
        </w:tc>
      </w:tr>
      <w:tr>
        <w:trPr/>
        <w:tc>
          <w:tcPr>
            <w:tcW w:w="5229" w:type="dxa"/>
            <w:tcBorders/>
          </w:tcPr>
          <w:p>
            <w:pPr>
              <w:pStyle w:val="TableContents"/>
              <w:bidi w:val="0"/>
              <w:spacing w:before="0" w:after="283"/>
              <w:jc w:val="left"/>
              <w:rPr/>
            </w:pPr>
            <w:r>
              <w:rPr/>
              <w:t>Company Board of Directors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RECITALS</w:t>
            </w:r>
          </w:p>
        </w:tc>
      </w:tr>
      <w:tr>
        <w:trPr/>
        <w:tc>
          <w:tcPr>
            <w:tcW w:w="5229" w:type="dxa"/>
            <w:tcBorders/>
          </w:tcPr>
          <w:p>
            <w:pPr>
              <w:pStyle w:val="TableContents"/>
              <w:bidi w:val="0"/>
              <w:spacing w:before="0" w:after="283"/>
              <w:jc w:val="left"/>
              <w:rPr/>
            </w:pPr>
            <w:r>
              <w:rPr/>
              <w:t>Company Board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3.4</w:t>
            </w:r>
          </w:p>
        </w:tc>
      </w:tr>
      <w:tr>
        <w:trPr/>
        <w:tc>
          <w:tcPr>
            <w:tcW w:w="5229" w:type="dxa"/>
            <w:tcBorders/>
          </w:tcPr>
          <w:p>
            <w:pPr>
              <w:pStyle w:val="TableContents"/>
              <w:bidi w:val="0"/>
              <w:spacing w:before="0" w:after="283"/>
              <w:jc w:val="left"/>
              <w:rPr/>
            </w:pPr>
            <w:r>
              <w:rPr/>
              <w:t>Company Bonus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6.7(f)</w:t>
            </w:r>
          </w:p>
        </w:tc>
      </w:tr>
      <w:tr>
        <w:trPr/>
        <w:tc>
          <w:tcPr>
            <w:tcW w:w="5229" w:type="dxa"/>
            <w:tcBorders/>
          </w:tcPr>
          <w:p>
            <w:pPr>
              <w:pStyle w:val="TableContents"/>
              <w:bidi w:val="0"/>
              <w:spacing w:before="0" w:after="283"/>
              <w:jc w:val="left"/>
              <w:rPr/>
            </w:pPr>
            <w:r>
              <w:rPr/>
              <w:t>Company Conference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6.2(e)</w:t>
            </w:r>
          </w:p>
        </w:tc>
      </w:tr>
      <w:tr>
        <w:trPr/>
        <w:tc>
          <w:tcPr>
            <w:tcW w:w="5229" w:type="dxa"/>
            <w:tcBorders/>
          </w:tcPr>
          <w:p>
            <w:pPr>
              <w:pStyle w:val="TableContents"/>
              <w:bidi w:val="0"/>
              <w:spacing w:before="0" w:after="283"/>
              <w:jc w:val="left"/>
              <w:rPr/>
            </w:pPr>
            <w:r>
              <w:rPr/>
              <w:t>Company Disclosure Schedule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Article III</w:t>
            </w:r>
          </w:p>
        </w:tc>
      </w:tr>
      <w:tr>
        <w:trPr/>
        <w:tc>
          <w:tcPr>
            <w:tcW w:w="5229" w:type="dxa"/>
            <w:tcBorders/>
          </w:tcPr>
          <w:p>
            <w:pPr>
              <w:pStyle w:val="TableContents"/>
              <w:bidi w:val="0"/>
              <w:spacing w:before="0" w:after="283"/>
              <w:jc w:val="left"/>
              <w:rPr/>
            </w:pPr>
            <w:r>
              <w:rPr/>
              <w:t>Company Equity Awards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2.4(d)</w:t>
            </w:r>
          </w:p>
        </w:tc>
      </w:tr>
      <w:tr>
        <w:trPr/>
        <w:tc>
          <w:tcPr>
            <w:tcW w:w="5229" w:type="dxa"/>
            <w:tcBorders/>
          </w:tcPr>
          <w:p>
            <w:pPr>
              <w:pStyle w:val="TableContents"/>
              <w:bidi w:val="0"/>
              <w:spacing w:before="0" w:after="283"/>
              <w:jc w:val="left"/>
              <w:rPr/>
            </w:pPr>
            <w:r>
              <w:rPr/>
              <w:t>Company Liability Limitation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8.3(g)(iv)</w:t>
            </w:r>
          </w:p>
        </w:tc>
      </w:tr>
      <w:tr>
        <w:trPr/>
        <w:tc>
          <w:tcPr>
            <w:tcW w:w="5229" w:type="dxa"/>
            <w:tcBorders/>
          </w:tcPr>
          <w:p>
            <w:pPr>
              <w:pStyle w:val="TableContents"/>
              <w:bidi w:val="0"/>
              <w:spacing w:before="0" w:after="283"/>
              <w:jc w:val="left"/>
              <w:rPr/>
            </w:pPr>
            <w:r>
              <w:rPr/>
              <w:t>Company Options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2.4(a)</w:t>
            </w:r>
          </w:p>
        </w:tc>
      </w:tr>
      <w:tr>
        <w:trPr/>
        <w:tc>
          <w:tcPr>
            <w:tcW w:w="5229" w:type="dxa"/>
            <w:tcBorders/>
          </w:tcPr>
          <w:p>
            <w:pPr>
              <w:pStyle w:val="TableContents"/>
              <w:bidi w:val="0"/>
              <w:spacing w:before="0" w:after="283"/>
              <w:jc w:val="left"/>
              <w:rPr/>
            </w:pPr>
            <w:r>
              <w:rPr/>
              <w:t>Company PSUs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Company Related Parties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8.3(g)(ii)</w:t>
            </w:r>
          </w:p>
        </w:tc>
      </w:tr>
      <w:tr>
        <w:trPr/>
        <w:tc>
          <w:tcPr>
            <w:tcW w:w="5229" w:type="dxa"/>
            <w:tcBorders/>
          </w:tcPr>
          <w:p>
            <w:pPr>
              <w:pStyle w:val="TableContents"/>
              <w:bidi w:val="0"/>
              <w:spacing w:before="0" w:after="283"/>
              <w:jc w:val="left"/>
              <w:rPr/>
            </w:pPr>
            <w:r>
              <w:rPr/>
              <w:t>Company Remedy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6.2(c)</w:t>
            </w:r>
          </w:p>
        </w:tc>
      </w:tr>
      <w:tr>
        <w:trPr/>
        <w:tc>
          <w:tcPr>
            <w:tcW w:w="5229" w:type="dxa"/>
            <w:tcBorders/>
          </w:tcPr>
          <w:p>
            <w:pPr>
              <w:pStyle w:val="TableContents"/>
              <w:bidi w:val="0"/>
              <w:spacing w:before="0" w:after="283"/>
              <w:jc w:val="left"/>
              <w:rPr/>
            </w:pPr>
            <w:r>
              <w:rPr/>
              <w:t>Company RSUs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Company SEC Documents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3.6(a)</w:t>
            </w:r>
          </w:p>
        </w:tc>
      </w:tr>
      <w:tr>
        <w:trPr/>
        <w:tc>
          <w:tcPr>
            <w:tcW w:w="5229" w:type="dxa"/>
            <w:tcBorders/>
          </w:tcPr>
          <w:p>
            <w:pPr>
              <w:pStyle w:val="TableContents"/>
              <w:bidi w:val="0"/>
              <w:spacing w:before="0" w:after="283"/>
              <w:jc w:val="left"/>
              <w:rPr/>
            </w:pPr>
            <w:r>
              <w:rPr/>
              <w:t>Company Stockholders Meeting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5.4(a)</w:t>
            </w:r>
          </w:p>
        </w:tc>
      </w:tr>
      <w:tr>
        <w:trPr/>
        <w:tc>
          <w:tcPr>
            <w:tcW w:w="5229" w:type="dxa"/>
            <w:tcBorders/>
          </w:tcPr>
          <w:p>
            <w:pPr>
              <w:pStyle w:val="TableContents"/>
              <w:bidi w:val="0"/>
              <w:spacing w:before="0" w:after="283"/>
              <w:jc w:val="left"/>
              <w:rPr/>
            </w:pPr>
            <w:r>
              <w:rPr/>
              <w:t>Continuing Employee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6.7(a)</w:t>
            </w:r>
          </w:p>
        </w:tc>
      </w:tr>
      <w:tr>
        <w:trPr/>
        <w:tc>
          <w:tcPr>
            <w:tcW w:w="5229" w:type="dxa"/>
            <w:tcBorders/>
          </w:tcPr>
          <w:p>
            <w:pPr>
              <w:pStyle w:val="TableContents"/>
              <w:bidi w:val="0"/>
              <w:spacing w:before="0" w:after="283"/>
              <w:jc w:val="left"/>
              <w:rPr/>
            </w:pPr>
            <w:r>
              <w:rPr/>
              <w:t>Converted PSU Award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Converted RSU Award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2.4(c)</w:t>
            </w:r>
          </w:p>
        </w:tc>
      </w:tr>
      <w:tr>
        <w:trPr/>
        <w:tc>
          <w:tcPr>
            <w:tcW w:w="5229" w:type="dxa"/>
            <w:tcBorders/>
          </w:tcPr>
          <w:p>
            <w:pPr>
              <w:pStyle w:val="TableContents"/>
              <w:bidi w:val="0"/>
              <w:spacing w:before="0" w:after="283"/>
              <w:jc w:val="left"/>
              <w:rPr/>
            </w:pPr>
            <w:r>
              <w:rPr/>
              <w:t>Converted RSU Cash Consideration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2.4(c)</w:t>
            </w:r>
          </w:p>
        </w:tc>
      </w:tr>
      <w:tr>
        <w:trPr/>
        <w:tc>
          <w:tcPr>
            <w:tcW w:w="5229" w:type="dxa"/>
            <w:tcBorders/>
          </w:tcPr>
          <w:p>
            <w:pPr>
              <w:pStyle w:val="TableContents"/>
              <w:bidi w:val="0"/>
              <w:spacing w:before="0" w:after="283"/>
              <w:jc w:val="left"/>
              <w:rPr/>
            </w:pPr>
            <w:r>
              <w:rPr/>
              <w:t>CVR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D&amp;O Insurance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6.4(c)</w:t>
            </w:r>
          </w:p>
        </w:tc>
      </w:tr>
      <w:tr>
        <w:trPr/>
        <w:tc>
          <w:tcPr>
            <w:tcW w:w="5229" w:type="dxa"/>
            <w:tcBorders/>
          </w:tcPr>
          <w:p>
            <w:pPr>
              <w:pStyle w:val="TableContents"/>
              <w:bidi w:val="0"/>
              <w:spacing w:before="0" w:after="283"/>
              <w:jc w:val="left"/>
              <w:rPr/>
            </w:pPr>
            <w:r>
              <w:rPr/>
              <w:t>Debt Commitment Letters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Debt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Definitive Debt Financing Agreements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w:t>
            </w:r>
          </w:p>
        </w:tc>
      </w:tr>
      <w:tr>
        <w:trPr/>
        <w:tc>
          <w:tcPr>
            <w:tcW w:w="5229" w:type="dxa"/>
            <w:tcBorders/>
          </w:tcPr>
          <w:p>
            <w:pPr>
              <w:pStyle w:val="TableContents"/>
              <w:bidi w:val="0"/>
              <w:spacing w:before="0" w:after="283"/>
              <w:jc w:val="left"/>
              <w:rPr/>
            </w:pPr>
            <w:r>
              <w:rPr/>
              <w:t>Determination Notice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5.2(e)</w:t>
            </w:r>
          </w:p>
        </w:tc>
      </w:tr>
      <w:tr>
        <w:trPr/>
        <w:tc>
          <w:tcPr>
            <w:tcW w:w="5229" w:type="dxa"/>
            <w:tcBorders/>
          </w:tcPr>
          <w:p>
            <w:pPr>
              <w:pStyle w:val="TableContents"/>
              <w:bidi w:val="0"/>
              <w:spacing w:before="0" w:after="283"/>
              <w:jc w:val="left"/>
              <w:rPr/>
            </w:pPr>
            <w:r>
              <w:rPr/>
              <w:t>Dissenting Shares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2.3(a)</w:t>
            </w:r>
          </w:p>
        </w:tc>
      </w:tr>
      <w:tr>
        <w:trPr/>
        <w:tc>
          <w:tcPr>
            <w:tcW w:w="5229" w:type="dxa"/>
            <w:tcBorders/>
          </w:tcPr>
          <w:p>
            <w:pPr>
              <w:pStyle w:val="TableContents"/>
              <w:bidi w:val="0"/>
              <w:spacing w:before="0" w:after="283"/>
              <w:jc w:val="left"/>
              <w:rPr/>
            </w:pPr>
            <w:r>
              <w:rPr/>
              <w:t>Earned Share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Effective Time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1.3</w:t>
            </w:r>
          </w:p>
        </w:tc>
      </w:tr>
      <w:tr>
        <w:trPr/>
        <w:tc>
          <w:tcPr>
            <w:tcW w:w="5229" w:type="dxa"/>
            <w:tcBorders/>
          </w:tcPr>
          <w:p>
            <w:pPr>
              <w:pStyle w:val="TableContents"/>
              <w:bidi w:val="0"/>
              <w:spacing w:before="0" w:after="283"/>
              <w:jc w:val="left"/>
              <w:rPr/>
            </w:pPr>
            <w:r>
              <w:rPr/>
              <w:t>Enforceability Exceptions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3.3</w:t>
            </w:r>
          </w:p>
        </w:tc>
      </w:tr>
      <w:tr>
        <w:trPr/>
        <w:tc>
          <w:tcPr>
            <w:tcW w:w="5229" w:type="dxa"/>
            <w:tcBorders/>
          </w:tcPr>
          <w:p>
            <w:pPr>
              <w:pStyle w:val="TableContents"/>
              <w:bidi w:val="0"/>
              <w:spacing w:before="0" w:after="283"/>
              <w:jc w:val="left"/>
              <w:rPr/>
            </w:pPr>
            <w:r>
              <w:rPr/>
              <w:t>Equity Commitment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Equity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Equity Interests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3.2(c)</w:t>
            </w:r>
          </w:p>
        </w:tc>
      </w:tr>
      <w:tr>
        <w:trPr/>
        <w:tc>
          <w:tcPr>
            <w:tcW w:w="5229" w:type="dxa"/>
            <w:tcBorders/>
          </w:tcPr>
          <w:p>
            <w:pPr>
              <w:pStyle w:val="TableContents"/>
              <w:bidi w:val="0"/>
              <w:spacing w:before="0" w:after="283"/>
              <w:jc w:val="left"/>
              <w:rPr/>
            </w:pPr>
            <w:r>
              <w:rPr/>
              <w:t>Equity Investors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Exchange Fund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2.2(a)</w:t>
            </w:r>
          </w:p>
        </w:tc>
      </w:tr>
      <w:tr>
        <w:trPr/>
        <w:tc>
          <w:tcPr>
            <w:tcW w:w="5229" w:type="dxa"/>
            <w:tcBorders/>
          </w:tcPr>
          <w:p>
            <w:pPr>
              <w:pStyle w:val="TableContents"/>
              <w:bidi w:val="0"/>
              <w:spacing w:before="0" w:after="283"/>
              <w:jc w:val="left"/>
              <w:rPr/>
            </w:pPr>
            <w:r>
              <w:rPr/>
              <w:t>Excluded Benefits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6.7(a)</w:t>
            </w:r>
          </w:p>
        </w:tc>
      </w:tr>
      <w:tr>
        <w:trPr/>
        <w:tc>
          <w:tcPr>
            <w:tcW w:w="5229" w:type="dxa"/>
            <w:tcBorders/>
          </w:tcPr>
          <w:p>
            <w:pPr>
              <w:pStyle w:val="TableContents"/>
              <w:bidi w:val="0"/>
              <w:spacing w:before="0" w:after="283"/>
              <w:jc w:val="left"/>
              <w:rPr/>
            </w:pPr>
            <w:r>
              <w:rPr/>
              <w:t>FDCA</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3.19(a)</w:t>
            </w:r>
          </w:p>
        </w:tc>
      </w:tr>
      <w:tr>
        <w:trPr/>
        <w:tc>
          <w:tcPr>
            <w:tcW w:w="5229" w:type="dxa"/>
            <w:tcBorders/>
          </w:tcPr>
          <w:p>
            <w:pPr>
              <w:pStyle w:val="TableContents"/>
              <w:bidi w:val="0"/>
              <w:spacing w:before="0" w:after="283"/>
              <w:jc w:val="left"/>
              <w:rPr/>
            </w:pPr>
            <w:r>
              <w:rPr/>
              <w:t>FDI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3.5(b)</w:t>
            </w:r>
          </w:p>
        </w:tc>
      </w:tr>
      <w:tr>
        <w:trPr/>
        <w:tc>
          <w:tcPr>
            <w:tcW w:w="5229" w:type="dxa"/>
            <w:tcBorders/>
          </w:tcPr>
          <w:p>
            <w:pPr>
              <w:pStyle w:val="TableContents"/>
              <w:bidi w:val="0"/>
              <w:spacing w:before="0" w:after="283"/>
              <w:jc w:val="left"/>
              <w:rPr/>
            </w:pPr>
            <w:r>
              <w:rPr/>
              <w:t>Final Exercise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2.4(e)</w:t>
            </w:r>
          </w:p>
        </w:tc>
      </w:tr>
      <w:tr>
        <w:trPr/>
        <w:tc>
          <w:tcPr>
            <w:tcW w:w="5229" w:type="dxa"/>
            <w:tcBorders/>
          </w:tcPr>
          <w:p>
            <w:pPr>
              <w:pStyle w:val="TableContents"/>
              <w:bidi w:val="0"/>
              <w:spacing w:before="0" w:after="283"/>
              <w:jc w:val="left"/>
              <w:rPr/>
            </w:pPr>
            <w:r>
              <w:rPr/>
              <w:t>Financial Statements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3.6(b)</w:t>
            </w:r>
          </w:p>
        </w:tc>
      </w:tr>
      <w:tr>
        <w:trPr/>
        <w:tc>
          <w:tcPr>
            <w:tcW w:w="5229" w:type="dxa"/>
            <w:tcBorders/>
          </w:tcPr>
          <w:p>
            <w:pPr>
              <w:pStyle w:val="TableContents"/>
              <w:bidi w:val="0"/>
              <w:spacing w:before="0" w:after="283"/>
              <w:jc w:val="left"/>
              <w:rPr/>
            </w:pPr>
            <w:r>
              <w:rPr/>
              <w:t>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81"/>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t>Foreign Antitrust Laws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3.5(b)</w:t>
            </w:r>
          </w:p>
        </w:tc>
      </w:tr>
      <w:tr>
        <w:trPr/>
        <w:tc>
          <w:tcPr>
            <w:tcW w:w="5203" w:type="dxa"/>
            <w:tcBorders/>
          </w:tcPr>
          <w:p>
            <w:pPr>
              <w:pStyle w:val="TableContents"/>
              <w:bidi w:val="0"/>
              <w:spacing w:before="0" w:after="283"/>
              <w:jc w:val="left"/>
              <w:rPr/>
            </w:pPr>
            <w:r>
              <w:rPr/>
              <w:t>Government Closure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6.2(a)</w:t>
            </w:r>
          </w:p>
        </w:tc>
      </w:tr>
      <w:tr>
        <w:trPr/>
        <w:tc>
          <w:tcPr>
            <w:tcW w:w="5203" w:type="dxa"/>
            <w:tcBorders/>
          </w:tcPr>
          <w:p>
            <w:pPr>
              <w:pStyle w:val="TableContents"/>
              <w:bidi w:val="0"/>
              <w:spacing w:before="0" w:after="283"/>
              <w:jc w:val="left"/>
              <w:rPr/>
            </w:pPr>
            <w:r>
              <w:rPr/>
              <w:t>Guarantee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4.7(c)</w:t>
            </w:r>
          </w:p>
        </w:tc>
      </w:tr>
      <w:tr>
        <w:trPr/>
        <w:tc>
          <w:tcPr>
            <w:tcW w:w="5203" w:type="dxa"/>
            <w:tcBorders/>
          </w:tcPr>
          <w:p>
            <w:pPr>
              <w:pStyle w:val="TableContents"/>
              <w:bidi w:val="0"/>
              <w:spacing w:before="0" w:after="283"/>
              <w:jc w:val="left"/>
              <w:rPr/>
            </w:pPr>
            <w:r>
              <w:rPr/>
              <w:t>Health Laws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HIPAA</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HSR 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3.5(b)</w:t>
            </w:r>
          </w:p>
        </w:tc>
      </w:tr>
      <w:tr>
        <w:trPr/>
        <w:tc>
          <w:tcPr>
            <w:tcW w:w="5203" w:type="dxa"/>
            <w:tcBorders/>
          </w:tcPr>
          <w:p>
            <w:pPr>
              <w:pStyle w:val="TableContents"/>
              <w:bidi w:val="0"/>
              <w:spacing w:before="0" w:after="283"/>
              <w:jc w:val="left"/>
              <w:rPr/>
            </w:pPr>
            <w:r>
              <w:rPr/>
              <w:t>Indemnification Agreement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6.4(a)</w:t>
            </w:r>
          </w:p>
        </w:tc>
      </w:tr>
      <w:tr>
        <w:trPr/>
        <w:tc>
          <w:tcPr>
            <w:tcW w:w="5203" w:type="dxa"/>
            <w:tcBorders/>
          </w:tcPr>
          <w:p>
            <w:pPr>
              <w:pStyle w:val="TableContents"/>
              <w:bidi w:val="0"/>
              <w:spacing w:before="0" w:after="283"/>
              <w:jc w:val="left"/>
              <w:rPr/>
            </w:pPr>
            <w:r>
              <w:rPr/>
              <w:t>Indemnified Person(s)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6.4(a)</w:t>
            </w:r>
          </w:p>
        </w:tc>
      </w:tr>
      <w:tr>
        <w:trPr/>
        <w:tc>
          <w:tcPr>
            <w:tcW w:w="5203" w:type="dxa"/>
            <w:tcBorders/>
          </w:tcPr>
          <w:p>
            <w:pPr>
              <w:pStyle w:val="TableContents"/>
              <w:bidi w:val="0"/>
              <w:spacing w:before="0" w:after="283"/>
              <w:jc w:val="left"/>
              <w:rPr/>
            </w:pPr>
            <w:r>
              <w:rPr/>
              <w:t>Lease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3.13(a)(v)</w:t>
            </w:r>
          </w:p>
        </w:tc>
      </w:tr>
      <w:tr>
        <w:trPr/>
        <w:tc>
          <w:tcPr>
            <w:tcW w:w="5203" w:type="dxa"/>
            <w:tcBorders/>
          </w:tcPr>
          <w:p>
            <w:pPr>
              <w:pStyle w:val="TableContents"/>
              <w:bidi w:val="0"/>
              <w:spacing w:before="0" w:after="283"/>
              <w:jc w:val="left"/>
              <w:rPr/>
            </w:pPr>
            <w:r>
              <w:rPr/>
              <w:t>Leased Real Property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3.15(b)</w:t>
            </w:r>
          </w:p>
        </w:tc>
      </w:tr>
      <w:tr>
        <w:trPr/>
        <w:tc>
          <w:tcPr>
            <w:tcW w:w="5203" w:type="dxa"/>
            <w:tcBorders/>
          </w:tcPr>
          <w:p>
            <w:pPr>
              <w:pStyle w:val="TableContents"/>
              <w:bidi w:val="0"/>
              <w:spacing w:before="0" w:after="283"/>
              <w:jc w:val="left"/>
              <w:rPr/>
            </w:pPr>
            <w:r>
              <w:rPr/>
              <w:t>Lender Related Parties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8.3(g)(iii)</w:t>
            </w:r>
          </w:p>
        </w:tc>
      </w:tr>
      <w:tr>
        <w:trPr/>
        <w:tc>
          <w:tcPr>
            <w:tcW w:w="5203" w:type="dxa"/>
            <w:tcBorders/>
          </w:tcPr>
          <w:p>
            <w:pPr>
              <w:pStyle w:val="TableContents"/>
              <w:bidi w:val="0"/>
              <w:spacing w:before="0" w:after="283"/>
              <w:jc w:val="left"/>
              <w:rPr/>
            </w:pPr>
            <w:r>
              <w:rPr/>
              <w:t>Material Contract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3.13(a)</w:t>
            </w:r>
          </w:p>
        </w:tc>
      </w:tr>
      <w:tr>
        <w:trPr/>
        <w:tc>
          <w:tcPr>
            <w:tcW w:w="5203" w:type="dxa"/>
            <w:tcBorders/>
          </w:tcPr>
          <w:p>
            <w:pPr>
              <w:pStyle w:val="TableContents"/>
              <w:bidi w:val="0"/>
              <w:spacing w:before="0" w:after="283"/>
              <w:jc w:val="left"/>
              <w:rPr/>
            </w:pPr>
            <w:r>
              <w:rPr/>
              <w:t>Maximum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6.4(c)</w:t>
            </w:r>
          </w:p>
        </w:tc>
      </w:tr>
      <w:tr>
        <w:trPr/>
        <w:tc>
          <w:tcPr>
            <w:tcW w:w="5203" w:type="dxa"/>
            <w:tcBorders/>
          </w:tcPr>
          <w:p>
            <w:pPr>
              <w:pStyle w:val="TableContents"/>
              <w:bidi w:val="0"/>
              <w:spacing w:before="0" w:after="283"/>
              <w:jc w:val="left"/>
              <w:rPr/>
            </w:pPr>
            <w:r>
              <w:rPr/>
              <w:t>Merger</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1.1(a)</w:t>
            </w:r>
          </w:p>
        </w:tc>
      </w:tr>
      <w:tr>
        <w:trPr/>
        <w:tc>
          <w:tcPr>
            <w:tcW w:w="5203" w:type="dxa"/>
            <w:tcBorders/>
          </w:tcPr>
          <w:p>
            <w:pPr>
              <w:pStyle w:val="TableContents"/>
              <w:bidi w:val="0"/>
              <w:spacing w:before="0" w:after="283"/>
              <w:jc w:val="left"/>
              <w:rPr/>
            </w:pPr>
            <w:r>
              <w:rPr/>
              <w:t>Merger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2.1(a)</w:t>
            </w:r>
          </w:p>
        </w:tc>
      </w:tr>
      <w:tr>
        <w:trPr/>
        <w:tc>
          <w:tcPr>
            <w:tcW w:w="5203" w:type="dxa"/>
            <w:tcBorders/>
          </w:tcPr>
          <w:p>
            <w:pPr>
              <w:pStyle w:val="TableContents"/>
              <w:bidi w:val="0"/>
              <w:spacing w:before="0" w:after="283"/>
              <w:jc w:val="left"/>
              <w:rPr/>
            </w:pPr>
            <w:r>
              <w:rPr/>
              <w:t>Merger Sub</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Preamble</w:t>
            </w:r>
          </w:p>
        </w:tc>
      </w:tr>
      <w:tr>
        <w:trPr/>
        <w:tc>
          <w:tcPr>
            <w:tcW w:w="5203" w:type="dxa"/>
            <w:tcBorders/>
          </w:tcPr>
          <w:p>
            <w:pPr>
              <w:pStyle w:val="TableContents"/>
              <w:bidi w:val="0"/>
              <w:spacing w:before="0" w:after="283"/>
              <w:jc w:val="left"/>
              <w:rPr/>
            </w:pPr>
            <w:r>
              <w:rPr/>
              <w:t>Merger Sub Common Stock</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2.1(c)</w:t>
            </w:r>
          </w:p>
        </w:tc>
      </w:tr>
      <w:tr>
        <w:trPr/>
        <w:tc>
          <w:tcPr>
            <w:tcW w:w="5203" w:type="dxa"/>
            <w:tcBorders/>
          </w:tcPr>
          <w:p>
            <w:pPr>
              <w:pStyle w:val="TableContents"/>
              <w:bidi w:val="0"/>
              <w:spacing w:before="0" w:after="283"/>
              <w:jc w:val="left"/>
              <w:rPr/>
            </w:pPr>
            <w:r>
              <w:rPr/>
              <w:t>Morgan Stanley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3.23</w:t>
            </w:r>
          </w:p>
        </w:tc>
      </w:tr>
      <w:tr>
        <w:trPr/>
        <w:tc>
          <w:tcPr>
            <w:tcW w:w="5203" w:type="dxa"/>
            <w:tcBorders/>
          </w:tcPr>
          <w:p>
            <w:pPr>
              <w:pStyle w:val="TableContents"/>
              <w:bidi w:val="0"/>
              <w:spacing w:before="0" w:after="283"/>
              <w:jc w:val="left"/>
              <w:rPr/>
            </w:pPr>
            <w:r>
              <w:rPr/>
              <w:t>New Plans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6.7(b)</w:t>
            </w:r>
          </w:p>
        </w:tc>
      </w:tr>
      <w:tr>
        <w:trPr/>
        <w:tc>
          <w:tcPr>
            <w:tcW w:w="5203" w:type="dxa"/>
            <w:tcBorders/>
          </w:tcPr>
          <w:p>
            <w:pPr>
              <w:pStyle w:val="TableContents"/>
              <w:bidi w:val="0"/>
              <w:spacing w:before="0" w:after="283"/>
              <w:jc w:val="left"/>
              <w:rPr/>
            </w:pPr>
            <w:r>
              <w:rPr/>
              <w:t>Non-U.S. Plan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3.10(f)</w:t>
            </w:r>
          </w:p>
        </w:tc>
      </w:tr>
      <w:tr>
        <w:trPr/>
        <w:tc>
          <w:tcPr>
            <w:tcW w:w="5203" w:type="dxa"/>
            <w:tcBorders/>
          </w:tcPr>
          <w:p>
            <w:pPr>
              <w:pStyle w:val="TableContents"/>
              <w:bidi w:val="0"/>
              <w:spacing w:before="0" w:after="283"/>
              <w:jc w:val="left"/>
              <w:rPr/>
            </w:pPr>
            <w:r>
              <w:rPr/>
              <w:t>Notice Period</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5.2(e)</w:t>
            </w:r>
          </w:p>
        </w:tc>
      </w:tr>
      <w:tr>
        <w:trPr/>
        <w:tc>
          <w:tcPr>
            <w:tcW w:w="5203" w:type="dxa"/>
            <w:tcBorders/>
          </w:tcPr>
          <w:p>
            <w:pPr>
              <w:pStyle w:val="TableContents"/>
              <w:bidi w:val="0"/>
              <w:spacing w:before="0" w:after="283"/>
              <w:jc w:val="left"/>
              <w:rPr/>
            </w:pPr>
            <w:r>
              <w:rPr/>
              <w:t>OFAC</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9.11(a)</w:t>
            </w:r>
          </w:p>
        </w:tc>
      </w:tr>
      <w:tr>
        <w:trPr/>
        <w:tc>
          <w:tcPr>
            <w:tcW w:w="5203" w:type="dxa"/>
            <w:tcBorders/>
          </w:tcPr>
          <w:p>
            <w:pPr>
              <w:pStyle w:val="TableContents"/>
              <w:bidi w:val="0"/>
              <w:spacing w:before="0" w:after="283"/>
              <w:jc w:val="left"/>
              <w:rPr/>
            </w:pPr>
            <w:r>
              <w:rPr/>
              <w:t>Option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2.4(a)</w:t>
            </w:r>
          </w:p>
        </w:tc>
      </w:tr>
      <w:tr>
        <w:trPr/>
        <w:tc>
          <w:tcPr>
            <w:tcW w:w="5203" w:type="dxa"/>
            <w:tcBorders/>
          </w:tcPr>
          <w:p>
            <w:pPr>
              <w:pStyle w:val="TableContents"/>
              <w:bidi w:val="0"/>
              <w:spacing w:before="0" w:after="283"/>
              <w:jc w:val="left"/>
              <w:rPr/>
            </w:pPr>
            <w:r>
              <w:rPr/>
              <w:t>Option CVR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2.4(a)</w:t>
            </w:r>
          </w:p>
        </w:tc>
      </w:tr>
      <w:tr>
        <w:trPr/>
        <w:tc>
          <w:tcPr>
            <w:tcW w:w="5203" w:type="dxa"/>
            <w:tcBorders/>
          </w:tcPr>
          <w:p>
            <w:pPr>
              <w:pStyle w:val="TableContents"/>
              <w:bidi w:val="0"/>
              <w:spacing w:before="0" w:after="283"/>
              <w:jc w:val="left"/>
              <w:rPr/>
            </w:pPr>
            <w:r>
              <w:rPr/>
              <w:t>Outside Date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8.1(d)</w:t>
            </w:r>
          </w:p>
        </w:tc>
      </w:tr>
      <w:tr>
        <w:trPr/>
        <w:tc>
          <w:tcPr>
            <w:tcW w:w="5203" w:type="dxa"/>
            <w:tcBorders/>
          </w:tcPr>
          <w:p>
            <w:pPr>
              <w:pStyle w:val="TableContents"/>
              <w:bidi w:val="0"/>
              <w:spacing w:before="0" w:after="283"/>
              <w:jc w:val="left"/>
              <w:rPr/>
            </w:pPr>
            <w:r>
              <w:rPr/>
              <w:t>Owned Real Property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3.15(a)</w:t>
            </w:r>
          </w:p>
        </w:tc>
      </w:tr>
      <w:tr>
        <w:trPr/>
        <w:tc>
          <w:tcPr>
            <w:tcW w:w="5203" w:type="dxa"/>
            <w:tcBorders/>
          </w:tcPr>
          <w:p>
            <w:pPr>
              <w:pStyle w:val="TableContents"/>
              <w:bidi w:val="0"/>
              <w:spacing w:before="0" w:after="283"/>
              <w:jc w:val="left"/>
              <w:rPr/>
            </w:pPr>
            <w:r>
              <w:rPr/>
              <w:t>Parent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Preamble</w:t>
            </w:r>
          </w:p>
        </w:tc>
      </w:tr>
      <w:tr>
        <w:trPr/>
        <w:tc>
          <w:tcPr>
            <w:tcW w:w="5203" w:type="dxa"/>
            <w:tcBorders/>
          </w:tcPr>
          <w:p>
            <w:pPr>
              <w:pStyle w:val="TableContents"/>
              <w:bidi w:val="0"/>
              <w:spacing w:before="0" w:after="283"/>
              <w:jc w:val="left"/>
              <w:rPr/>
            </w:pPr>
            <w:r>
              <w:rPr/>
              <w:t>Parent Liability Limitation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8.3(g)(v)</w:t>
            </w:r>
          </w:p>
        </w:tc>
      </w:tr>
      <w:tr>
        <w:trPr/>
        <w:tc>
          <w:tcPr>
            <w:tcW w:w="5203" w:type="dxa"/>
            <w:tcBorders/>
          </w:tcPr>
          <w:p>
            <w:pPr>
              <w:pStyle w:val="TableContents"/>
              <w:bidi w:val="0"/>
              <w:spacing w:before="0" w:after="283"/>
              <w:jc w:val="left"/>
              <w:rPr/>
            </w:pPr>
            <w:r>
              <w:rPr/>
              <w:t>Parent Related Parties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8.3(g)(ii)</w:t>
            </w:r>
          </w:p>
        </w:tc>
      </w:tr>
      <w:tr>
        <w:trPr/>
        <w:tc>
          <w:tcPr>
            <w:tcW w:w="5203" w:type="dxa"/>
            <w:tcBorders/>
          </w:tcPr>
          <w:p>
            <w:pPr>
              <w:pStyle w:val="TableContents"/>
              <w:bidi w:val="0"/>
              <w:spacing w:before="0" w:after="283"/>
              <w:jc w:val="left"/>
              <w:rPr/>
            </w:pPr>
            <w:r>
              <w:rPr/>
              <w:t>Paying Agent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2.2(a)</w:t>
            </w:r>
          </w:p>
        </w:tc>
      </w:tr>
      <w:tr>
        <w:trPr/>
        <w:tc>
          <w:tcPr>
            <w:tcW w:w="5203" w:type="dxa"/>
            <w:tcBorders/>
          </w:tcPr>
          <w:p>
            <w:pPr>
              <w:pStyle w:val="TableContents"/>
              <w:bidi w:val="0"/>
              <w:spacing w:before="0" w:after="283"/>
              <w:jc w:val="left"/>
              <w:rPr/>
            </w:pPr>
            <w:r>
              <w:rPr/>
              <w:t>Payoff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6.13(f)(i)(D)</w:t>
            </w:r>
          </w:p>
        </w:tc>
      </w:tr>
      <w:tr>
        <w:trPr/>
        <w:tc>
          <w:tcPr>
            <w:tcW w:w="5203" w:type="dxa"/>
            <w:tcBorders/>
          </w:tcPr>
          <w:p>
            <w:pPr>
              <w:pStyle w:val="TableContents"/>
              <w:bidi w:val="0"/>
              <w:spacing w:before="0" w:after="283"/>
              <w:jc w:val="left"/>
              <w:rPr/>
            </w:pPr>
            <w:r>
              <w:rPr/>
              <w:t>Per Share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2.1(a)</w:t>
            </w:r>
          </w:p>
        </w:tc>
      </w:tr>
      <w:tr>
        <w:trPr/>
        <w:tc>
          <w:tcPr>
            <w:tcW w:w="5203" w:type="dxa"/>
            <w:tcBorders/>
          </w:tcPr>
          <w:p>
            <w:pPr>
              <w:pStyle w:val="TableContents"/>
              <w:bidi w:val="0"/>
              <w:spacing w:before="0" w:after="283"/>
              <w:jc w:val="left"/>
              <w:rPr/>
            </w:pPr>
            <w:r>
              <w:rPr/>
              <w:t>Permits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3.18(b)</w:t>
            </w:r>
          </w:p>
        </w:tc>
      </w:tr>
      <w:tr>
        <w:trPr/>
        <w:tc>
          <w:tcPr>
            <w:tcW w:w="5203" w:type="dxa"/>
            <w:tcBorders/>
          </w:tcPr>
          <w:p>
            <w:pPr>
              <w:pStyle w:val="TableContents"/>
              <w:bidi w:val="0"/>
              <w:spacing w:before="0" w:after="283"/>
              <w:jc w:val="left"/>
              <w:rPr/>
            </w:pPr>
            <w:r>
              <w:rPr/>
              <w:t>PHS 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PLR Request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6.180</w:t>
            </w:r>
          </w:p>
        </w:tc>
      </w:tr>
      <w:tr>
        <w:trPr/>
        <w:tc>
          <w:tcPr>
            <w:tcW w:w="5203" w:type="dxa"/>
            <w:tcBorders/>
          </w:tcPr>
          <w:p>
            <w:pPr>
              <w:pStyle w:val="TableContents"/>
              <w:bidi w:val="0"/>
              <w:spacing w:before="0" w:after="283"/>
              <w:jc w:val="left"/>
              <w:rPr/>
            </w:pPr>
            <w:r>
              <w:rPr/>
              <w:t>Prohibited Modification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6.13(b)</w:t>
            </w:r>
          </w:p>
        </w:tc>
      </w:tr>
      <w:tr>
        <w:trPr/>
        <w:tc>
          <w:tcPr>
            <w:tcW w:w="5203" w:type="dxa"/>
            <w:tcBorders/>
          </w:tcPr>
          <w:p>
            <w:pPr>
              <w:pStyle w:val="TableContents"/>
              <w:bidi w:val="0"/>
              <w:spacing w:before="0" w:after="283"/>
              <w:jc w:val="left"/>
              <w:rPr/>
            </w:pPr>
            <w:r>
              <w:rPr/>
              <w:t>Proxy Statement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5.3(a)</w:t>
            </w:r>
          </w:p>
        </w:tc>
      </w:tr>
      <w:tr>
        <w:trPr/>
        <w:tc>
          <w:tcPr>
            <w:tcW w:w="5203" w:type="dxa"/>
            <w:tcBorders/>
          </w:tcPr>
          <w:p>
            <w:pPr>
              <w:pStyle w:val="TableContents"/>
              <w:bidi w:val="0"/>
              <w:spacing w:before="0" w:after="283"/>
              <w:jc w:val="left"/>
              <w:rPr/>
            </w:pPr>
            <w:r>
              <w:rPr/>
              <w:t>PSU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PSUs CVRs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Reference Date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3.2(a)</w:t>
            </w:r>
          </w:p>
        </w:tc>
      </w:tr>
      <w:tr>
        <w:trPr/>
        <w:tc>
          <w:tcPr>
            <w:tcW w:w="5203" w:type="dxa"/>
            <w:tcBorders/>
          </w:tcPr>
          <w:p>
            <w:pPr>
              <w:pStyle w:val="TableContents"/>
              <w:bidi w:val="0"/>
              <w:spacing w:before="0" w:after="283"/>
              <w:jc w:val="left"/>
              <w:rPr/>
            </w:pPr>
            <w:r>
              <w:rPr/>
              <w:t>Regulatory Commitment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6.2(e)</w:t>
            </w:r>
          </w:p>
        </w:tc>
      </w:tr>
      <w:tr>
        <w:trPr/>
        <w:tc>
          <w:tcPr>
            <w:tcW w:w="5203" w:type="dxa"/>
            <w:tcBorders/>
          </w:tcPr>
          <w:p>
            <w:pPr>
              <w:pStyle w:val="TableContents"/>
              <w:bidi w:val="0"/>
              <w:spacing w:before="0" w:after="283"/>
              <w:jc w:val="left"/>
              <w:rPr/>
            </w:pPr>
            <w:r>
              <w:rPr/>
              <w:t>Remedy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6.2(b)(iii)</w:t>
            </w:r>
          </w:p>
        </w:tc>
      </w:tr>
      <w:tr>
        <w:trPr/>
        <w:tc>
          <w:tcPr>
            <w:tcW w:w="5203" w:type="dxa"/>
            <w:tcBorders/>
          </w:tcPr>
          <w:p>
            <w:pPr>
              <w:pStyle w:val="TableContents"/>
              <w:bidi w:val="0"/>
              <w:spacing w:before="0" w:after="283"/>
              <w:jc w:val="left"/>
              <w:rPr/>
            </w:pPr>
            <w:r>
              <w:rPr/>
              <w:t>Required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4.7(b)</w:t>
            </w:r>
          </w:p>
        </w:tc>
      </w:tr>
      <w:tr>
        <w:trPr/>
        <w:tc>
          <w:tcPr>
            <w:tcW w:w="5203" w:type="dxa"/>
            <w:tcBorders/>
          </w:tcPr>
          <w:p>
            <w:pPr>
              <w:pStyle w:val="TableContents"/>
              <w:bidi w:val="0"/>
              <w:spacing w:before="0" w:after="283"/>
              <w:jc w:val="left"/>
              <w:rPr/>
            </w:pPr>
            <w:r>
              <w:rPr/>
              <w:t>Required Governmental Approvals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6.2(a)</w:t>
            </w:r>
          </w:p>
        </w:tc>
      </w:tr>
      <w:tr>
        <w:trPr/>
        <w:tc>
          <w:tcPr>
            <w:tcW w:w="5203" w:type="dxa"/>
            <w:tcBorders/>
          </w:tcPr>
          <w:p>
            <w:pPr>
              <w:pStyle w:val="TableContents"/>
              <w:bidi w:val="0"/>
              <w:spacing w:before="0" w:after="283"/>
              <w:jc w:val="left"/>
              <w:rPr/>
            </w:pPr>
            <w:r>
              <w:rPr/>
              <w:t>Restricted Awards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RSUs CVRs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SEC</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3.1(b)</w:t>
            </w:r>
          </w:p>
        </w:tc>
      </w:tr>
      <w:tr>
        <w:trPr/>
        <w:tc>
          <w:tcPr>
            <w:tcW w:w="5229" w:type="dxa"/>
            <w:tcBorders/>
          </w:tcPr>
          <w:p>
            <w:pPr>
              <w:pStyle w:val="TableContents"/>
              <w:bidi w:val="0"/>
              <w:spacing w:before="0" w:after="283"/>
              <w:jc w:val="left"/>
              <w:rPr/>
            </w:pPr>
            <w:r>
              <w:rPr/>
              <w:t>Second Request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6.2(a)</w:t>
            </w:r>
          </w:p>
        </w:tc>
      </w:tr>
      <w:tr>
        <w:trPr/>
        <w:tc>
          <w:tcPr>
            <w:tcW w:w="5229" w:type="dxa"/>
            <w:tcBorders/>
          </w:tcPr>
          <w:p>
            <w:pPr>
              <w:pStyle w:val="TableContents"/>
              <w:bidi w:val="0"/>
              <w:spacing w:before="0" w:after="283"/>
              <w:jc w:val="left"/>
              <w:rPr/>
            </w:pPr>
            <w:r>
              <w:rPr/>
              <w:t>Share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Solvent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4.12</w:t>
            </w:r>
          </w:p>
        </w:tc>
      </w:tr>
      <w:tr>
        <w:trPr/>
        <w:tc>
          <w:tcPr>
            <w:tcW w:w="5229" w:type="dxa"/>
            <w:tcBorders/>
          </w:tcPr>
          <w:p>
            <w:pPr>
              <w:pStyle w:val="TableContents"/>
              <w:bidi w:val="0"/>
              <w:spacing w:before="0" w:after="283"/>
              <w:jc w:val="left"/>
              <w:rPr/>
            </w:pPr>
            <w:r>
              <w:rPr/>
              <w:t>Staff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6.2(e)</w:t>
            </w:r>
          </w:p>
        </w:tc>
      </w:tr>
      <w:tr>
        <w:trPr/>
        <w:tc>
          <w:tcPr>
            <w:tcW w:w="5229" w:type="dxa"/>
            <w:tcBorders/>
          </w:tcPr>
          <w:p>
            <w:pPr>
              <w:pStyle w:val="TableContents"/>
              <w:bidi w:val="0"/>
              <w:spacing w:before="0" w:after="283"/>
              <w:jc w:val="left"/>
              <w:rPr/>
            </w:pPr>
            <w:r>
              <w:rPr/>
              <w:t>Surviving Corporation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1.1(a)</w:t>
            </w:r>
          </w:p>
        </w:tc>
      </w:tr>
      <w:tr>
        <w:trPr/>
        <w:tc>
          <w:tcPr>
            <w:tcW w:w="5229" w:type="dxa"/>
            <w:tcBorders/>
          </w:tcPr>
          <w:p>
            <w:pPr>
              <w:pStyle w:val="TableContents"/>
              <w:bidi w:val="0"/>
              <w:spacing w:before="0" w:after="283"/>
              <w:jc w:val="left"/>
              <w:rPr/>
            </w:pPr>
            <w:r>
              <w:rPr/>
              <w:t>Trade Control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3.20(b)</w:t>
            </w:r>
          </w:p>
        </w:tc>
      </w:tr>
      <w:tr>
        <w:trPr/>
        <w:tc>
          <w:tcPr>
            <w:tcW w:w="5229" w:type="dxa"/>
            <w:tcBorders/>
          </w:tcPr>
          <w:p>
            <w:pPr>
              <w:pStyle w:val="TableContents"/>
              <w:bidi w:val="0"/>
              <w:spacing w:before="0" w:after="283"/>
              <w:jc w:val="left"/>
              <w:rPr/>
            </w:pPr>
            <w:r>
              <w:rPr/>
              <w:t>WARN Act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5.1(l)</w:t>
            </w:r>
          </w:p>
        </w:tc>
      </w:tr>
      <w:tr>
        <w:trPr/>
        <w:tc>
          <w:tcPr>
            <w:tcW w:w="5229" w:type="dxa"/>
            <w:tcBorders/>
          </w:tcPr>
          <w:p>
            <w:pPr>
              <w:pStyle w:val="TableContents"/>
              <w:bidi w:val="0"/>
              <w:spacing w:before="0" w:after="283"/>
              <w:jc w:val="left"/>
              <w:rPr/>
            </w:pPr>
            <w:r>
              <w:rPr/>
              <w:t>Withholding Agent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caused this Agreement to be signed by their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0"/>
        <w:gridCol w:w="3716"/>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COCO MERGER SUB INC.</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LANTHEUS HOLDINGS, INC.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Anne Heino</w:t>
            </w:r>
          </w:p>
        </w:tc>
      </w:tr>
      <w:tr>
        <w:trPr/>
        <w:tc>
          <w:tcPr>
            <w:tcW w:w="4082" w:type="dxa"/>
            <w:gridSpan w:val="3"/>
            <w:tcBorders/>
          </w:tcPr>
          <w:p>
            <w:pPr>
              <w:pStyle w:val="TableContents"/>
              <w:bidi w:val="0"/>
              <w:spacing w:before="0" w:after="283"/>
              <w:jc w:val="left"/>
              <w:rPr/>
            </w:pPr>
            <w:r>
              <w:rPr/>
              <w:t>Name: Mary Anne Heino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of Incorporation of the Surviving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Contingent Value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(this “</w:t>
      </w:r>
      <w:r>
        <w:rPr>
          <w:rFonts w:ascii="Times New Roman" w:hAnsi="Times New Roman"/>
          <w:sz w:val="20"/>
          <w:u w:val="single"/>
        </w:rPr>
        <w:t>Agreement</w:t>
      </w:r>
      <w:r>
        <w:rPr>
          <w:rFonts w:ascii="Times New Roman" w:hAnsi="Times New Roman"/>
          <w:sz w:val="20"/>
        </w:rPr>
        <w:t>”), dated as of [●] (the “</w:t>
      </w:r>
      <w:r>
        <w:rPr>
          <w:rFonts w:ascii="Times New Roman" w:hAnsi="Times New Roman"/>
          <w:sz w:val="20"/>
          <w:u w:val="single"/>
        </w:rPr>
        <w:t>Effective Date</w:t>
      </w:r>
      <w:r>
        <w:rPr>
          <w:rFonts w:ascii="Times New Roman" w:hAnsi="Times New Roman"/>
          <w:sz w:val="20"/>
        </w:rPr>
        <w:t>”), is entered into by and between Curium US Holdings LLC, a Delaware limited liability company (“</w:t>
      </w:r>
      <w:r>
        <w:rPr>
          <w:rFonts w:ascii="Times New Roman" w:hAnsi="Times New Roman"/>
          <w:sz w:val="20"/>
          <w:u w:val="single"/>
        </w:rPr>
        <w:t>Parent</w:t>
      </w:r>
      <w:r>
        <w:rPr>
          <w:rFonts w:ascii="Times New Roman" w:hAnsi="Times New Roman"/>
          <w:sz w:val="20"/>
        </w:rPr>
        <w:t>”), and [●], a [●] (including any successor in accordance with the terms of this Agreement, the “</w:t>
      </w:r>
      <w:r>
        <w:rPr>
          <w:rFonts w:ascii="Times New Roman" w:hAnsi="Times New Roman"/>
          <w:sz w:val="20"/>
          <w:u w:val="single"/>
        </w:rPr>
        <w:t>Rights Agent</w:t>
      </w:r>
      <w:r>
        <w:rPr>
          <w:rFonts w:ascii="Times New Roman" w:hAnsi="Times New Roman"/>
          <w:sz w:val="20"/>
        </w:rPr>
        <w:t>”). Parent and the Rights Agent may be referred to herein collectively as the “</w:t>
      </w:r>
      <w:r>
        <w:rPr>
          <w:rFonts w:ascii="Times New Roman" w:hAnsi="Times New Roman"/>
          <w:sz w:val="20"/>
          <w:u w:val="single"/>
        </w:rPr>
        <w:t>Parties</w:t>
      </w:r>
      <w:r>
        <w:rPr>
          <w:rFonts w:ascii="Times New Roman" w:hAnsi="Times New Roman"/>
          <w:sz w:val="20"/>
        </w:rPr>
        <w:t>” or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Parent, Coco Merger Sub Inc., a Delaware corporation and a wholly owned direct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have entered into an Agreement and Plan of Merger, dated as of August 3,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Parent will acquire the Company through a merger of Merger Sub with and into the Company (the “</w:t>
            </w:r>
            <w:r>
              <w:rPr>
                <w:rFonts w:ascii="Times New Roman" w:hAnsi="Times New Roman"/>
                <w:sz w:val="20"/>
                <w:u w:val="single"/>
              </w:rPr>
              <w:t>Merger</w:t>
            </w:r>
            <w:r>
              <w:rPr>
                <w:rFonts w:ascii="Times New Roman" w:hAnsi="Times New Roman"/>
                <w:sz w:val="20"/>
              </w:rPr>
              <w:t>”), with the Company continuing as the surviving corporation in the Merger (the “</w:t>
            </w:r>
            <w:r>
              <w:rPr>
                <w:rFonts w:ascii="Times New Roman" w:hAnsi="Times New Roman"/>
                <w:sz w:val="20"/>
                <w:u w:val="single"/>
              </w:rPr>
              <w:t>Surviving Corporation</w:t>
            </w:r>
            <w:r>
              <w:rPr>
                <w:rFonts w:ascii="Times New Roman" w:hAnsi="Times New Roman"/>
                <w:sz w:val="20"/>
              </w:rPr>
              <w:t xml:space="preserve">”), 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each share of common stock, par value $0.01 per share, of the Company (the “</w:t>
            </w:r>
            <w:r>
              <w:rPr>
                <w:rFonts w:ascii="Times New Roman" w:hAnsi="Times New Roman"/>
                <w:sz w:val="20"/>
                <w:u w:val="single"/>
              </w:rPr>
              <w:t>Shares</w:t>
            </w:r>
            <w:r>
              <w:rPr>
                <w:rFonts w:ascii="Times New Roman" w:hAnsi="Times New Roman"/>
                <w:sz w:val="20"/>
              </w:rPr>
              <w:t xml:space="preserve">”) issued and outstanding as of immediately prior to the Effective Time (other than Shares to be canceled in accordance with Section 2.1(b) of the Merger Agreement and Dissenting Shares) will be converted into the right to receive (I) $102.50 per share, in cash, without interest, plus (II) one (1) CVR (as hereinafter defined) per share, which will represent the right to receive the Milestone Payment Amounts (as hereinafter defined), and subject to any withholding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Parent has agreed to provide to (a) the holders of Shares (other than Shares canceled pursuant to the Merger Agreement and Dissenting Shares) and (b) the holders of Company Options (other than Underwater Options canceled for no consideration pursuant to the Merger Agreement) and the Restricted Awards (collectively, the “</w:t>
            </w:r>
            <w:r>
              <w:rPr>
                <w:rFonts w:ascii="Times New Roman" w:hAnsi="Times New Roman"/>
                <w:sz w:val="20"/>
                <w:u w:val="single"/>
              </w:rPr>
              <w:t>Covered Equity Awards</w:t>
            </w:r>
            <w:r>
              <w:rPr>
                <w:rFonts w:ascii="Times New Roman" w:hAnsi="Times New Roman"/>
                <w:sz w:val="20"/>
              </w:rPr>
              <w:t xml:space="preserve">”), in the case of each of clauses (a) and (b), the right to receive contingent cash payments, subject to any withholding of Taxes, as hereinafter described.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consummation of the transactions referred to above, Parent and the Rights Agent agree, for the equal and proportionate benefit of all Holders (as hereinafter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shall have the meanings ascribed to them in the Merger Agreement.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thirty-five (35%) of the outstanding CVRs as set forth on the CVR Register.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Adjusted Sales</w:t>
      </w:r>
      <w:r>
        <w:rPr>
          <w:rFonts w:ascii="Times New Roman" w:hAnsi="Times New Roman"/>
          <w:sz w:val="20"/>
        </w:rPr>
        <w:t>”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shall not include any reductions for any internal or external sales commissions) (such net sales of such Product, the Product’s “</w:t>
      </w:r>
      <w:r>
        <w:rPr>
          <w:rFonts w:ascii="Times New Roman" w:hAnsi="Times New Roman"/>
          <w:sz w:val="20"/>
          <w:u w:val="single"/>
        </w:rPr>
        <w:t>Sales</w:t>
      </w:r>
      <w:r>
        <w:rPr>
          <w:rFonts w:ascii="Times New Roman" w:hAnsi="Times New Roman"/>
          <w:sz w:val="20"/>
        </w:rPr>
        <w:t xml:space="preserve">”) (other than Clinical Collaboration Revenue 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accrued or recognized by or on behalf of any Selling Entity, in each case of (a) through (e), net of sales tax, VAT, pharmaceutical or similar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principles shall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will be calculated as above only on the Sales accrued or recognized on the first arm’s-length sale thereafter to a third party, except that the sale of Definity Product by a Selling Entity to a third party Sublicensee for incorporation into a Definity Kit shall be calculated as set forth in clause (i) of the definition of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sales of any Products, Adjusted Sales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U.S. and Canada, as (I) one hundred percent (100%) of Sales (other than Clinical Collaboration Revenue and Sales within Definity Kit Revenue) in the U.S. and Canada, plus (II) one hundred percent (100%) of Sublicense Income (other than Sublicense Income within Definity Kit Revenue) in the U.S. and Canada,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U.S. and Canada, as (I) twenty percent (20%) of Sales (other than Clinical Collaboration Revenue and Sales within Definity Kit Revenue) in territories outside the U.S. and Canada where a Selling Entity (other than a third party Milestone Sublicensee or any direct or indirect transferee, successor or assignee of such Milestone Sublicensee pursuant to clause (c) of the definition of Selling Entity) sells such Product, plus (II) one hundred percent (100%) of all Royalties and Sublicense Income (other than Clinical Collaboration Revenue and Sublicense Income within Definity Kit Revenue) from territories outside the U.S. and Canada which is paid by a third party Milestone Sublicensee (or any direct or indirect transferee, successor or assign thereof pursuant to clause (c) of the definition of Selling Entity),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 and outside the U.S. and Canada, (I) one hundred percent (100%) of all Clinical Collaboration Revenue and (II) one hundred percent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if any amount is included more than once in the categories set forth in clauses (i)-(ii) above, such amount shall only be taken into account once.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herein, Adjusted Sales (and any components thereof, including Royalties, Sublicense Income, Clinical Collaboration Revenue and Definity Kit Revenue) shall, for purposes of this Agreement, be calculated in accordance with the applicable Company’s usual and customary accounting methods as outlined in Appendix A and in accordance with U.S. GAAP as it exists as of December 31, 2025, generally and consistently applied; except that any amount which is not expressed in U.S. Dollars shall be converted into U.S. Dollars based on the then applicable FX rate on the applicable sales date as determined by the Company’s usual and customary accounting methods as existing as of December 31, 2025. </w:t>
            </w:r>
          </w:p>
        </w:tc>
      </w:tr>
    </w:tbl>
    <w:p>
      <w:pPr>
        <w:pStyle w:val="TextBody"/>
        <w:bidi w:val="0"/>
        <w:spacing w:before="240" w:after="0"/>
        <w:jc w:val="left"/>
        <w:rPr/>
      </w:pPr>
      <w:r>
        <w:rPr/>
        <w:t>“</w:t>
      </w:r>
      <w:r>
        <w:rPr>
          <w:rFonts w:ascii="Times New Roman" w:hAnsi="Times New Roman"/>
          <w:sz w:val="20"/>
          <w:u w:val="single"/>
        </w:rPr>
        <w:t>Adjusted Sales Statement</w:t>
      </w:r>
      <w:r>
        <w:rPr>
          <w:rFonts w:ascii="Times New Roman" w:hAnsi="Times New Roman"/>
          <w:sz w:val="20"/>
        </w:rPr>
        <w:t xml:space="preserve">” means a written statement of Parent, certified by the Chief Financial Officer of Parent, setting forth in reasonable detail with respect to the applicable time period, (a) a delineation and calculation of Adjusted Sales during such time period, (b) a delineation and calculation, on a Product-by-Product basis, of Adjusted Sales related to sales of Product(s), (c) a delineation and calculation, on a Product-by-Product basis, of Clinical Collaboration Revenue during such time period, (f) a delineation and calculation, on a Product-by-Product basis, of Sublicense Income during such time period, (g) a delineation and calculation of Definity Kit Revenue during such time period, and (h) to the extent that sales for the applicable Product(s) or Sublicense Income is recorded in currencies other than Dollars during such time period, the exchange rates used for conversion of such foreign currency into Dollars at the time it is recorded.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“Assignee” has the meaning set forth in Section 7.3. </w:t>
      </w:r>
    </w:p>
    <w:p>
      <w:pPr>
        <w:pStyle w:val="TextBody"/>
        <w:bidi w:val="0"/>
        <w:spacing w:before="240" w:after="0"/>
        <w:jc w:val="left"/>
        <w:rPr/>
      </w:pPr>
      <w:r>
        <w:rPr/>
        <w:t>“</w:t>
      </w:r>
      <w:r>
        <w:rPr>
          <w:rFonts w:ascii="Times New Roman" w:hAnsi="Times New Roman"/>
          <w:sz w:val="20"/>
          <w:u w:val="single"/>
        </w:rPr>
        <w:t>Audit Report Date</w:t>
      </w:r>
      <w:r>
        <w:rPr>
          <w:rFonts w:ascii="Times New Roman" w:hAnsi="Times New Roman"/>
          <w:sz w:val="20"/>
        </w:rPr>
        <w:t xml:space="preserve">” means, for any calendar year, the date on which the statutory auditors for Parent deliver their audit report on the consolidated financial statements of Parent and its Subsidiaries. </w:t>
      </w:r>
    </w:p>
    <w:p>
      <w:pPr>
        <w:pStyle w:val="TextBody"/>
        <w:bidi w:val="0"/>
        <w:spacing w:before="240" w:after="0"/>
        <w:jc w:val="left"/>
        <w:rPr/>
      </w:pPr>
      <w:r>
        <w:rPr/>
        <w:t>“</w:t>
      </w:r>
      <w:r>
        <w:rPr>
          <w:rFonts w:ascii="Times New Roman" w:hAnsi="Times New Roman"/>
          <w:sz w:val="20"/>
          <w:u w:val="single"/>
        </w:rPr>
        <w:t>Binding Sales Contract</w:t>
      </w:r>
      <w:r>
        <w:rPr>
          <w:rFonts w:ascii="Times New Roman" w:hAnsi="Times New Roman"/>
          <w:sz w:val="20"/>
        </w:rPr>
        <w:t xml:space="preserve">” means a binding agreement between any Selling Entity and a third party that is not a Selling Entity (a “Customer”) for purchase of Product that includes provisions stipulating the agreed purchase price. </w:t>
      </w:r>
    </w:p>
    <w:p>
      <w:pPr>
        <w:pStyle w:val="TextBody"/>
        <w:bidi w:val="0"/>
        <w:spacing w:before="240" w:after="0"/>
        <w:jc w:val="left"/>
        <w:rPr/>
      </w:pPr>
      <w:r>
        <w:rPr/>
        <w:t>“</w:t>
      </w:r>
      <w:r>
        <w:rPr>
          <w:rFonts w:ascii="Times New Roman" w:hAnsi="Times New Roman"/>
          <w:sz w:val="20"/>
          <w:u w:val="single"/>
        </w:rPr>
        <w:t>Clinical Collaboration Revenue</w:t>
      </w:r>
      <w:r>
        <w:rPr>
          <w:rFonts w:ascii="Times New Roman" w:hAnsi="Times New Roman"/>
          <w:sz w:val="20"/>
        </w:rPr>
        <w:t xml:space="preserv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Commercially Reasonable Efforts</w:t>
      </w:r>
      <w:r>
        <w:rPr>
          <w:rFonts w:ascii="Times New Roman" w:hAnsi="Times New Roman"/>
          <w:sz w:val="20"/>
        </w:rPr>
        <w:t xml:space="preserve">”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the Parent and its Affiliates would normally use to accomplish a similar objective in a timely manner, under similar circumstances. The Parties understand and agree that with respect to the commercialization of a Product by Parent (whether by itself or through other Selling Entities), such efforts shall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w:t>
      </w:r>
      <w:r>
        <w:rPr>
          <w:rFonts w:ascii="Times New Roman" w:hAnsi="Times New Roman"/>
          <w:i/>
          <w:sz w:val="20"/>
        </w:rPr>
        <w:t>provided</w:t>
      </w:r>
      <w:r>
        <w:rPr>
          <w:rFonts w:ascii="Times New Roman" w:hAnsi="Times New Roman"/>
          <w:sz w:val="20"/>
        </w:rPr>
        <w:t xml:space="preserve"> that, notwithstanding the foregoing, such level of efforts and resources shall be determined without taking into account the Milestone Payment payable in accordance with and subject to the terms hereof and the time line considerations shall not factor into the applicable Milestone Expiration Date. Commercially Reasonable Efforts shall be determined on a market-by-market and product-by-product basis for a particular product.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Equity Awards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Products</w:t>
      </w:r>
      <w:r>
        <w:rPr>
          <w:rFonts w:ascii="Times New Roman" w:hAnsi="Times New Roman"/>
          <w:sz w:val="20"/>
        </w:rPr>
        <w:t xml:space="preserve">” means Microbubble Technology Products and Radiodiagnostic Products. </w:t>
      </w:r>
    </w:p>
    <w:p>
      <w:pPr>
        <w:pStyle w:val="TextBody"/>
        <w:bidi w:val="0"/>
        <w:spacing w:before="240" w:after="0"/>
        <w:jc w:val="left"/>
        <w:rPr/>
      </w:pPr>
      <w:r>
        <w:rPr/>
        <w:t>“</w:t>
      </w:r>
      <w:r>
        <w:rPr>
          <w:rFonts w:ascii="Times New Roman" w:hAnsi="Times New Roman"/>
          <w:sz w:val="20"/>
          <w:u w:val="single"/>
        </w:rPr>
        <w:t>Customer</w:t>
      </w:r>
      <w:r>
        <w:rPr>
          <w:rFonts w:ascii="Times New Roman" w:hAnsi="Times New Roman"/>
          <w:sz w:val="20"/>
        </w:rPr>
        <w:t xml:space="preserve">” has the meaning set forth in the definition of Binding Sales Contract. “CVR Register”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 Payment Date</w:t>
      </w:r>
      <w:r>
        <w:rPr>
          <w:rFonts w:ascii="Times New Roman" w:hAnsi="Times New Roman"/>
          <w:sz w:val="20"/>
        </w:rPr>
        <w:t xml:space="preserve">” means the date on which the CVR Shortfall is paid to Holders pursuant to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Definity Kit</w:t>
      </w:r>
      <w:r>
        <w:rPr>
          <w:rFonts w:ascii="Times New Roman" w:hAnsi="Times New Roman"/>
          <w:sz w:val="20"/>
        </w:rPr>
        <w:t xml:space="preserve">” means a kit or combination product for use other than improving left ventricular cavity opacification and endocardial border delineation during echocardiography which kit or combination product includes a Definity Product along with or in combination with other products or consumables for use in or with a medical device, pharmaceutical drug or other product. </w:t>
      </w:r>
    </w:p>
    <w:p>
      <w:pPr>
        <w:pStyle w:val="TextBody"/>
        <w:bidi w:val="0"/>
        <w:spacing w:before="240" w:after="0"/>
        <w:jc w:val="left"/>
        <w:rPr/>
      </w:pPr>
      <w:r>
        <w:rPr/>
        <w:t>“</w:t>
      </w:r>
      <w:r>
        <w:rPr>
          <w:rFonts w:ascii="Times New Roman" w:hAnsi="Times New Roman"/>
          <w:sz w:val="20"/>
          <w:u w:val="single"/>
        </w:rPr>
        <w:t>Definity Kit Revenue</w:t>
      </w:r>
      <w:r>
        <w:rPr>
          <w:rFonts w:ascii="Times New Roman" w:hAnsi="Times New Roman"/>
          <w:sz w:val="20"/>
        </w:rPr>
        <w:t xml:space="preserve">” means the sum of (i) all Sales of the Definity Product sold by a Selling Entity to a third party Sublicensee for incorporation into a Definity Kit, plus (ii) all Sublicense Income payable by such third party Sublicensee to any Selling Entity in connection with a license of Definity Product for incorporation into a Definity Kit, plus (iii) all Royalties payable by such third party Sublicensee to any such Selling Entity in connection with the sales of Definity Kits. </w:t>
      </w:r>
    </w:p>
    <w:p>
      <w:pPr>
        <w:pStyle w:val="TextBody"/>
        <w:bidi w:val="0"/>
        <w:spacing w:before="240" w:after="0"/>
        <w:jc w:val="left"/>
        <w:rPr/>
      </w:pPr>
      <w:r>
        <w:rPr/>
        <w:t>“</w:t>
      </w:r>
      <w:r>
        <w:rPr>
          <w:rFonts w:ascii="Times New Roman" w:hAnsi="Times New Roman"/>
          <w:sz w:val="20"/>
          <w:u w:val="single"/>
        </w:rPr>
        <w:t>Definity Product</w:t>
      </w:r>
      <w:r>
        <w:rPr>
          <w:rFonts w:ascii="Times New Roman" w:hAnsi="Times New Roman"/>
          <w:sz w:val="20"/>
        </w:rPr>
        <w:t xml:space="preserve">” means any product, agent, compound, kit or preparation in the Global Definity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Distributor</w:t>
      </w:r>
      <w:r>
        <w:rPr>
          <w:rFonts w:ascii="Times New Roman" w:hAnsi="Times New Roman"/>
          <w:sz w:val="20"/>
        </w:rPr>
        <w:t xml:space="preserve">” means any Person(s) appointed by a Selling Entity to distribute, market and sell Product(s), with or without packaging rights, in one or more countries in the Territory, in circumstances where the Person purchases its requirements of Product(s) from such Selling Entity but does not otherwise make any royalty or other payment to such Selling Entity with respect to its intellectual property rights with respect to such Product(s). </w:t>
      </w:r>
    </w:p>
    <w:p>
      <w:pPr>
        <w:pStyle w:val="TextBody"/>
        <w:bidi w:val="0"/>
        <w:spacing w:before="240" w:after="0"/>
        <w:jc w:val="left"/>
        <w:rPr/>
      </w:pPr>
      <w:r>
        <w:rPr/>
        <w:t>“</w:t>
      </w:r>
      <w:r>
        <w:rPr>
          <w:rFonts w:ascii="Times New Roman" w:hAnsi="Times New Roman"/>
          <w:sz w:val="20"/>
          <w:u w:val="single"/>
        </w:rPr>
        <w:t>Divestiture of Franchise</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substantially all of assets and rights associated with a Franchise is sold, exclusively licensed or otherwise transferred to, or acquired by, directly or indirectly, a Person that is not an Affiliate of Parent; </w:t>
      </w:r>
      <w:r>
        <w:rPr>
          <w:rFonts w:ascii="Times New Roman" w:hAnsi="Times New Roman"/>
          <w:i/>
          <w:sz w:val="20"/>
        </w:rPr>
        <w:t>provided</w:t>
      </w:r>
      <w:r>
        <w:rPr>
          <w:rFonts w:ascii="Times New Roman" w:hAnsi="Times New Roman"/>
          <w:sz w:val="20"/>
        </w:rPr>
        <w:t xml:space="preserve"> that “Divestiture of Franchise” shall not include any Change of Control of Parent.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entity thereto. “Effective Date” has the meaning set forth in the Preamble.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 Holder in respect of a Covered Equity Award.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Exercise Price</w:t>
      </w:r>
      <w:r>
        <w:rPr>
          <w:rFonts w:ascii="Times New Roman" w:hAnsi="Times New Roman"/>
          <w:sz w:val="20"/>
        </w:rPr>
        <w:t xml:space="preserve">” means, in the case of a CVR issued in respect of a Closing Date Underwater Option and with respect to a given Milestone, an amount equal to the excess, if any, of (a) the per Share exercise price of such Closing Date Underwater Option over (b)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value of the foregoing clause (a) is less than or equal to the value of the foregoing clause (b), “Excess Exercise Price” shall be deemed zero dollars ($0) for purposes of such Milestone.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Franchise</w:t>
      </w:r>
      <w:r>
        <w:rPr>
          <w:rFonts w:ascii="Times New Roman" w:hAnsi="Times New Roman"/>
          <w:sz w:val="20"/>
        </w:rPr>
        <w:t xml:space="preserve">” means any of (a) the Global Definity Franchise, (b) the Global Neurology Diagnostics Franchise or (c) the Global Prostate Cancer Diagnostics Franchise.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Global Definity Franchise</w:t>
      </w:r>
      <w:r>
        <w:rPr>
          <w:rFonts w:ascii="Times New Roman" w:hAnsi="Times New Roman"/>
          <w:sz w:val="20"/>
        </w:rPr>
        <w:t xml:space="preserve">” means (a) the product known as of the Effective Date as DEFINITY®, (b) Microbubble Technology Products containing perflutren or any metabolite, salt, ester, hydrate, solvate, isomer, enantiomer, free acid form, free base form, crystalline form, co-crystalline form, amorphous form, pro-drug (including ester pro-drug) form, racemate, polymorph, chelate, stereoisomer, tautomer or optically active form thereof, whether on its own or in combination with other active ingredients and (c) any Microbubble Technology Products derived from any of the foregoing, in each case ((a) through (c)),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Global Neurology Diagnostics Franchise</w:t>
      </w:r>
      <w:r>
        <w:rPr>
          <w:rFonts w:ascii="Times New Roman" w:hAnsi="Times New Roman"/>
          <w:sz w:val="20"/>
        </w:rPr>
        <w:t xml:space="preserve">” means (a) the products known as of the Effective Date as Neuraceq®, MK-6240, NAV-4694, and PI-2620, (b) any Radiodiagnostic Products containing: (i) florbetaben, florquinitau, flutafuranol, or PI-2620 or (ii) any metabolite, salt, ester, hydrate, solvate, isomer, enantiomer, free acid form, free base form, crystalline form, co-crystalline form, amorphous form, pro-drug (including ester pro-drug) form, racemate, polymorph, chelate, stereoisomer, tautomer or optically active form of any of the foregoing in (i), whether on their own or in combination with other active ingredients, and (c) any Radiodiagnostic Products derived from any of the foregoing in ((a) and (b)), in each case ((a) through (c)), in any and all forms, presentations, strengths/concentrations, delivery systems, modalities, dosages, formulations or packaging configurations, in each case excluding any Beta amyloid or Tau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Global Prostate Cancer Diagnostics Franchise</w:t>
      </w:r>
      <w:r>
        <w:rPr>
          <w:rFonts w:ascii="Times New Roman" w:hAnsi="Times New Roman"/>
          <w:sz w:val="20"/>
        </w:rPr>
        <w:t xml:space="preserve">” means (a) the products known as of the Effective Date as PYLARIFY®, PYLARIFY TruVu, and LNTH-2401, (b) any Radiodiagnostic Products containing: (i) piflufolastat or RM2 or (ii) any metabolite, salt, ester, hydrate, solvate, isomer, enantiomer, free acid form, free base form, crystalline form, co-crystalline form, amorphous form, pro-drug (including ester pro-drug) form, racemate, polymorph, chelate, stereoisomer, tautomer or optically active form of either of the foregoing in (i), whether on its own or in combination with other active ingredients, and (c) any Radiodiagnostic Product derived from any of the foregoing in ((a) and (b)), in each case ((a) through (c)), in any and all forms, presentations, strengths/concentrations, delivery systems, modalities, dosages, formulations or packaging configurations, in each case excluding any PSMA or GRPR targeting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Microbubble Technology Product</w:t>
      </w:r>
      <w:r>
        <w:rPr>
          <w:rFonts w:ascii="Times New Roman" w:hAnsi="Times New Roman"/>
          <w:sz w:val="20"/>
        </w:rPr>
        <w:t xml:space="preserve">” means a product, agent, compound, kit or preparation that (a) contains, incorporates, or uses microbubble technology and (b) is designed, developed, manufactured or used for the purpose of (i) in vivo diagnostic imaging, detection, screening, or monitoring or (ii) treatment, palliation, cure or prevention, in the case of both clauses (i) and (ii) of any disease, disorder, condition, or physiological process in humans or animals.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Achievement Certificate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Expiration Date</w:t>
      </w:r>
      <w:r>
        <w:rPr>
          <w:rFonts w:ascii="Times New Roman" w:hAnsi="Times New Roman"/>
          <w:sz w:val="20"/>
        </w:rPr>
        <w:t xml:space="preserve">” means, with respect to a Milestone, 12:00 a.m. New York City time on January 1, 2031, if such Milestone has not been achieved prior to such time. </w:t>
      </w:r>
    </w:p>
    <w:p>
      <w:pPr>
        <w:pStyle w:val="TextBody"/>
        <w:bidi w:val="0"/>
        <w:spacing w:before="240" w:after="0"/>
        <w:jc w:val="left"/>
        <w:rPr/>
      </w:pPr>
      <w:r>
        <w:rPr/>
        <w:t>“</w:t>
      </w:r>
      <w:r>
        <w:rPr>
          <w:rFonts w:ascii="Times New Roman" w:hAnsi="Times New Roman"/>
          <w:sz w:val="20"/>
          <w:u w:val="single"/>
        </w:rPr>
        <w:t>Milestone Failure Notice</w:t>
      </w:r>
      <w:r>
        <w:rPr>
          <w:rFonts w:ascii="Times New Roman" w:hAnsi="Times New Roman"/>
          <w:sz w:val="20"/>
        </w:rPr>
        <w:t xml:space="preserve">” has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in respect of a Milestone, for a given Holder, an amount equal to (i) in the case of CVRs held by such Holder other than CVRs issued in respect of Closing Date Underwater Options, the product of (a) the Milestone Payment in respect of such Milestone and (b) the number of CVRs held by such Holder as reflected on the CVR Register as of the close of business on the date of the applicable Milestone Notice and (ii) in the case of CVRs held by such Holder issued in respect of Closing Date Underwater Options, the product of (i) the Underwater Option Milestone Payment in respect of such Milestone and (ii) the number of such CVRs held by such Holder as reflected on the CVR Register as of the close of business on the date of the Milestone Notice for such Milestone.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means, (i) with respect to any given Milestone for the Prostate Cancer Products or Definity Products (i.e., the Milestones identified as Nos. 1-5 and No. 8, respectively,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ending December 31, 2030 for each such Milestone which was achieved and March 31, 2031, and (ii) with respect to any Milestone for the Neurology Products (i.e., the Milestones identified as Nos. 6 and 7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in which such Milestone was first achieved, and March 31 of the next succeeding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Milestone Sublicensee</w:t>
      </w:r>
      <w:r>
        <w:rPr>
          <w:rFonts w:ascii="Times New Roman" w:hAnsi="Times New Roman"/>
          <w:sz w:val="20"/>
        </w:rPr>
        <w:t>” means any licensee or sublicensee (regardless of tier) of (a) Parent or (b) any direct or indirect transferee, successor or assignee (including through any asset purchase or merger, consolidation or other combination), in both cases (a) and (b) with respect to rights to develop or commercialize a Product (a “</w:t>
      </w:r>
      <w:r>
        <w:rPr>
          <w:rFonts w:ascii="Times New Roman" w:hAnsi="Times New Roman"/>
          <w:sz w:val="20"/>
          <w:u w:val="single"/>
        </w:rPr>
        <w:t>Sublicense</w:t>
      </w:r>
      <w:r>
        <w:rPr>
          <w:rFonts w:ascii="Times New Roman" w:hAnsi="Times New Roman"/>
          <w:sz w:val="20"/>
        </w:rPr>
        <w:t xml:space="preserve">”) but excluding (i) contract research organizations, contract manufacturers and other third party service providers who have been granted a (sub)license solely to perform services on behalf of Parent, any Assignee or each of their respective Affiliates, and (ii) Distributors. </w:t>
      </w:r>
    </w:p>
    <w:p>
      <w:pPr>
        <w:pStyle w:val="TextBody"/>
        <w:bidi w:val="0"/>
        <w:spacing w:before="240" w:after="0"/>
        <w:jc w:val="left"/>
        <w:rPr/>
      </w:pPr>
      <w:r>
        <w:rPr/>
        <w:t>“</w:t>
      </w:r>
      <w:r>
        <w:rPr>
          <w:rFonts w:ascii="Times New Roman" w:hAnsi="Times New Roman"/>
          <w:sz w:val="20"/>
          <w:u w:val="single"/>
        </w:rPr>
        <w:t>Neurology Product</w:t>
      </w:r>
      <w:r>
        <w:rPr>
          <w:rFonts w:ascii="Times New Roman" w:hAnsi="Times New Roman"/>
          <w:sz w:val="20"/>
        </w:rPr>
        <w:t xml:space="preserve">” means any product, agent, compound, kit or preparation in the Global Neurology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“Parties” has the meaning set forth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CVRs (a) upon death of a Holder by will or intestacy;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so long as such transfer ends with such beneficial owner, in each case as permitted by DTC; (f) if the Holder is a partnership or limited liability company, a distribution by the transferring partnership or limited liability company to its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Exchange Act); or (g)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of (a) the Definity Products, (b) the Neurology Products or (c) the Prostate Cancer Products. </w:t>
      </w:r>
    </w:p>
    <w:p>
      <w:pPr>
        <w:pStyle w:val="TextBody"/>
        <w:bidi w:val="0"/>
        <w:spacing w:before="240" w:after="0"/>
        <w:jc w:val="left"/>
        <w:rPr/>
      </w:pPr>
      <w:r>
        <w:rPr/>
        <w:t>“</w:t>
      </w:r>
      <w:r>
        <w:rPr>
          <w:rFonts w:ascii="Times New Roman" w:hAnsi="Times New Roman"/>
          <w:sz w:val="20"/>
          <w:u w:val="single"/>
        </w:rPr>
        <w:t>Prostate Cancer Product</w:t>
      </w:r>
      <w:r>
        <w:rPr>
          <w:rFonts w:ascii="Times New Roman" w:hAnsi="Times New Roman"/>
          <w:sz w:val="20"/>
        </w:rPr>
        <w:t xml:space="preserve">” means any product, agent, compound, kit or preparation in the Global Prostate Cancer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Purchaser</w:t>
      </w:r>
      <w:r>
        <w:rPr>
          <w:rFonts w:ascii="Times New Roman" w:hAnsi="Times New Roman"/>
          <w:sz w:val="20"/>
        </w:rPr>
        <w:t xml:space="preserve">”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 billion, as reflected in such Person’s most recent financial statements, (ii) was one of the top thirty (30) pharmaceutical companies or top twenty (20) medical technology companies, as determined based on worldwide annual revenue of the prior year or (iii) is an investment firm with healthcare expertise and assets under management of at least $7.5 billion. </w:t>
      </w:r>
    </w:p>
    <w:p>
      <w:pPr>
        <w:pStyle w:val="TextBody"/>
        <w:bidi w:val="0"/>
        <w:spacing w:before="240" w:after="0"/>
        <w:jc w:val="left"/>
        <w:rPr/>
      </w:pPr>
      <w:r>
        <w:rPr/>
        <w:t>“</w:t>
      </w:r>
      <w:r>
        <w:rPr>
          <w:rFonts w:ascii="Times New Roman" w:hAnsi="Times New Roman"/>
          <w:sz w:val="20"/>
          <w:u w:val="single"/>
        </w:rPr>
        <w:t>Radiodiagnostic Product</w:t>
      </w:r>
      <w:r>
        <w:rPr>
          <w:rFonts w:ascii="Times New Roman" w:hAnsi="Times New Roman"/>
          <w:sz w:val="20"/>
        </w:rPr>
        <w:t xml:space="preserve">” means a product, agent, compound, kit or preparation that (a) contains, incorporates, or is labeled with one or more radioactive radionuclides or radioisotopes and (b) is designed, developed, manufactured or used for the purpose of in vivo diagnostic imaging, detection, screening, or monitoring of any disease, disorder, condition, or physiological process in humans or animals, by means of the radiation emitted by such radionuclide(s) or radioisotope(s), as applicable.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with respect to a country, any and all approvals (including Drug Approval Applications), licenses, registrations or authorizations of any Regulatory Authority necessary to commercially distribute, sell or market a Product in such country.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means any applicable supra-national, federal, national, regional, state, provincial or local regulatory agencies, departments, bureaus, commissions, councils or other government entities regulating or otherwise exercising authority with respect to the development and commercialization of Products, including the Food and Drug Administration and any successor agency thereto in the United States and the European Medicines Agency in the European Union.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preamble of this Agreement, until a successor Rights Agent has been appointed and accepted such appointment pursuant to the applicable provisions of this Agreement, and thereafter “Rights Agent” shall mean such successor Rights Agent. </w:t>
      </w:r>
    </w:p>
    <w:p>
      <w:pPr>
        <w:pStyle w:val="TextBody"/>
        <w:bidi w:val="0"/>
        <w:spacing w:before="240" w:after="0"/>
        <w:jc w:val="left"/>
        <w:rPr/>
      </w:pPr>
      <w:r>
        <w:rPr/>
        <w:t>“</w:t>
      </w:r>
      <w:r>
        <w:rPr>
          <w:rFonts w:ascii="Times New Roman" w:hAnsi="Times New Roman"/>
          <w:sz w:val="20"/>
          <w:u w:val="single"/>
        </w:rPr>
        <w:t>Royalties</w:t>
      </w:r>
      <w:r>
        <w:rPr>
          <w:rFonts w:ascii="Times New Roman" w:hAnsi="Times New Roman"/>
          <w:sz w:val="20"/>
        </w:rPr>
        <w:t xml:space="preserve">” means all royalties and similar amounts calculated and paid based on sales of any Product, whether based on a revenue, income or other sales value of the Product sold or on a unit or other basis, but excluding sales milestones to the extent included within Sublicense Income. </w:t>
      </w:r>
    </w:p>
    <w:p>
      <w:pPr>
        <w:pStyle w:val="TextBody"/>
        <w:bidi w:val="0"/>
        <w:spacing w:before="240" w:after="0"/>
        <w:jc w:val="left"/>
        <w:rPr/>
      </w:pPr>
      <w:r>
        <w:rPr/>
        <w:t>“</w:t>
      </w:r>
      <w:r>
        <w:rPr>
          <w:rFonts w:ascii="Times New Roman" w:hAnsi="Times New Roman"/>
          <w:sz w:val="20"/>
          <w:u w:val="single"/>
        </w:rPr>
        <w:t>Selling Entity</w:t>
      </w:r>
      <w:r>
        <w:rPr>
          <w:rFonts w:ascii="Times New Roman" w:hAnsi="Times New Roman"/>
          <w:sz w:val="20"/>
        </w:rPr>
        <w:t xml:space="preserve">”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(a) or (b).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Sublicense</w:t>
      </w:r>
      <w:r>
        <w:rPr>
          <w:rFonts w:ascii="Times New Roman" w:hAnsi="Times New Roman"/>
          <w:sz w:val="20"/>
        </w:rPr>
        <w:t xml:space="preserve">” has the meaning set forth in the definition of “Milestone Sublicensee.” </w:t>
      </w:r>
    </w:p>
    <w:p>
      <w:pPr>
        <w:pStyle w:val="TextBody"/>
        <w:bidi w:val="0"/>
        <w:spacing w:before="240" w:after="0"/>
        <w:jc w:val="left"/>
        <w:rPr/>
      </w:pPr>
      <w:r>
        <w:rPr/>
        <w:t>“</w:t>
      </w:r>
      <w:r>
        <w:rPr>
          <w:rFonts w:ascii="Times New Roman" w:hAnsi="Times New Roman"/>
          <w:sz w:val="20"/>
          <w:u w:val="single"/>
        </w:rPr>
        <w:t>Sublicense Income</w:t>
      </w:r>
      <w:r>
        <w:rPr>
          <w:rFonts w:ascii="Times New Roman" w:hAnsi="Times New Roman"/>
          <w:sz w:val="20"/>
        </w:rPr>
        <w:t xml:space="preserve">” means all amounts (including, without limitation, upfront consideration or similar fees, option fees, license maintenance or similar fees and milestone payments) payable by a Person to a Selling Entity in consideration for a Sublicense or an option or similar agreement providing the right to negotiate or obtain a Sublicense, but excludes any amounts paid to such Selling Entity by such Person (a) as Royalties, and (b) for any equity securities issued to such Person in respect of any such transaction(s) or arrangement(s) based on the fair market value of such securities (such fair market value to be determined on the assumption that no Selling Entity has granted, nor agreed to grant, any rights to such Person in respect of a Product, and excluding, for the avoidance of doubt, any premium paid over the fair market value of such securities which shall constitute Sublicense Income). Unless otherwise specified herein, Sublicense Income shall be calculated in accordance with the applicable Selling Entity’s usual and customary accounting methods consistent with the treatment of other Covered Products commercialized by the applicable Selling Entity, which shall be in accordance with GAAP generally and consistently applied.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means the Company Option described in Section 2.4(a)(iv) of the Merger Agreement.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means, for a CVR issued in respect of a Closing Date Underwater Option and with respect to a given Milestone, the amount, if any, by which the Milestone Payment for such Milestone exceeds the Excess Exercise Price for such Milestone with respect to such CVR.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and its territories and possessions.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(b) to any Person include the successors and permitted assigns of that Person, (c) to the Subsidiaries of a Person shall be deemed to include all direct and indirect Subsidiaries of such Person unless otherwise indicated or the context otherwise requires, (d) from or through any date mean, unless otherwise specified, from and including or through and including, respectively, (e) to the “date hereof” means the date of this Agreement, and (f) to any Governmental Entity shall be deemed to include any successor thereto. The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CONTINGENT VALUE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w:t>
      </w:r>
      <w:r>
        <w:rPr>
          <w:rFonts w:ascii="Times New Roman" w:hAnsi="Times New Roman"/>
          <w:sz w:val="20"/>
        </w:rPr>
        <w:t xml:space="preserve">. The CVRs represent the contractual rights of Holders to receive contingent cash payments pursuant to the Merger Agreement and this Agreement, subject to and in accordance with the terms and conditions hereof. The initial Holders shall be determined pursuant to the terms of the Merger Agreement and this Agreement. Each CVR represents the contractual right of a Holder to receive the Milestone Payment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Any such sale, assignment, transfer, pledge, encumbrance or disposal that is not a Permitted Transfer or otherwise permitted under this Agreement shall be void </w:t>
      </w:r>
      <w:r>
        <w:rPr>
          <w:rFonts w:ascii="Times New Roman" w:hAnsi="Times New Roman"/>
          <w:i/>
          <w:sz w:val="20"/>
        </w:rPr>
        <w:t>ab initio</w:t>
      </w:r>
      <w:r>
        <w:rPr>
          <w:rFonts w:ascii="Times New Roman" w:hAnsi="Times New Roman"/>
          <w:sz w:val="20"/>
        </w:rPr>
        <w:t xml:space="preserve">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2.3</w:t>
      </w:r>
      <w:r>
        <w:rPr>
          <w:rFonts w:ascii="Times New Roman" w:hAnsi="Times New Roman"/>
          <w:sz w:val="20"/>
          <w:u w:val="single"/>
        </w:rPr>
        <w:t xml:space="preserve"> 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sz w:val="20"/>
          <w:u w:val="single"/>
        </w:rPr>
        <w:t>CVR Register</w:t>
      </w:r>
      <w:r>
        <w:rPr>
          <w:rFonts w:ascii="Times New Roman" w:hAnsi="Times New Roman"/>
          <w:sz w:val="20"/>
        </w:rPr>
        <w:t xml:space="preserve">”) for the purpose of (i) identifying the Holders of the CVRs and (ii) registering CVRs and Permitted Transfers as provided herein. In the case of any CVRs that are to be issued to the holders of the Shares held in book-entry form through DTC, the CVR Register will initially show one position for Cede &amp; Co representing all of the CVRs that are issued to the holders of Shares held by DTC on behalf of the street holders of the Shares. The Rights Agent will have no responsibility whatsoever directly to the street name holders or DTC participants with respect to transfers of CVRs. With respect to any payments to be made under </w:t>
      </w:r>
      <w:r>
        <w:rPr>
          <w:rFonts w:ascii="Times New Roman" w:hAnsi="Times New Roman"/>
          <w:sz w:val="20"/>
          <w:u w:val="single"/>
        </w:rPr>
        <w:t>Section 2.4</w:t>
      </w:r>
      <w:r>
        <w:rPr>
          <w:rFonts w:ascii="Times New Roman" w:hAnsi="Times New Roman"/>
          <w:sz w:val="20"/>
        </w:rPr>
        <w:t xml:space="preserve">, the Rights Agent will accomplish the payment to any former street name holders of the Shares by sending a lump sum payment to DTC. The Rights Agent will have no responsibilities whatsoever with regard to the distribution of payments by DTC to such street name holders. In the case of CVRs to be received by the holders of Covered Equity Awards pursuant to the Merger Agreement, such CVRs shall initially be registered in the name and address of the holder of such Covered Equity Awards as set forth in the records of the Company at the Effective Time and in a denomination equal to the number of Shares subject to such Covered Equity Awards as described in the Merger Agreement. In the case of a holder of such Covered Equity Award, the CVRs held by such Person in respect of their Closing Date Underwater Options shall be registered and tracked (including tracking of the Excess Exercise Price, if any) separately from those CVRs held by such holder in respect of their Shares or other Covered Equity Awards (if any). Parent and the Rights Agent have no responsibility whatsoever directly to any street name holder or DTC participant, including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 to the distribution or payments, unless and until such Persons are registered on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Section 2.2, every request regarding a Permitted Transfer of a CVR must be in writing and accompanied by a written instrument of such transfer and other documentation reasonably requested by the Rights Agent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such requested transfer. Upon receipt of such written notice, the Rights Agent shall, subject to its reasonable determination that such transfer instrument is in proper form, notify Parent that it has received such written notice. Upon receipt of such notice from the Rights Agent, Parent shall determine whether such transfer otherwise complies with the other terms and conditions of this Agreement (including the provisions of Section 2.2), and if Parent determines that it does so comply, Parent shall instruct the Rights Agent in writing to register such transfer of the CVRs in the CVR Register and notify Parent of the same. No service charge shall be made for any registration of transfer of a CVR, but, as a condition of such transfer, Parent and the Rights Agent may require a transferring Holder or its transferee to pay to the applicable Governmental Entity any transfer, stamp or other similar Tax or governmental charge that is customarily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Payment Procedures. </w:t>
      </w:r>
    </w:p>
    <w:p>
      <w:pPr>
        <w:pStyle w:val="TextBody"/>
        <w:bidi w:val="0"/>
        <w:spacing w:before="240" w:after="0"/>
        <w:jc w:val="left"/>
        <w:rPr>
          <w:rFonts w:ascii="Times New Roman" w:hAnsi="Times New Roman"/>
          <w:sz w:val="20"/>
        </w:rPr>
      </w:pPr>
      <w:r>
        <w:rPr>
          <w:rFonts w:ascii="Times New Roman" w:hAnsi="Times New Roman"/>
          <w:sz w:val="20"/>
        </w:rPr>
        <w:t xml:space="preserve">(a) If a Selling Entity first achieves a milestone set forth in the table below (each, a “Milestone”) prior to the Milestone Expiration Date, then, on or prior to the applicable Milestone Payment Date, Parent shall deliver to the Rights Agent a written notice indicating that such Milestone has been achieved and specifying such Milestone (a “Milestone Notice”) and an Officer’s Certificate certifying that the Holders are entitled to receive the milestone payment corresponding to such Milestone as set forth in the table below (each such payment, a “Milestone Payment” and such certificate, a “Milestone Achievement Certificate”). For each such Milestone which Parent delivered, or was required to deliver, a Milestone Notice and Milestone Achievement Certificate, Parent shall deliver, on or before the applicable Milestone Payment Date, cash, by wire transfer of immediately available funds to an account specified by the Rights Agent, equal to the aggregate amount necessary to pay the Milestone Payment Amounts to all Holders (other than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Equity Award CVRs) pursuant to </w:t>
      </w:r>
      <w:r>
        <w:rPr>
          <w:rFonts w:ascii="Times New Roman" w:hAnsi="Times New Roman"/>
          <w:sz w:val="20"/>
          <w:u w:val="single"/>
        </w:rPr>
        <w:t>Section 4.3</w:t>
      </w:r>
      <w:r>
        <w:rPr>
          <w:rFonts w:ascii="Times New Roman" w:hAnsi="Times New Roman"/>
          <w:sz w:val="20"/>
        </w:rPr>
        <w:t xml:space="preserve">, along with any letter of instruction reasonably required by the Rights Agent, and Parent shall cause all amounts required to be paid in respect of Equity Award CVRs pursuant to this Agreement (including </w:t>
      </w:r>
      <w:r>
        <w:rPr>
          <w:rFonts w:ascii="Times New Roman" w:hAnsi="Times New Roman"/>
          <w:sz w:val="20"/>
          <w:u w:val="single"/>
        </w:rPr>
        <w:t>Section 4.3</w:t>
      </w:r>
      <w:r>
        <w:rPr>
          <w:rFonts w:ascii="Times New Roman" w:hAnsi="Times New Roman"/>
          <w:sz w:val="20"/>
        </w:rPr>
        <w:t xml:space="preserve">) to be so paid in accordance with the terms of this Agreement and the requirements of such section. Unless and until a Milestone Notice is received by the Rights Agent, the Rights Agent may presume conclusively for all purposes that no event has occurred that would require a Milestone Payment. For clarity, if more than one Milestone is first achieved in any calendar year prior to the Milestone Expiration Date, the Milestone Payments for each such Milestone shall be payable for such calendar year. In no event shall Parent be obligated to pay any Milestone Payment pursuant to this Section 2.4(a) unless and until the applicable Milestone has been actually achieved or deemed to have been achieved prior to the Milestone Expiration Date in accordance with this Agreement, including pursuant to Section 4.10.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
        <w:gridCol w:w="123"/>
        <w:gridCol w:w="7415"/>
        <w:gridCol w:w="123"/>
        <w:gridCol w:w="2098"/>
      </w:tblGrid>
      <w:tr>
        <w:trPr/>
        <w:tc>
          <w:tcPr>
            <w:tcW w:w="44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1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123" w:type="dxa"/>
            <w:tcBorders/>
            <w:vAlign w:val="bottom"/>
          </w:tcPr>
          <w:p>
            <w:pPr>
              <w:pStyle w:val="TableContents"/>
              <w:bidi w:val="0"/>
              <w:spacing w:before="0" w:after="283"/>
              <w:jc w:val="left"/>
              <w:rPr/>
            </w:pPr>
            <w:r>
              <w:rPr/>
              <w:t>  </w:t>
            </w:r>
          </w:p>
        </w:tc>
        <w:tc>
          <w:tcPr>
            <w:tcW w:w="7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12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46" w:type="dxa"/>
            <w:tcBorders/>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Nine Hundred Fifty Million dollars ($950 million)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2.</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One Hundred Million dollars ($1.1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Two Hundred Million dollars ($1.2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4.</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Five Hundred Million dollars ($1.5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5.</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Seven Hundred and Fifty Million dollars ($1.75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6.</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Neurology Products of at least Three Hundred Million dollars ($300 million) in any of the three calendar years ending December 31, 2028, 2029, or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7.</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Neurology Products of at least Three Hundred Fifty Million dollars ($350 million) in any of the three calendar years ending December 31, 2028, 2029, or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8.</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Definity Products of at least Four Hundred Million dollars ($400 million)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promptly, and in any event within ten (10) Business Days following receipt of a Milestone Notice and cash, by wire transfer of immediately available funds, equal to the aggregate amount necessary to pay the applicable Milestone Payment Amount to all Holders (other than in respect of Equity Award CVRs) pursuant to Section 4.3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shall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If any Holder has not returned such completed instruction letter, to the extent applicable, to the Rights Agent on or before the date that is three (3) months immediately following the date of the Milestone Notice, then the Rights Agent shall use commercially reasonable efforts to resend such Milestone Notice on or before the date that is six (6) months after the date of the applicable Milestone Notice. For the avoidance of doubt, the Rights Agent shall not have any responsibility to pay any Milestone Payment Amounts in respect of the Equity Award CVRs. </w:t>
      </w:r>
    </w:p>
    <w:p>
      <w:pPr>
        <w:pStyle w:val="TextBody"/>
        <w:bidi w:val="0"/>
        <w:spacing w:before="240" w:after="0"/>
        <w:jc w:val="left"/>
        <w:rPr>
          <w:rFonts w:ascii="Times New Roman" w:hAnsi="Times New Roman"/>
          <w:sz w:val="20"/>
        </w:rPr>
      </w:pPr>
      <w:r>
        <w:rPr>
          <w:rFonts w:ascii="Times New Roman" w:hAnsi="Times New Roman"/>
          <w:sz w:val="20"/>
        </w:rPr>
        <w:t>(c) If a Milestone is not achieved prior to the Milestone Expiration Date, then, on or prior to the date that would have been the Milestone Payment Date had the relevant Milestone been achieved, Parent shall deliver to the Rights Agent a written notice (a “</w:t>
      </w:r>
      <w:r>
        <w:rPr>
          <w:rFonts w:ascii="Times New Roman" w:hAnsi="Times New Roman"/>
          <w:sz w:val="20"/>
          <w:u w:val="single"/>
        </w:rPr>
        <w:t>Milestone Failure Notice</w:t>
      </w:r>
      <w:r>
        <w:rPr>
          <w:rFonts w:ascii="Times New Roman" w:hAnsi="Times New Roman"/>
          <w:sz w:val="20"/>
        </w:rPr>
        <w:t xml:space="preserve">”) indicating that the relevant Milestone was not achieved and an Officer’s Certificate certifying the same. The Rights Agent shall promptly, and in any event within ten (10) Business Days following receipt of a Milestone Failure Notice, send each Holder at its registered address a copy of such Milestone Failure Notice and, if applicable, an Adjusted Sales Statement.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Affiliates (including the Surviving Corporation) and the Rights Agent shall be entitled to deduct or withhold (including in the case of Parent and its Affiliates to cause the Rights Agent to deduct or withhold), from any payments made pursuant to this Agreement such amounts as are required to be deducted or withheld therefrom under the Code, the U.S. Treasury Regulations thereunder, or any other applicable Tax Laws, as may be reasonably determined by Parent, its Affiliate or the Rights Agent. With respect to Equity Award CVRs, any such withholding shall be made, or caused to be made, by Parent through the Company’s or an Affiliate’s (including the Surviving Corporation’s) payroll system or any successor or other applicable payroll system. Prior to making any Tax withholdings or causing any Tax withholdings to be made with respect to any Holder (other than payroll withholding and reporting with respect to amounts received in respect of Equity Award CVRs), the Rights Agent shall use commercially reasonable efforts to solicit from such Holder (and shall provide a reasonable opportunity for such Holder to deliver) an IRS Form W-9 or other applicable Tax form to avoid or reduce such withholding amounts, and any Milestone Payment Amounts may be reasonably delayed in order to gather such Tax forms. The Rights Agent shall properly remit, or cause to be remitted, any amounts it withholds in respect of Taxes to the appropriate Governmental Entity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applicable Law. Any amounts so deducted or withheld shall be treated for all purposes under this Agreement and the Merger Agreement as having been paid to the Holder in respect of whom such deduction and withholding was made, and as required by applicable Tax Law. Parent will provide withholding and payment instructions to the Rights Agent from time to time as applicable, and upon request of the Rights Agent. The Rights Agent will comply with any Tax reporting obligations in accordance with applicable Tax law and Parent’s instructions, including on IRS Form 1099-B or other applicable form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If any funds delivered to the Rights Agent for payment to Holders as Milestone Payment Amounts remain undistributed to the Holders on the date that is twelve (12) months after the date of the applicable Milestone Notice, Parent shall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shall be entitled to payment from Parent (subject to abandoned property, escheat and other similar Laws and </w:t>
      </w:r>
      <w:r>
        <w:rPr>
          <w:rFonts w:ascii="Times New Roman" w:hAnsi="Times New Roman"/>
          <w:sz w:val="20"/>
          <w:u w:val="single"/>
        </w:rPr>
        <w:t>Section 2.4(f))</w:t>
      </w:r>
      <w:r>
        <w:rPr>
          <w:rFonts w:ascii="Times New Roman" w:hAnsi="Times New Roman"/>
          <w:sz w:val="20"/>
        </w:rPr>
        <w:t xml:space="preserve"> as general creditors thereof with respect to the Milestone Payment Amount that may be payable.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Rights Agent shall be liable to any Holder in respect of any Milestone Payment Amounts delivered to a public official to comply with any applicable state, federal or other abandoned property, escheat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intend and, unless otherwise required as a result of a determination (within the meaning of Section 1313(a) of the Code), agree to treat (i) the CVRs received with respect to the Shares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be treated as imputed interest under applicable Laws) or (2) if paid in respect of an Equity Award CVR, as compensation in the year in which the Milestone Payment Amount is paid (and not upon the receipt of such CVR). The Rights Agent shall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(h) All funds received by the Rights Agent under this Agreement that are to be distributed or applied by the Rights Agent in the performance of services hereunder (the “Funds”) shall be held by the Rights Agent as agent for Parent and deposited in one or more bank accounts to be maintained by the Rights Agent in its name as agent for Parent. Until paid pursuant to this Agreement, the Rights Agent may hold the Funds in bank accounts or in bank repurchase agreements of commercial banks with capital exceeding One Billion Dollars ($1,000,000,000).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Person, except as described in </w:t>
      </w:r>
      <w:r>
        <w:rPr>
          <w:rFonts w:ascii="Times New Roman" w:hAnsi="Times New Roman"/>
          <w:sz w:val="20"/>
          <w:u w:val="single"/>
        </w:rPr>
        <w:t>Section 2.4(i)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Notwithstanding the preceding, Parent directs the Rights Agent, and the Rights Agent agrees to place the Funds in accounts, as described above, for the term of this Agreement. The Rights Agent further agrees that after DTC has been paid, the Funds as described above shall accrue interest to the benefit of Parent at the federal funds target rate minus twentyfive (25) basis points-annualized basis for a period of thirty (30) days after receipt of the Funds by the Rights Agent on the average daily balance in the accounts.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shall not confer any voting or dividend rights with respect to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No interest shall accrue on any amounts payable on the CVRs to any Holder. (c) The CVRs shall not represent any equity or ownership interest in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(d) The rights of the Holders and the obligations of Parent are contract rights limited to those expressly set forth in this Agreement, and the Holders’ sole right to receive property hereunder is the right to receive cash from Parent, if any, through the Rights Agent in accordance with the terms hereof; provided that the foregoing shall not limit the rights of the Holders to seek damages for any failure by Parent to comply with the terms of this Agreement. It is hereby acknowledged and agreed that a CVR shall not constitute a security of Parent.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its directors and officers nor any Subsidiary or Affiliate of Parent or any of their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or any of its Affiliates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Article 5 and Article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fraud, gross negligence, bad faith or willful or intentional misconduct (each as determined by a final nonappealable judgment of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the Rights Agent</w:t>
      </w:r>
      <w:r>
        <w:rPr>
          <w:rFonts w:ascii="Times New Roman" w:hAnsi="Times New Roman"/>
          <w:sz w:val="20"/>
        </w:rPr>
        <w:t xml:space="preserve">. The Rights Agent undertakes to perform such duties and only such duties as are specifically set forth in this Agreement, and no implied covenants or obligations shall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Rights Agent shall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fraud, gross negligence, bad faith or willful or intentional misconduct on its part (each as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shall be full and complete authorization and protection and shall be held harmless by Parent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shall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shall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240" w:after="0"/>
        <w:jc w:val="left"/>
        <w:rPr>
          <w:rFonts w:ascii="Times New Roman" w:hAnsi="Times New Roman"/>
          <w:sz w:val="20"/>
        </w:rPr>
      </w:pPr>
      <w:r>
        <w:rPr>
          <w:rFonts w:ascii="Times New Roman" w:hAnsi="Times New Roman"/>
          <w:sz w:val="20"/>
        </w:rPr>
        <w:t xml:space="preserve">(g) 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Parent agrees to indemnify the Rights Agent for, and hold the Rights Agent harmless against, any loss, liability, damage, judgment, fine, penalty, claims, demands, suits or expenses arising out of or in connection with the Rights Agent’s performance of its duties under this Agreement (excluding any Taxes imposed on the fees owed to the Rights Agent hereunder), including the reasonable and documented out-of-pocket costs and expenses of defending the Rights Agent against any claims, charges, demands, suits or losses arising out of or in connection with the execution, administration, exercise and performance of its duties under this Agreement, unless such loss has been determined by a court of competent jurisdiction to have resulted from the Rights Agent’s gross negligence, bad faith or willful or intentional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anything to the contrary notwithstanding, (i) the Rights Agent shall not be liable for any special, punitive, indirect, consequential or incidental loss or damage (including, but not limited to, lost profits) arising out of any act or failure to act hereunder and (ii) the aggregate liability of the Rights Agent arising in connection with this Agreement, whether in contract, or in tort, or otherwise, except for the Rights Agent’s fraud, bad faith or willful or intentional misconduct (as determined by a final non-appealable judgment of a court of competent jurisdiction), is limited to, and shall not exceed, the amounts paid hereunder by Parent to the Rights Agent, as fees, but not including reimbursable expenses, during the twelve (12) months immediately preceding the event for which recovery from the Rights Agent is being sought; </w:t>
      </w:r>
    </w:p>
    <w:p>
      <w:pPr>
        <w:pStyle w:val="TextBody"/>
        <w:bidi w:val="0"/>
        <w:spacing w:before="240" w:after="0"/>
        <w:jc w:val="left"/>
        <w:rPr>
          <w:rFonts w:ascii="Times New Roman" w:hAnsi="Times New Roman"/>
          <w:sz w:val="20"/>
        </w:rPr>
      </w:pPr>
      <w:r>
        <w:rPr>
          <w:rFonts w:ascii="Times New Roman" w:hAnsi="Times New Roman"/>
          <w:sz w:val="20"/>
        </w:rPr>
        <w:t xml:space="preserve">(j) Parent agrees (i) to pay the reasonable documented out-of-pocket fees and expenses of the Rights Agent in connection with this Agreement as agreed upon in writing in a fee schedule by the Rights Agent and Parent on or prior to the date hereof, and (ii) to reimburse the Rights Agent for all reasonable documented Taxes and other out-of-pocket expenses incurred by the Rights Agent in the negotiation, execution and amendment of this Agreement (other than corporate excise or privilege Taxes, property or license Taxes, Taxes relating to the Rights Agent’s personnel, and any Taxes imposed on or measured by the Rights Agent’s gross revenues, net income and franchise or similar Taxes imposed on it (in lieu of net income Taxes)); </w:t>
      </w:r>
      <w:r>
        <w:rPr>
          <w:rFonts w:ascii="Times New Roman" w:hAnsi="Times New Roman"/>
          <w:i/>
          <w:sz w:val="20"/>
        </w:rPr>
        <w:t>provided</w:t>
      </w:r>
      <w:r>
        <w:rPr>
          <w:rFonts w:ascii="Times New Roman" w:hAnsi="Times New Roman"/>
          <w:sz w:val="20"/>
        </w:rPr>
        <w:t xml:space="preserve"> that if the Rights Agent determines that it has received a refund of any Taxes or government charge borne by Parent pursuant to this clause (ii), the Rights Agent shall promptly repay such refund to Parent. The Rights Agent shall also be entitled to reimbursement from Parent for all documented reasonable and necessary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deemed to have knowledge of any event of which it was entitled to receive notice pursuant to the terms of this Agreement, and the Rights Agent shall be fully protected and shall incur no liability for failing to take action in connection with such event, in each case, unless and until such notice has been given in accordance with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unless otherwise specifically prohibited by the terms of this Agreement, the Rights Agent and any shareholder, affiliate, director, officer, agent or employee of the Rights Agent may buy, sell or deal in any securities of Parent or the Company or become pecuniarily interested in any transaction in which Parent or the Company may be interested, or contract with or lend money to Parent or the Company or otherwise act as fully and freely as though it were not the Rights Agent under this Agreement. Nothing herein shall preclude the Rights Agent from acting in any other capacity for Parent, the Company or for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Rights Agent shall neither be responsible for, nor chargeable with, knowledge of, nor have any requirements to comply with, the terms and conditions of the Merger Agreement, nor shall the Rights Agent be required to determine if any person or entity has complied with the Merger Agreement, nor shall any additional obligations of the Rights Agent be inferred from the terms of the Merger Agreement even though reference thereto may be made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assume any obligations or relationship of agency or trust with any of the owners or holders of the CVRs except as expressly set forth in this Agreement or as required by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(p) the recitals or statements of fact contained herein shall be taken as statements of Parent (other than the Rights Agent’s representations, warranties and statements under this Agreement), and the Rights Agent assumes no responsibility for their correctness nor shall it be required to verify the same (other than the Rights Agent’s representations, warranties and statements under this Agreement). The Rights Agent shall be under no responsibility for the validity or sufficiency of this Agreement or the execution and delivery hereof (except the due execution hereof by the Rights Agent) or in respect of the validity or execution of the CVRs, nor shall it be responsible for any breach by Parent, or any other Person of any covenant or condition contained in this Agreement or any CVR.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obligations of Parent and the Rights Agent under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shall survive the Milestone Expiration Date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and accepted such appointment in accordance with Section 3.4. Parent has the right to remove the Rights Agent at any time by specifying a date when such removal shall take effect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Notice of such removal shall be given by Parent to the Rights Agent, which notice shall be sent at least sixty (60) days prior to the date so specified. </w:t>
      </w:r>
    </w:p>
    <w:p>
      <w:pPr>
        <w:pStyle w:val="TextBody"/>
        <w:bidi w:val="0"/>
        <w:spacing w:before="240" w:after="0"/>
        <w:jc w:val="left"/>
        <w:rPr>
          <w:rFonts w:ascii="Times New Roman" w:hAnsi="Times New Roman"/>
          <w:sz w:val="20"/>
        </w:rPr>
      </w:pPr>
      <w:r>
        <w:rPr>
          <w:rFonts w:ascii="Times New Roman" w:hAnsi="Times New Roman"/>
          <w:sz w:val="20"/>
        </w:rPr>
        <w:t xml:space="preserve">(b)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the Parties. The purchase of all or substantially all of the Rights Agent’s assets employed in the performance of the transfer agent activities shall be deemed a merger or consolidation for purposes of this </w:t>
      </w:r>
      <w:r>
        <w:rPr>
          <w:rFonts w:ascii="Times New Roman" w:hAnsi="Times New Roman"/>
          <w:sz w:val="20"/>
          <w:u w:val="single"/>
        </w:rPr>
        <w:t>Section 3.3(b)</w:t>
      </w:r>
      <w:r>
        <w:rPr>
          <w:rFonts w:ascii="Times New Roman" w:hAnsi="Times New Roman"/>
          <w:sz w:val="20"/>
        </w:rPr>
        <w:t xml:space="preserve">. If the Rights Agent provides notice of its intent to resign, is removed or becomes incapable of acting, Parent shall, as soon as is reasonably practicable, appoint a qualified successor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give notice of each resignation and each removal of a Rights Agent and each appointment of a successor Rights Agent through the facilities of DTC in accordance with DTC’s procedures or by mailing written notice of such event by first-class mail to the Holders as their names and addresses appear in the CVR Register. Each notice shall include the name and address of the successor Rights Agent. If Parent fails to send such notice within ten (10) Business Days after acceptance of appointment by a successor Rights Agent, the successor Rights Agent shall cause the notice to be transmitted at the expense of Parent. Failure to give any notice provided for in this </w:t>
      </w:r>
      <w:r>
        <w:rPr>
          <w:rFonts w:ascii="Times New Roman" w:hAnsi="Times New Roman"/>
          <w:sz w:val="20"/>
          <w:u w:val="single"/>
        </w:rPr>
        <w:t>Section 3.3</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shall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trusts and duties of the retiring Rights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Diligence Obligations</w:t>
      </w:r>
      <w:r>
        <w:rPr>
          <w:rFonts w:ascii="Times New Roman" w:hAnsi="Times New Roman"/>
          <w:sz w:val="20"/>
        </w:rPr>
        <w:t xml:space="preserve">. Following the Closing until the earlier of: (a) all Milestone Payments having been paid by Parent as set forth in </w:t>
      </w:r>
      <w:r>
        <w:rPr>
          <w:rFonts w:ascii="Times New Roman" w:hAnsi="Times New Roman"/>
          <w:sz w:val="20"/>
          <w:u w:val="single"/>
        </w:rPr>
        <w:t>Section 4.3</w:t>
      </w:r>
      <w:r>
        <w:rPr>
          <w:rFonts w:ascii="Times New Roman" w:hAnsi="Times New Roman"/>
          <w:sz w:val="20"/>
        </w:rPr>
        <w:t xml:space="preserve">; and (b) the Milestone Expiration Date, Parent shall, and shall direct each Selling Entity to, exercise good faith and use Commercially Reasonable Efforts with respect to (i) Products that have received Regulatory Approval, and (ii) with respect to generating Clinical Collaboration Revenue to achieve each of the Milestones. Without limiting the foregoing, Parent hereby acknowledges and agrees that neither Parent, nor any Selling Entity, shall take any action with the purpose or intent to reduce the likelihood or amount of any Milestone Payment being payable. Except as expressly set forth above, (x) Parent and its Affiliates shall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(y) Parent and its Affiliates shall not be required, expressly or implicitly, to undertake any level of efforts or employ any level of resources to develop any Product, or conduct any clinical trials; </w:t>
      </w:r>
      <w:r>
        <w:rPr>
          <w:rFonts w:ascii="Times New Roman" w:hAnsi="Times New Roman"/>
          <w:i/>
          <w:sz w:val="20"/>
        </w:rPr>
        <w:t>provided</w:t>
      </w:r>
      <w:r>
        <w:rPr>
          <w:rFonts w:ascii="Times New Roman" w:hAnsi="Times New Roman"/>
          <w:sz w:val="20"/>
        </w:rPr>
        <w:t xml:space="preserve">, that any actions or inaction of Parent or its Affiliates pursuant to the foregoing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and (y) may be considered for purposes of determining whether Parent and its Affiliates have complied with the first two sentences of this </w:t>
      </w:r>
      <w:r>
        <w:rPr>
          <w:rFonts w:ascii="Times New Roman" w:hAnsi="Times New Roman"/>
          <w:sz w:val="20"/>
          <w:u w:val="single"/>
        </w:rPr>
        <w:t>Section 4.1</w:t>
      </w:r>
      <w:r>
        <w:rPr>
          <w:rFonts w:ascii="Times New Roman" w:hAnsi="Times New Roman"/>
          <w:sz w:val="20"/>
        </w:rPr>
        <w:t xml:space="preserve">. Notwithstanding anything else in this Agreement to the contrary, Parent and its Affiliates shall not have any duties either express or implied with respect to the development, or commercialization of the Products other than as set forth in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List of Holders</w:t>
      </w:r>
      <w:r>
        <w:rPr>
          <w:rFonts w:ascii="Times New Roman" w:hAnsi="Times New Roman"/>
          <w:sz w:val="20"/>
        </w:rPr>
        <w:t xml:space="preserve">. Parent shall furnish or cause to be furnished to the Rights Agent, in such form as Parent receives from the Company’s transfer agent (or other agent performing similar services for the Company with respect to the Shares and Covered Equity Awards), the names and addresses of the initial Holders of CVRs within twenty (20) Business Days of the Effective Time. Until such list of Holders is furnished to the Rights Agent, the Rights Agent shall have no duties, responsibilities or obligations with respect to such Holders. Any Holder or group of Holders, holding in the aggregate not less than one percent (1%) of the outstanding CVRs, 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Payment of Milestone Payment Amounts</w:t>
      </w:r>
      <w:r>
        <w:rPr>
          <w:rFonts w:ascii="Times New Roman" w:hAnsi="Times New Roman"/>
          <w:sz w:val="20"/>
        </w:rPr>
        <w:t xml:space="preserve">. If a Milestone has been achieved in accordance with this Agreement, Parent shall, (i) other than payments in respect of Equity Award CVRs,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with respect to such Milestone to all Holders and (ii) in respect of Equity Award CVRs (including, for the avoidance of doubt, any amounts payable in respect of a Closing Date Underwater Option in accordance with the terms of this Agreement), cause to be paid to the applicable Holders the aggregate amount necessary to pay the Milestone Payment Amount to the applicable Holders, which may be paid through the Company’s or its Affiliate’s payroll system or any successor or other applicable payroll system. The payments described in clause (ii) of the preceding sentence shall be paid on the first payroll date on or following the later of (i) the applicable Milestone Payment Date in accordance with this Agreement and (ii) with respect to Equity Award CVRs that are PSU CVRs (as defined in the Merger Agreement) the date on which the corresponding Converted PSU Award (or portion thereof) vests in accordance with its terms (in each case, subject to withholding as described in the Merger Agreement), and in no event shall any such payment be delayed in a manner which results in a Tax or penalty to the holder of an Equity Award CVR under Section 409A of the Code. The Rights Agent shall not be liable or responsible for any delay in any payment by Parent under this </w:t>
      </w:r>
      <w:r>
        <w:rPr>
          <w:rFonts w:ascii="Times New Roman" w:hAnsi="Times New Roman"/>
          <w:sz w:val="20"/>
          <w:u w:val="single"/>
        </w:rPr>
        <w:t>Section 4.3</w:t>
      </w:r>
      <w:r>
        <w:rPr>
          <w:rFonts w:ascii="Times New Roman" w:hAnsi="Times New Roman"/>
          <w:sz w:val="20"/>
        </w:rPr>
        <w:t xml:space="preserve">. For the avoidance of doubt, no amount will be payable with respect to any Equity Award CVR that is a PSU CVR unless and until the corresponding Converted PSU Award, or portion thereof, vests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Sufficiency of Funds</w:t>
      </w:r>
      <w:r>
        <w:rPr>
          <w:rFonts w:ascii="Times New Roman" w:hAnsi="Times New Roman"/>
          <w:sz w:val="20"/>
        </w:rPr>
        <w:t xml:space="preserve">. Parent shall have sufficient cash resources in readily available funds on each applicable Milestone Payment Date to enable Parent to satisfy in full the payment of the aggregate Milestone Payment Amount payable to all Holders in respect of such Milestone.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Books and Records</w:t>
      </w:r>
      <w:r>
        <w:rPr>
          <w:rFonts w:ascii="Times New Roman" w:hAnsi="Times New Roman"/>
          <w:sz w:val="20"/>
        </w:rPr>
        <w:t xml:space="preserve">. Parent shall, and shall cause the Surviving Corporation, their respective Affiliates and the other Selling Entities to, keep complete and accurate books and records to the extent necessary for the Holders and the Independent Accountant to ascertain properly and to verify the payments owed hereunder.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Commercialization Reports</w:t>
      </w:r>
      <w:r>
        <w:rPr>
          <w:rFonts w:ascii="Times New Roman" w:hAnsi="Times New Roman"/>
          <w:sz w:val="20"/>
        </w:rPr>
        <w:t xml:space="preserve">. From the Effective Date until the Milestone Expiration Date, Parent shall provide the Rights Agent, within forty-five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this Agreement. No report shall be deemed to create any obligation or covenant with respect to the marketing, promotion or other commercial efforts for the Products beyond the obligations under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Adjusted Sales Statements. Within sixty (60) days of the end of each calendar year beginning January 1, 2028 and January 1, 2029, Parent shall provide the Rights Agent with an Adjusted Sales Statement covering such calendar year with respect to Neurology Products. In addition, within sixty (60) days of the end of the calendar year beginning January 1, 2030, Parent shall provide the Rights Agent with an Adjusted Sales Statement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after January 1, 2029, upon the written request of the Rights Agent, authorized by the Acting Holders, provided to Parent within 120 days (or, with respect to the period ending at the Milestone Expiration Date, 180 days) of the earlier to occur of (i) the delivery by Parent of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or (ii) the expiry of the thirty (30) day period in which Parent is obligated to provide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(the “</w:t>
      </w:r>
      <w:r>
        <w:rPr>
          <w:rFonts w:ascii="Times New Roman" w:hAnsi="Times New Roman"/>
          <w:sz w:val="20"/>
          <w:u w:val="single"/>
        </w:rPr>
        <w:t>Review Request Period</w:t>
      </w:r>
      <w:r>
        <w:rPr>
          <w:rFonts w:ascii="Times New Roman" w:hAnsi="Times New Roman"/>
          <w:sz w:val="20"/>
        </w:rPr>
        <w:t xml:space="preserve">”), but no more than once during any calendar year and not more than three times during the term of this Agreement, Parent shall permit, and shall cause the Surviving Corporation, their respective Affiliates and the other Selling Entities to permit, the Independent Accountant to have access to all relevant books and records specified in </w:t>
      </w:r>
      <w:r>
        <w:rPr>
          <w:rFonts w:ascii="Times New Roman" w:hAnsi="Times New Roman"/>
          <w:sz w:val="20"/>
          <w:u w:val="single"/>
        </w:rPr>
        <w:t>Section 4.5</w:t>
      </w:r>
      <w:r>
        <w:rPr>
          <w:rFonts w:ascii="Times New Roman" w:hAnsi="Times New Roman"/>
          <w:sz w:val="20"/>
        </w:rPr>
        <w:t xml:space="preserve"> since January 1, 2027, upon reasonable prior notice and during normal business hours, and the Independent Accountant shall be so permitted to inspect such of the books and records specified in </w:t>
      </w:r>
      <w:r>
        <w:rPr>
          <w:rFonts w:ascii="Times New Roman" w:hAnsi="Times New Roman"/>
          <w:sz w:val="20"/>
          <w:u w:val="single"/>
        </w:rPr>
        <w:t>Section 4.5</w:t>
      </w:r>
      <w:r>
        <w:rPr>
          <w:rFonts w:ascii="Times New Roman" w:hAnsi="Times New Roman"/>
          <w:sz w:val="20"/>
        </w:rPr>
        <w:t xml:space="preserve"> of Parent, the Surviving Corporation, any of their respective Affiliates and any other Selling Entity since January 1, 2027 as may be reasonably necessary to verify the accuracy of all applicable Adjusted Sales Statements and the figures underlying the calculations set forth therein or, if Parent has failed to provide such Adjusted Sales Statement in accordance with </w:t>
      </w:r>
      <w:r>
        <w:rPr>
          <w:rFonts w:ascii="Times New Roman" w:hAnsi="Times New Roman"/>
          <w:sz w:val="20"/>
          <w:u w:val="single"/>
        </w:rPr>
        <w:t>Section 4.7</w:t>
      </w:r>
      <w:r>
        <w:rPr>
          <w:rFonts w:ascii="Times New Roman" w:hAnsi="Times New Roman"/>
          <w:sz w:val="20"/>
        </w:rPr>
        <w:t xml:space="preserve">, such inspection shall be to determine the Adjusted Sales for all Products, on a Product-by-Product basis, in respect of the calendar years beginning January 1, 2027, January 1, 2028 or January 1, 2029; for the purpose of determining the accuracy of the applicable Adjusted Sales Statements and the figures underlying the amounts set forth therein; </w:t>
      </w:r>
      <w:r>
        <w:rPr>
          <w:rFonts w:ascii="Times New Roman" w:hAnsi="Times New Roman"/>
          <w:i/>
          <w:sz w:val="20"/>
        </w:rPr>
        <w:t>provided</w:t>
      </w:r>
      <w:r>
        <w:rPr>
          <w:rFonts w:ascii="Times New Roman" w:hAnsi="Times New Roman"/>
          <w:sz w:val="20"/>
        </w:rPr>
        <w:t xml:space="preserve"> that, as a condition precedent to any such audit, the Independent Accountant shall have entered into a customary confidentiality agreement with Parent that would permit disclosure to the Acting Holders of the report referred to below. Parent shall, and shall cause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their respective Affiliates and the other Selling Entities to, reasonably cooperate with each such audit conducted pursuant to this </w:t>
      </w:r>
      <w:r>
        <w:rPr>
          <w:rFonts w:ascii="Times New Roman" w:hAnsi="Times New Roman"/>
          <w:sz w:val="20"/>
          <w:u w:val="single"/>
        </w:rPr>
        <w:t>Section 4.8</w:t>
      </w:r>
      <w:r>
        <w:rPr>
          <w:rFonts w:ascii="Times New Roman" w:hAnsi="Times New Roman"/>
          <w:sz w:val="20"/>
        </w:rPr>
        <w:t>. Following each such audit, the Independent Accountant shall prepare a report based on such audit, a copy of which shall be sent or otherwise provided to the Acting Holders (through the Rights Agent), which report shall contain the conclusions of the Independent Accountant and shall specify whether the amounts reported in the Adjusted Sales Statement were correct or, if incorrect, the amount of any understatement or overstatement. If the Independent Accountant concludes that a Milestone Payment that was properly due was not paid to the Holders, Parent shall, within thirty (30) days of the date on which the Independent Accountant delivers its report, either (y)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w:t>
      </w:r>
      <w:r>
        <w:rPr>
          <w:rFonts w:ascii="Times New Roman" w:hAnsi="Times New Roman"/>
          <w:sz w:val="20"/>
          <w:u w:val="single"/>
        </w:rPr>
        <w:t>CVR Shortfall</w:t>
      </w:r>
      <w:r>
        <w:rPr>
          <w:rFonts w:ascii="Times New Roman" w:hAnsi="Times New Roman"/>
          <w:sz w:val="20"/>
        </w:rPr>
        <w:t xml:space="preserve">”), or (z) commence a Legal Proceeding to adjudicate any disputes. If neither Party commences a Legal Proceeding within such thirty (30) day period, the decision of the Independent Accountant shall be final, conclusive and binding on Parent and the Acting Holders, shall be non-appealable and shall not be subject to further review. The fees charged by such accounting firm shall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(b) If, upon the expiration of the applicable Review Request Period, the Acting Holders have not requested a review of the Adjusted Sales Statement in accordance with this </w:t>
      </w:r>
      <w:r>
        <w:rPr>
          <w:rFonts w:ascii="Times New Roman" w:hAnsi="Times New Roman"/>
          <w:sz w:val="20"/>
          <w:u w:val="single"/>
        </w:rPr>
        <w:t>Section 4.8</w:t>
      </w:r>
      <w:r>
        <w:rPr>
          <w:rFonts w:ascii="Times New Roman" w:hAnsi="Times New Roman"/>
          <w:sz w:val="20"/>
        </w:rPr>
        <w:t xml:space="preserve"> the calculations set forth in the Adjusted Sales Statement shall be binding and conclusive upon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(c) Each Person seeking to receive information from Parent, the Surviving Corporation, their respective Affiliates or other Selling Entities, as applicable, in connection with an audit pursuant to this </w:t>
      </w:r>
      <w:r>
        <w:rPr>
          <w:rFonts w:ascii="Times New Roman" w:hAnsi="Times New Roman"/>
          <w:sz w:val="20"/>
          <w:u w:val="single"/>
        </w:rPr>
        <w:t>Section 4.8</w:t>
      </w:r>
      <w:r>
        <w:rPr>
          <w:rFonts w:ascii="Times New Roman" w:hAnsi="Times New Roman"/>
          <w:sz w:val="20"/>
        </w:rPr>
        <w:t xml:space="preserve"> shall enter into, and shall cause its accounting firm to enter into, a reasonable and mutually satisfactory confidentiality agreement with Parent, the Surviving Corporation, any of their respective Affiliates or any other Selling Entity, as applicable,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not, and shall cause the Surviving Corporation, their respective Affiliates and the other Selling Entities not to, enter into any license or distribution agreement with any third party (other than Parent or its Affiliates) with respect to a Product unless such agreement contains provisions that would allow any Independent Accountant appointed pursuant to this </w:t>
      </w:r>
      <w:r>
        <w:rPr>
          <w:rFonts w:ascii="Times New Roman" w:hAnsi="Times New Roman"/>
          <w:sz w:val="20"/>
          <w:u w:val="single"/>
        </w:rPr>
        <w:t>Section 4.8</w:t>
      </w:r>
      <w:r>
        <w:rPr>
          <w:rFonts w:ascii="Times New Roman" w:hAnsi="Times New Roman"/>
          <w:sz w:val="20"/>
        </w:rPr>
        <w:t xml:space="preserve"> such access to the records of the other party to such license or distribution agreement as may be reasonably necessary to perform its duties pursuant to this </w:t>
      </w:r>
      <w:r>
        <w:rPr>
          <w:rFonts w:ascii="Times New Roman" w:hAnsi="Times New Roman"/>
          <w:sz w:val="20"/>
          <w:u w:val="single"/>
        </w:rPr>
        <w:t>Section 4.8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and its Affiliates shall not be required to amend any of its or their existing licenses or distribution agreements. The Parties agree that, if Parent or its Affiliates have exercised audit rights under any license or distribution agreement prior to the Acting Holders’ request for an audit under this </w:t>
      </w:r>
      <w:r>
        <w:rPr>
          <w:rFonts w:ascii="Times New Roman" w:hAnsi="Times New Roman"/>
          <w:sz w:val="20"/>
          <w:u w:val="single"/>
        </w:rPr>
        <w:t>Section 4.8</w:t>
      </w:r>
      <w:r>
        <w:rPr>
          <w:rFonts w:ascii="Times New Roman" w:hAnsi="Times New Roman"/>
          <w:sz w:val="20"/>
        </w:rPr>
        <w:t xml:space="preserve"> and under such license or distribution agreement Parent and its Affiliates cannot request another audit, the results of Parent’s prior audit of such licensee or distributor shall be used for purposes of the audit requested by the Acting Holders under this </w:t>
      </w:r>
      <w:r>
        <w:rPr>
          <w:rFonts w:ascii="Times New Roman" w:hAnsi="Times New Roman"/>
          <w:sz w:val="20"/>
          <w:u w:val="single"/>
        </w:rPr>
        <w:t>Section 4.8</w:t>
      </w:r>
      <w:r>
        <w:rPr>
          <w:rFonts w:ascii="Times New Roman" w:hAnsi="Times New Roman"/>
          <w:sz w:val="20"/>
        </w:rPr>
        <w:t xml:space="preserve"> and that Parent shall not have any further obligation to provide access to an Independent Accountant with respect to such licensee or distributor until such time as Parent may again exercise its rights of audit under the license or distribution agreement with such licensee or distributor.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Transfers of Product Rights</w:t>
      </w:r>
      <w:r>
        <w:rPr>
          <w:rFonts w:ascii="Times New Roman" w:hAnsi="Times New Roman"/>
          <w:sz w:val="20"/>
        </w:rPr>
        <w:t xml:space="preserve">. Without limiting the provisions of </w:t>
      </w:r>
      <w:r>
        <w:rPr>
          <w:rFonts w:ascii="Times New Roman" w:hAnsi="Times New Roman"/>
          <w:sz w:val="20"/>
          <w:u w:val="single"/>
        </w:rPr>
        <w:t>Section 4.10</w:t>
      </w:r>
      <w:r>
        <w:rPr>
          <w:rFonts w:ascii="Times New Roman" w:hAnsi="Times New Roman"/>
          <w:sz w:val="20"/>
        </w:rPr>
        <w:t xml:space="preserve">, if prior to the payment of all Milestone Payments with respect to a Product hereunder, Parent, the Surviving Corporation, any of their respective Affiliates or any Selling Entity, directly or indirectly, consummates a sale, license or other transfer of any material rights or assets to develop (including seek regulatory approval for), sell or otherwise commercialize any Product to a third party that is not an Affiliate of Parent, Parent shall provide notice to the Rights Agent of the rights or assets so sold, licensed or transferred and the name and address of the Person to whom such rights or assets were sold, licensed or transferred within ten (10) Business Days following such sale, license or transfer. Each such Person shall,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this Agreement on the part of Parent to be performed or observed. Notwithstanding the foregoing and for clarity, (x) nothing in this </w:t>
      </w:r>
      <w:r>
        <w:rPr>
          <w:rFonts w:ascii="Times New Roman" w:hAnsi="Times New Roman"/>
          <w:sz w:val="20"/>
          <w:u w:val="single"/>
        </w:rPr>
        <w:t>Section 4.9</w:t>
      </w:r>
      <w:r>
        <w:rPr>
          <w:rFonts w:ascii="Times New Roman" w:hAnsi="Times New Roman"/>
          <w:sz w:val="20"/>
        </w:rPr>
        <w:t xml:space="preserve"> or in any instrument effecting such sale, license or transfer shall relieve Parent of any of its obligations to pay the Milestone Payments under this Agreement, and Parent shall remain primarily liable for the performance of such obligations and for the diligence obligations set forth in </w:t>
      </w:r>
      <w:r>
        <w:rPr>
          <w:rFonts w:ascii="Times New Roman" w:hAnsi="Times New Roman"/>
          <w:sz w:val="20"/>
          <w:u w:val="single"/>
        </w:rPr>
        <w:t>Section 4.1</w:t>
      </w:r>
      <w:r>
        <w:rPr>
          <w:rFonts w:ascii="Times New Roman" w:hAnsi="Times New Roman"/>
          <w:sz w:val="20"/>
        </w:rPr>
        <w:t xml:space="preserve"> and its reporting, audit and other obligations set forth in this </w:t>
      </w:r>
      <w:r>
        <w:rPr>
          <w:rFonts w:ascii="Times New Roman" w:hAnsi="Times New Roman"/>
          <w:sz w:val="20"/>
          <w:u w:val="single"/>
        </w:rPr>
        <w:t>Article 4</w:t>
      </w:r>
      <w:r>
        <w:rPr>
          <w:rFonts w:ascii="Times New Roman" w:hAnsi="Times New Roman"/>
          <w:sz w:val="20"/>
        </w:rPr>
        <w:t xml:space="preserve"> and (y) this </w:t>
      </w:r>
      <w:r>
        <w:rPr>
          <w:rFonts w:ascii="Times New Roman" w:hAnsi="Times New Roman"/>
          <w:sz w:val="20"/>
          <w:u w:val="single"/>
        </w:rPr>
        <w:t>Section 4.9</w:t>
      </w:r>
      <w:r>
        <w:rPr>
          <w:rFonts w:ascii="Times New Roman" w:hAnsi="Times New Roman"/>
          <w:sz w:val="20"/>
        </w:rPr>
        <w:t xml:space="preserve"> shall not apply to any Change of Control of Parent. In the event of any such sale, license or transfer under this </w:t>
      </w:r>
      <w:r>
        <w:rPr>
          <w:rFonts w:ascii="Times New Roman" w:hAnsi="Times New Roman"/>
          <w:sz w:val="20"/>
          <w:u w:val="single"/>
        </w:rPr>
        <w:t>Section 4.9</w:t>
      </w:r>
      <w:r>
        <w:rPr>
          <w:rFonts w:ascii="Times New Roman" w:hAnsi="Times New Roman"/>
          <w:sz w:val="20"/>
        </w:rPr>
        <w:t xml:space="preserve">, Parent (or its Affiliate or such other Person by whom rights or assets to develop (including seek regulatory approval for), sell or otherwise commercialize any Product are subsequently sold, licensed or transferred, as applicable) shall deliver to the Rights Agent an Officer’s Certificate stating that such sale, license or transfer complies with this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Divestiture of Franchise</w:t>
      </w:r>
      <w:r>
        <w:rPr>
          <w:rFonts w:ascii="Times New Roman" w:hAnsi="Times New Roman"/>
          <w:sz w:val="20"/>
        </w:rPr>
        <w:t xml:space="preserve">. Prior to the termination of this Agreement in accordance with </w:t>
      </w:r>
      <w:r>
        <w:rPr>
          <w:rFonts w:ascii="Times New Roman" w:hAnsi="Times New Roman"/>
          <w:sz w:val="20"/>
          <w:u w:val="single"/>
        </w:rPr>
        <w:t>Section 7.7</w:t>
      </w:r>
      <w:r>
        <w:rPr>
          <w:rFonts w:ascii="Times New Roman" w:hAnsi="Times New Roman"/>
          <w:sz w:val="20"/>
        </w:rPr>
        <w:t xml:space="preserve"> or the payment of all Milestone Payment Amounts associated with the applicable Product, whichever occurs earlier, in the event that Parent or the Company consummates a Divestiture of Franchise, then any Milestone associated with the applicable Franchise that has not yet been achieved shall immediately be deemed to have been achieved and the applicable Milestone Payment Amounts shall become due and payable immediately in accordance with </w:t>
      </w:r>
      <w:r>
        <w:rPr>
          <w:rFonts w:ascii="Times New Roman" w:hAnsi="Times New Roman"/>
          <w:sz w:val="20"/>
          <w:u w:val="single"/>
        </w:rPr>
        <w:t>Section 2.4</w:t>
      </w:r>
      <w:r>
        <w:rPr>
          <w:rFonts w:ascii="Times New Roman" w:hAnsi="Times New Roman"/>
          <w:sz w:val="20"/>
        </w:rPr>
        <w:t xml:space="preserve">, unless the acquirer of the rights and assets associated with the applicable Franchise (i) is a Qualified Purchaser and (ii) expressly assumes in writing for the benefit of all Holders all of the obligations of Parent and Company under this Agreement with respect to the applicable Franchise that have not yet been performed or observed on the part of Parent or Company, as applicable. No later than five (5) Business Days prior to the consummation of any Divestiture of Franchise, Parent will deliver to the Rights Agent an Officer’s Certificate, confirming that such Divestiture of Franchise satisfies clauses (i) and (ii) above and that all conditions precedent herein relating to such transaction have been complied with. If Parent or the Company effects a Divestiture of Franchise that satisfies clauses (i) and (ii) above, then Parent or Company, as applicable, shall be released from their obligations hereunder with respect to the applicable Franchise. For the avoidance of doubt, a Change of Control of Parent shall not constitute a Divestiture of Franchise for purposes of this </w:t>
      </w:r>
      <w:r>
        <w:rPr>
          <w:rFonts w:ascii="Times New Roman" w:hAnsi="Times New Roman"/>
          <w:sz w:val="20"/>
          <w:u w:val="single"/>
        </w:rPr>
        <w:t>Section 4.10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Further Assurances</w:t>
      </w:r>
      <w:r>
        <w:rPr>
          <w:rFonts w:ascii="Times New Roman" w:hAnsi="Times New Roman"/>
          <w:sz w:val="20"/>
        </w:rPr>
        <w:t xml:space="preserve">. Parent agrees that it will perform, execute, acknowledge and deliver or cause to be performed, executed, acknowledged and delivered, all such further and other acts, instruments and assurances as necessary for the carrying out or performing by the Rights Agent of the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Parent at any time and from time to time, may, and the Rights Agent shall, if Parent so directs,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shall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or scrivener’s error, to correct or supplement any provision herein that may be defective or inconsistent with any other provision herein or in the Merger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and to ensure that the CVRs are not subject to any similar registration or prospectus requirement under applicable securities laws outside the United States;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for the payments hereunder to comply with or be exempt from the requirements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(vi) to evidence the assignment of this Agreement by Parent as provided in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(vii) any other amendments hereto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such addition, elimination or change is not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Parent and the Rights Agent, at any time and from time to time, may enter into one or more amendments thereto to reduce the number of CVRs, in the event any Holder agrees to renounce such Holder’s rights under this Agreement in accordance with </w:t>
      </w:r>
      <w:r>
        <w:rPr>
          <w:rFonts w:ascii="Times New Roman" w:hAnsi="Times New Roman"/>
          <w:sz w:val="20"/>
          <w:u w:val="single"/>
        </w:rPr>
        <w:t>Section 7.4</w:t>
      </w:r>
      <w:r>
        <w:rPr>
          <w:rFonts w:ascii="Times New Roman" w:hAnsi="Times New Roman"/>
          <w:sz w:val="20"/>
        </w:rPr>
        <w:t xml:space="preserve"> or to transfer CVRs to Parent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the execution by Parent or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any Holder or the Rights Agent),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 xml:space="preserve">provided, however, </w:t>
      </w:r>
      <w:r>
        <w:rPr>
          <w:rFonts w:ascii="Times New Roman" w:hAnsi="Times New Roman"/>
          <w:sz w:val="20"/>
        </w:rPr>
        <w:t xml:space="preserve">that no such amendment shall, without the consent of the Holders of at least a majority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 any provision contained herein with respect to the covenants set forth in </w:t>
      </w:r>
      <w:r>
        <w:rPr>
          <w:rFonts w:ascii="Times New Roman" w:hAnsi="Times New Roman"/>
          <w:sz w:val="20"/>
          <w:u w:val="single"/>
        </w:rPr>
        <w:t>Section 4.1</w:t>
      </w:r>
      <w:r>
        <w:rPr>
          <w:rFonts w:ascii="Times New Roman" w:hAnsi="Times New Roman"/>
          <w:sz w:val="20"/>
        </w:rPr>
        <w:t xml:space="preserve">, termination of this Agreement or the CVRs (or any of the defined terms used in such provisions), (B) the time for, and amount of, any payment to be made to the Holders pursuant to this Agreement, or (C) the Milestones; </w:t>
      </w:r>
    </w:p>
    <w:p>
      <w:pPr>
        <w:pStyle w:val="TextBody"/>
        <w:bidi w:val="0"/>
        <w:spacing w:before="120" w:after="0"/>
        <w:jc w:val="left"/>
        <w:rPr>
          <w:rFonts w:ascii="Times New Roman" w:hAnsi="Times New Roman"/>
          <w:sz w:val="20"/>
        </w:rPr>
      </w:pPr>
      <w:r>
        <w:rPr>
          <w:rFonts w:ascii="Times New Roman" w:hAnsi="Times New Roman"/>
          <w:sz w:val="20"/>
        </w:rPr>
        <w:t xml:space="preserve">(ii) reduce the number of CVRs;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provisions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Prior to executing any amendment permitted by this </w:t>
      </w:r>
      <w:r>
        <w:rPr>
          <w:rFonts w:ascii="Times New Roman" w:hAnsi="Times New Roman"/>
          <w:sz w:val="20"/>
          <w:u w:val="single"/>
        </w:rPr>
        <w:t>Article 5</w:t>
      </w:r>
      <w:r>
        <w:rPr>
          <w:rFonts w:ascii="Times New Roman" w:hAnsi="Times New Roman"/>
          <w:sz w:val="20"/>
        </w:rPr>
        <w:t xml:space="preserve">, the Rights Agent shall be entitled to receive, and shall be fully protected in relying upon, an opinion of counsel selected by Parent and reasonably acceptable to Rights Agent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obligations, powers, trusts, immunities, or duties under this Agreement or otherwise, and the Rights Agent shall not be bound by amendments not executed by it.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shall be modified in accordance therewith, such amendment shall form a part of this Agreement for all purposes and every Holder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OF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CVRs,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by Parent pursuant to the terms of this Agreement of all or any part of any Milestone Payment after a period of thirty (30) Business Days after such Milestone Payment shall become due and payable and after Parent has received written notice from the Acting Holders specifying such payment default;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which written notice states that it is a “</w:t>
      </w:r>
      <w:r>
        <w:rPr>
          <w:rFonts w:ascii="Times New Roman" w:hAnsi="Times New Roman"/>
          <w:sz w:val="20"/>
          <w:u w:val="single"/>
        </w:rPr>
        <w:t>Notice of Default</w:t>
      </w:r>
      <w:r>
        <w:rPr>
          <w:rFonts w:ascii="Times New Roman" w:hAnsi="Times New Roman"/>
          <w:sz w:val="20"/>
        </w:rPr>
        <w:t xml:space="preserve">” hereunder and is sent by registered or certified mail to Parent and the Rights Agent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above occurs and is continuing (and has not been cured or waived), then, and in each and every such case, the Rights Agent upon the written request of the Acting Holders by notice in writing to Parent (and to the Rights Agent if given by the Acting Holders), may commence a Legal Proceeding to protect the rights of the Holders hereunder, including to obtain payment for any amounts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w:t>
      </w:r>
      <w:r>
        <w:rPr>
          <w:rFonts w:ascii="Times New Roman" w:hAnsi="Times New Roman"/>
          <w:sz w:val="20"/>
          <w:u w:val="single"/>
        </w:rPr>
        <w:t>Section 6.1</w:t>
      </w:r>
      <w:r>
        <w:rPr>
          <w:rFonts w:ascii="Times New Roman" w:hAnsi="Times New Roman"/>
          <w:sz w:val="20"/>
        </w:rPr>
        <w:t xml:space="preserve">, however, are subject to the condition that if, at any time after the Rights Agent, upon request of a sufficient number of Holders of the outstanding CVRs shall have commenced such Legal Proceeding, and before any judgment or award shall have been obtained, Parent shall pay or shall deposit with the Rights Agent a sum sufficient to pay all amounts which shall have become due and such amount as shall be sufficient to cover reasonable compensation to the Rights Agent, its agents, attorneys and counsel, and all Events of Default under this Agreement shall have been cured, waived or otherwise remedied as provided herein, then and in every such case the Acting Holders, by written notice to Parent and to the Rights Agent, may waive all defaults that are the subject of such Legal Proceeding, but no such waiver or rescission and annulment shall extend to or shall affect any subsequent default. In no event shall Parent or any of its Affiliates be liable to any Holder for any special, indirect, consequential, punitive or exemplary damages in connection with this Agreement or any Legal Proceeding hereunder.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If an Event of Default has occurred, has not been waived and is continuing, the Rights Agent may in its discretion (but shall not be required to) proceed to protect and enforce the rights vested in it by this Agreement by pursuing legal relief pursuant to </w:t>
      </w:r>
      <w:r>
        <w:rPr>
          <w:rFonts w:ascii="Times New Roman" w:hAnsi="Times New Roman"/>
          <w:sz w:val="20"/>
          <w:u w:val="single"/>
        </w:rPr>
        <w:t>Section 7.5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Suits by Holders</w:t>
      </w:r>
      <w:r>
        <w:rPr>
          <w:rFonts w:ascii="Times New Roman" w:hAnsi="Times New Roman"/>
          <w:sz w:val="20"/>
        </w:rPr>
        <w:t xml:space="preserve">. The Acting Holders will have the sole right, on behalf of all Holders, by virtue of or under any provision of this Agreement, to institute any Legal Proceeding with respect to this Agreement, and no individual Holder or group of Holders that would not constitute the Acting Holders will be entitled to exercise such rights or to institute any Legal Proceeding directly. Notwithstanding any other provision in this Agreement, the right of any Holder of any CVR to receive payment of the amounts that a Milestone Notice indicates are payable in respect of such CVR on or after the applicable due date, or to commence Legal Proceeding for the enforcement of any such payment on or after such due date,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Control by Acting Holders</w:t>
      </w:r>
      <w:r>
        <w:rPr>
          <w:rFonts w:ascii="Times New Roman" w:hAnsi="Times New Roman"/>
          <w:sz w:val="20"/>
        </w:rPr>
        <w:t xml:space="preserve">. Subject to the last sentence of this </w:t>
      </w:r>
      <w:r>
        <w:rPr>
          <w:rFonts w:ascii="Times New Roman" w:hAnsi="Times New Roman"/>
          <w:sz w:val="20"/>
          <w:u w:val="single"/>
        </w:rPr>
        <w:t>Section 6.4</w:t>
      </w:r>
      <w:r>
        <w:rPr>
          <w:rFonts w:ascii="Times New Roman" w:hAnsi="Times New Roman"/>
          <w:sz w:val="20"/>
        </w:rPr>
        <w:t xml:space="preserve">, the Acting Holders shall have the right to direct the time, method and place of conducting any proceeding for any remedy available to the Rights Agent, or exercising any power conferred on the Rights Agent by this Agreement;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Agreement; </w:t>
      </w:r>
      <w:r>
        <w:rPr>
          <w:rFonts w:ascii="Times New Roman" w:hAnsi="Times New Roman"/>
          <w:i/>
          <w:sz w:val="20"/>
        </w:rPr>
        <w:t>provided</w:t>
      </w:r>
      <w:r>
        <w:rPr>
          <w:rFonts w:ascii="Times New Roman" w:hAnsi="Times New Roman"/>
          <w:sz w:val="20"/>
        </w:rPr>
        <w:t xml:space="preserve"> further that (subject to the provisions of </w:t>
      </w:r>
      <w:r>
        <w:rPr>
          <w:rFonts w:ascii="Times New Roman" w:hAnsi="Times New Roman"/>
          <w:sz w:val="20"/>
          <w:u w:val="single"/>
        </w:rPr>
        <w:t>Section 3.1</w:t>
      </w:r>
      <w:r>
        <w:rPr>
          <w:rFonts w:ascii="Times New Roman" w:hAnsi="Times New Roman"/>
          <w:sz w:val="20"/>
        </w:rPr>
        <w:t xml:space="preserve">) the Rights Agent shall have the right to decline to follow any such direction if the Rights Agent, being advised by counsel (including an employee of the Rights Agent), shall determine that the action or proceeding so directed may not lawfully be taken or if the Rights Agent (acting in good faith) shall determine that the action or proceedings so directed would involve the Rights Agent in personal liability or if the Rights Agent in good faith shall so determine that the actions or forbearances specified in or pursuant to such direction would be unduly prejudicial to the interests of Holders not joining in the giving of said direction. Nothing in this Agreement shall impair the right of the Rights Agent in its discretion to take any action deemed proper by the Rights Agent and which is not inconsistent with such direction or directions by the Acting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OF GENERAL APPLICATION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the Rights Agent and Parent</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it at: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 Port Plaza Drive, Suite 800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MO63146 </w:t>
      </w:r>
    </w:p>
    <w:p>
      <w:pPr>
        <w:pStyle w:val="TextBody"/>
        <w:bidi w:val="0"/>
        <w:spacing w:before="120" w:after="0"/>
        <w:jc w:val="left"/>
        <w:rPr>
          <w:rFonts w:ascii="Times New Roman" w:hAnsi="Times New Roman"/>
          <w:sz w:val="20"/>
        </w:rPr>
      </w:pPr>
      <w:r>
        <w:rPr>
          <w:rFonts w:ascii="Times New Roman" w:hAnsi="Times New Roman"/>
          <w:sz w:val="20"/>
        </w:rPr>
        <w:t xml:space="preserve">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jason.tilly@curiumpharma.com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120" w:after="0"/>
        <w:jc w:val="left"/>
        <w:rPr>
          <w:rFonts w:ascii="Times New Roman" w:hAnsi="Times New Roman"/>
          <w:sz w:val="20"/>
        </w:rPr>
      </w:pPr>
      <w:r>
        <w:rPr>
          <w:rFonts w:ascii="Times New Roman" w:hAnsi="Times New Roman"/>
          <w:sz w:val="20"/>
        </w:rPr>
        <w:t xml:space="preserve">Attention:  Carlos Gil Rivas </w:t>
      </w:r>
    </w:p>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120" w:after="0"/>
        <w:jc w:val="left"/>
        <w:rPr>
          <w:rFonts w:ascii="Times New Roman" w:hAnsi="Times New Roman"/>
          <w:sz w:val="20"/>
        </w:rPr>
      </w:pPr>
      <w:r>
        <w:rPr>
          <w:rFonts w:ascii="Times New Roman" w:hAnsi="Times New Roman"/>
          <w:sz w:val="20"/>
        </w:rPr>
        <w:t xml:space="preserve">Email:   carlos.gilrivas@kirkland.com </w:t>
      </w:r>
    </w:p>
    <w:p>
      <w:pPr>
        <w:pStyle w:val="TextBody"/>
        <w:bidi w:val="0"/>
        <w:spacing w:before="0" w:after="0"/>
        <w:jc w:val="left"/>
        <w:rPr/>
      </w:pPr>
      <w:r>
        <w:rPr/>
        <w:t> </w:t>
      </w:r>
      <w:r>
        <w:rPr>
          <w:rFonts w:ascii="Times New Roman" w:hAnsi="Times New Roman"/>
          <w:sz w:val="20"/>
        </w:rPr>
        <w:t xml:space="preserve">sohargan@kirkland.com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Parent may specify a different address, facsimile number or email address by giving notice in accordance with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shall be sufficiently given (unless otherwise herein expressly 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Parent Successors and Assigns</w:t>
      </w:r>
      <w:r>
        <w:rPr>
          <w:rFonts w:ascii="Times New Roman" w:hAnsi="Times New Roman"/>
          <w:sz w:val="20"/>
        </w:rPr>
        <w:t>. Parent may assign any or all of its rights, interests and obligations hereunder (a) in its sole discretion and without the consent of any other Person to one or more of its controlled Affiliates that is either a domestic corporation or domestic partnership within the meaning of Section 7701(a)(4) of the Code (an “</w:t>
      </w:r>
      <w:r>
        <w:rPr>
          <w:rFonts w:ascii="Times New Roman" w:hAnsi="Times New Roman"/>
          <w:sz w:val="20"/>
          <w:u w:val="single"/>
        </w:rPr>
        <w:t>Assignee</w:t>
      </w:r>
      <w:r>
        <w:rPr>
          <w:rFonts w:ascii="Times New Roman" w:hAnsi="Times New Roman"/>
          <w:sz w:val="20"/>
        </w:rPr>
        <w:t xml:space="preserve">”) and only to the extent that such assignee remains an Affiliate of Parent, (b) subject to </w:t>
      </w:r>
      <w:r>
        <w:rPr>
          <w:rFonts w:ascii="Times New Roman" w:hAnsi="Times New Roman"/>
          <w:sz w:val="20"/>
          <w:u w:val="single"/>
        </w:rPr>
        <w:t>Section 4.10</w:t>
      </w:r>
      <w:r>
        <w:rPr>
          <w:rFonts w:ascii="Times New Roman" w:hAnsi="Times New Roman"/>
          <w:sz w:val="20"/>
        </w:rPr>
        <w:t>,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(i) a merger, consolidation or other business combination involving Parent (or any such parent entity), (ii) a sale or other disposition of all or substantially all of the equity interests of Parent (or any such parent entity) or (iii) a sale, lease, exchange or other transfer of all or substantially all of the assets of Parent (or any such parent entity) (each, a “</w:t>
      </w:r>
      <w:r>
        <w:rPr>
          <w:rFonts w:ascii="Times New Roman" w:hAnsi="Times New Roman"/>
          <w:sz w:val="20"/>
          <w:u w:val="single"/>
        </w:rPr>
        <w:t>Change of Control of Parent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any public offering of Parent’s securities or any financing transaction or series of financing transactions, in each case for </w:t>
      </w:r>
      <w:r>
        <w:rPr>
          <w:rFonts w:ascii="Times New Roman" w:hAnsi="Times New Roman"/>
          <w:i/>
          <w:sz w:val="20"/>
        </w:rPr>
        <w:t>bona fide</w:t>
      </w:r>
      <w:r>
        <w:rPr>
          <w:rFonts w:ascii="Times New Roman" w:hAnsi="Times New Roman"/>
          <w:sz w:val="20"/>
        </w:rPr>
        <w:t xml:space="preserve"> financing purposes, constitute a Change of Control of Parent or an assignment of this Agreement requiring the consent of the Holders, the Rights Agent or any other Person under this </w:t>
      </w:r>
      <w:r>
        <w:rPr>
          <w:rFonts w:ascii="Times New Roman" w:hAnsi="Times New Roman"/>
          <w:sz w:val="20"/>
          <w:u w:val="single"/>
        </w:rPr>
        <w:t>Section 7.3</w:t>
      </w:r>
      <w:r>
        <w:rPr>
          <w:rFonts w:ascii="Times New Roman" w:hAnsi="Times New Roman"/>
          <w:sz w:val="20"/>
        </w:rPr>
        <w:t xml:space="preserve">), or (d) with the prior written consent of the Holders of at least a majority of the outstanding CVRs, to any other Person; </w:t>
      </w:r>
      <w:r>
        <w:rPr>
          <w:rFonts w:ascii="Times New Roman" w:hAnsi="Times New Roman"/>
          <w:i/>
          <w:sz w:val="20"/>
        </w:rPr>
        <w:t>provided</w:t>
      </w:r>
      <w:r>
        <w:rPr>
          <w:rFonts w:ascii="Times New Roman" w:hAnsi="Times New Roman"/>
          <w:sz w:val="20"/>
        </w:rPr>
        <w:t xml:space="preserve"> that, in each case, the Assignee agrees in a writing and delivers to the Rights Agent a certificate stating that such Assignee shall assume and be bound by all of the terms and conditions of this Agreement; and </w:t>
      </w:r>
      <w:r>
        <w:rPr>
          <w:rFonts w:ascii="Times New Roman" w:hAnsi="Times New Roman"/>
          <w:i/>
          <w:sz w:val="20"/>
        </w:rPr>
        <w:t>provided, further</w:t>
      </w:r>
      <w:r>
        <w:rPr>
          <w:rFonts w:ascii="Times New Roman" w:hAnsi="Times New Roman"/>
          <w:sz w:val="20"/>
        </w:rPr>
        <w:t xml:space="preserve"> that, except to the extent provided in </w:t>
      </w:r>
      <w:r>
        <w:rPr>
          <w:rFonts w:ascii="Times New Roman" w:hAnsi="Times New Roman"/>
          <w:sz w:val="20"/>
          <w:u w:val="single"/>
        </w:rPr>
        <w:t>Section 4.10</w:t>
      </w:r>
      <w:r>
        <w:rPr>
          <w:rFonts w:ascii="Times New Roman" w:hAnsi="Times New Roman"/>
          <w:sz w:val="20"/>
        </w:rPr>
        <w:t xml:space="preserve">, in the case of any assignment by either Parent or an Assignee pursuant to this </w:t>
      </w:r>
      <w:r>
        <w:rPr>
          <w:rFonts w:ascii="Times New Roman" w:hAnsi="Times New Roman"/>
          <w:sz w:val="20"/>
          <w:u w:val="single"/>
        </w:rPr>
        <w:t>Section 7.3</w:t>
      </w:r>
      <w:r>
        <w:rPr>
          <w:rFonts w:ascii="Times New Roman" w:hAnsi="Times New Roman"/>
          <w:sz w:val="20"/>
        </w:rPr>
        <w:t xml:space="preserve">, Parent shall remain liable for the performance of all obligations under this Agreement. Any Assignee may thereafter assign, in the same manner and subject to the same terms and limitations as Parent pursuant to the prior sentence, any or all of its rights, interests and obligations hereunder to one or more additional Assignees which agree to assume and be bound by all of the terms and conditions of this Agreement. This Agreement will be binding upon, inure to the benefit of and be enforceable by Parent’s successors and each Assignee, with such Assignee substituted for Parent under this Agreement as set forth in this </w:t>
      </w:r>
      <w:r>
        <w:rPr>
          <w:rFonts w:ascii="Times New Roman" w:hAnsi="Times New Roman"/>
          <w:sz w:val="20"/>
          <w:u w:val="single"/>
        </w:rPr>
        <w:t>Section 7.3</w:t>
      </w:r>
      <w:r>
        <w:rPr>
          <w:rFonts w:ascii="Times New Roman" w:hAnsi="Times New Roman"/>
          <w:sz w:val="20"/>
        </w:rPr>
        <w:t xml:space="preserve">. Each of Parent’s successors and each Assignee shall, by a supplemental contingent consideration payment agreement or other joinder executed and delivered to the Rights Agent, expressly assume payment of amounts on all of the CVRs and the performance of every obligation, agreement and covenant of this Agreement on the part of Parent to be performed or observed. In the event of any assignment by Parent, any successor or Assignee under this </w:t>
      </w:r>
      <w:r>
        <w:rPr>
          <w:rFonts w:ascii="Times New Roman" w:hAnsi="Times New Roman"/>
          <w:sz w:val="20"/>
          <w:u w:val="single"/>
        </w:rPr>
        <w:t>Section 7.3</w:t>
      </w:r>
      <w:r>
        <w:rPr>
          <w:rFonts w:ascii="Times New Roman" w:hAnsi="Times New Roman"/>
          <w:sz w:val="20"/>
        </w:rPr>
        <w:t xml:space="preserve">, Parent, any successor or any Assignee (as applicable), shall deliver to the Rights Agent an Officer’s Certificate stating that such assignment complies with this </w:t>
      </w:r>
      <w:r>
        <w:rPr>
          <w:rFonts w:ascii="Times New Roman" w:hAnsi="Times New Roman"/>
          <w:sz w:val="20"/>
          <w:u w:val="single"/>
        </w:rPr>
        <w:t>Section 7.3</w:t>
      </w:r>
      <w:r>
        <w:rPr>
          <w:rFonts w:ascii="Times New Roman" w:hAnsi="Times New Roman"/>
          <w:sz w:val="20"/>
        </w:rPr>
        <w:t xml:space="preserve">. Unless a successor or assignee meets the requirements set forth in </w:t>
      </w:r>
      <w:r>
        <w:rPr>
          <w:rFonts w:ascii="Times New Roman" w:hAnsi="Times New Roman"/>
          <w:sz w:val="20"/>
          <w:u w:val="single"/>
        </w:rPr>
        <w:t>Section 3.3(b)</w:t>
      </w:r>
      <w:r>
        <w:rPr>
          <w:rFonts w:ascii="Times New Roman" w:hAnsi="Times New Roman"/>
          <w:sz w:val="20"/>
        </w:rPr>
        <w:t xml:space="preserve">, the Rights Agent may not assign this Agreement without Parent’s written consent. Any attempted assignment of this Agreement or any such rights in violation of this </w:t>
      </w:r>
      <w:r>
        <w:rPr>
          <w:rFonts w:ascii="Times New Roman" w:hAnsi="Times New Roman"/>
          <w:sz w:val="20"/>
          <w:u w:val="single"/>
        </w:rPr>
        <w:t>Section 7.3</w:t>
      </w:r>
      <w:r>
        <w:rPr>
          <w:rFonts w:ascii="Times New Roman" w:hAnsi="Times New Roman"/>
          <w:sz w:val="20"/>
        </w:rPr>
        <w:t xml:space="preserv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Third-Party Beneficiaries</w:t>
      </w:r>
      <w:r>
        <w:rPr>
          <w:rFonts w:ascii="Times New Roman" w:hAnsi="Times New Roman"/>
          <w:sz w:val="20"/>
        </w:rPr>
        <w:t xml:space="preserve">. Nothing in this Agreement, express or implied, shall give to any Person (other than the Rights Agent and its permitted successors and assigns, Parent, Parent’s successors and Assignees, the Holders and the Holders’ successors and assigns pursuant to a Permitted Transfer, each of whom is intended to be, and is, a third-party beneficiary hereunder) any benefit or any legal or equitable right, remedy or claim under this Agreement or under any covenant or provision herein contained, all such covenants and provisions being for the sole benefit of the Rights Agent, Parent, Parent’s successors and Assignees, and the Holders. The Holders of CVRs shall have no rights other than the express contractual rights set forth in this Agreement and, to the extent expressly incorporated herein, the Merger Agreement. Notwithstanding anything to the contrary contained herein, any Holder or Holder’s successor or assign pursuant to a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 and shall provide prompt written notice thereof to the Rights Agent of any such exchange.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7.1</w:t>
      </w:r>
      <w:r>
        <w:rPr>
          <w:rFonts w:ascii="Times New Roman" w:hAnsi="Times New Roman"/>
          <w:sz w:val="20"/>
        </w:rPr>
        <w:t xml:space="preserve"> or in such other manner as may be permitted by Law shall be valid and sufficient service thereof. Parent hereby irrevocably and unconditionally appoints [] as its agent for service of process before the courts in Delaware (and agrees that service on such agent shall be deemed due service for the purpose of proceedings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Notwithstanding the foregoing, if any illegal, void, unenforceable or replaced provision shall adversely affect the rights, immunities, duties or obligations of the Rights Agent, the Rights Agent shall be entitled to resign after providing five (5) Business Days’ notice to Parent.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Termination</w:t>
      </w:r>
      <w:r>
        <w:rPr>
          <w:rFonts w:ascii="Times New Roman" w:hAnsi="Times New Roman"/>
          <w:sz w:val="20"/>
        </w:rPr>
        <w:t>. This Agreement will be terminated and be of no force or effect, the Parties will have no liability hereunder (other than with respect to monies due and owing by Parent to Rights Agent at the time of termination for fees and expenses), and no payments will be required to be made, upon the earliest to occur of (a) the payment by the Rights Agent to the address of each Holder as reflected in the CVR Register the full amount of all Milestone Payment Amounts with respect to all eight (8) Milestones under the terms of this Agreement, (b) the delivery of a written notice of termination duly executed by Parent and the Holders of at least sixty-five percent (65%) of the outstanding CVRs, (c) expiration of the final Review Request Period (</w:t>
      </w:r>
      <w:r>
        <w:rPr>
          <w:rFonts w:ascii="Times New Roman" w:hAnsi="Times New Roman"/>
          <w:i/>
          <w:sz w:val="20"/>
        </w:rPr>
        <w:t>provided</w:t>
      </w:r>
      <w:r>
        <w:rPr>
          <w:rFonts w:ascii="Times New Roman" w:hAnsi="Times New Roman"/>
          <w:sz w:val="20"/>
        </w:rPr>
        <w:t xml:space="preserve"> no written request is received during such Review Request Period pursuant to </w:t>
      </w:r>
      <w:r>
        <w:rPr>
          <w:rFonts w:ascii="Times New Roman" w:hAnsi="Times New Roman"/>
          <w:sz w:val="20"/>
          <w:u w:val="single"/>
        </w:rPr>
        <w:t>Section 4.8(a)</w:t>
      </w:r>
      <w:r>
        <w:rPr>
          <w:rFonts w:ascii="Times New Roman" w:hAnsi="Times New Roman"/>
          <w:sz w:val="20"/>
        </w:rPr>
        <w:t xml:space="preserve">) following the Milestone Expiration Date in accordance with </w:t>
      </w:r>
      <w:r>
        <w:rPr>
          <w:rFonts w:ascii="Times New Roman" w:hAnsi="Times New Roman"/>
          <w:sz w:val="20"/>
          <w:u w:val="single"/>
        </w:rPr>
        <w:t>Section 4.8(a)</w:t>
      </w:r>
      <w:r>
        <w:rPr>
          <w:rFonts w:ascii="Times New Roman" w:hAnsi="Times New Roman"/>
          <w:sz w:val="20"/>
        </w:rPr>
        <w:t xml:space="preserve"> and (d) if a written request is received during the final Review Request Period following the Milestone Expiration Date in accordance with </w:t>
      </w:r>
      <w:r>
        <w:rPr>
          <w:rFonts w:ascii="Times New Roman" w:hAnsi="Times New Roman"/>
          <w:sz w:val="20"/>
          <w:u w:val="single"/>
        </w:rPr>
        <w:t>Section 4.8(a)</w:t>
      </w:r>
      <w:r>
        <w:rPr>
          <w:rFonts w:ascii="Times New Roman" w:hAnsi="Times New Roman"/>
          <w:sz w:val="20"/>
        </w:rPr>
        <w:t xml:space="preserve">, the decision of the Independent Accountant (and, if applicable, payment of any CVR Shortfall as determined by the Independent Accountant on the CVR Shortfall Payment Date) pursuant to </w:t>
      </w:r>
      <w:r>
        <w:rPr>
          <w:rFonts w:ascii="Times New Roman" w:hAnsi="Times New Roman"/>
          <w:sz w:val="20"/>
          <w:u w:val="single"/>
        </w:rPr>
        <w:t>Section 4.8(a)</w:t>
      </w:r>
      <w:r>
        <w:rPr>
          <w:rFonts w:ascii="Times New Roman" w:hAnsi="Times New Roman"/>
          <w:sz w:val="20"/>
        </w:rPr>
        <w:t xml:space="preserve">. Notwithstanding the foregoing, no such termination shall affect any rights or obligations accrued prior to the effective date of such termination or </w:t>
      </w:r>
      <w:r>
        <w:rPr>
          <w:rFonts w:ascii="Times New Roman" w:hAnsi="Times New Roman"/>
          <w:sz w:val="20"/>
          <w:u w:val="single"/>
        </w:rPr>
        <w:t>Sections 3.2</w:t>
      </w:r>
      <w:r>
        <w:rPr>
          <w:rFonts w:ascii="Times New Roman" w:hAnsi="Times New Roman"/>
          <w:sz w:val="20"/>
        </w:rPr>
        <w:t xml:space="preserve">, </w:t>
      </w:r>
      <w:r>
        <w:rPr>
          <w:rFonts w:ascii="Times New Roman" w:hAnsi="Times New Roman"/>
          <w:sz w:val="20"/>
          <w:u w:val="single"/>
        </w:rPr>
        <w:t>4.8</w:t>
      </w:r>
      <w:r>
        <w:rPr>
          <w:rFonts w:ascii="Times New Roman" w:hAnsi="Times New Roman"/>
          <w:sz w:val="20"/>
        </w:rPr>
        <w:t xml:space="preserve">, </w:t>
      </w:r>
      <w:r>
        <w:rPr>
          <w:rFonts w:ascii="Times New Roman" w:hAnsi="Times New Roman"/>
          <w:sz w:val="20"/>
          <w:u w:val="single"/>
        </w:rPr>
        <w:t>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w:t>
      </w:r>
      <w:r>
        <w:rPr>
          <w:rFonts w:ascii="Times New Roman" w:hAnsi="Times New Roman"/>
          <w:sz w:val="20"/>
          <w:u w:val="single"/>
        </w:rPr>
        <w:t>7.9</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7.11</w:t>
      </w:r>
      <w:r>
        <w:rPr>
          <w:rFonts w:ascii="Times New Roman" w:hAnsi="Times New Roman"/>
          <w:sz w:val="20"/>
        </w:rPr>
        <w:t xml:space="preserve"> or this Section 7.7, which shall survive the termination of this Agreement, or the resignation, replacement or removal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Entire Agreement; Counterparts</w:t>
      </w:r>
      <w:r>
        <w:rPr>
          <w:rFonts w:ascii="Times New Roman" w:hAnsi="Times New Roman"/>
          <w:sz w:val="20"/>
        </w:rPr>
        <w:t xml:space="preserve">. As it relates to the Rights Agent, this Agreement constitutes the entire Agreement of the Parties and supersedes all contemporaneous and prior agreements and understandings, both written and oral, among or between any of the Parties, with respect to the subject matter hereof. As it relates to Parent, the Company and the Holders, this Agreement and the Merger Agreement (including the exhibits, schedules (including the Company Disclosure Schedule) and annexes thereto) constitute the entire agreement, and supersedes all prior agreements and understandings, both written and oral, among those parties with respect to the subject matter hereof and thereof. If and to the extent that any provision of this Agreement is inconsistent or conflicts with the Merger Agreement with respect to the Rights Agent or its rights, duties, obligations, protections and liabilities hereunder, this Agreement shall govern and be controlling. This Agreement may be executed in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No Fiduciary Obligations</w:t>
      </w:r>
      <w:r>
        <w:rPr>
          <w:rFonts w:ascii="Times New Roman" w:hAnsi="Times New Roman"/>
          <w:sz w:val="20"/>
        </w:rPr>
        <w:t xml:space="preserve">. Each Party acknowledges and agrees that the other Party, its Affiliates and their respective officers, directors and controlling Persons do not owe any fiduciary duties to the first Party or any of its respective Affiliates, officers, directors or controlling Persons. The only obligations of the Parties, their Affiliates and their respective officers, directors and controlling Persons arising out of this Agreement are the contractual obligations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Confidentiality</w:t>
      </w:r>
      <w:r>
        <w:rPr>
          <w:rFonts w:ascii="Times New Roman" w:hAnsi="Times New Roman"/>
          <w:sz w:val="20"/>
        </w:rPr>
        <w:t xml:space="preserve">. The Rights Agent and Parent agree that all books, records, information and data pertaining to the business of the other Party, including inter alia, personal, non-public Holder information, which are exchanged or received pursuant to the negotiation or the carrying out of this Agreement shall remain confidential, and shall not be voluntarily disclosed to any other Person, except as may be required by Law, including pursuant to subpoenas from any Governmental Entity (e.g., in divorce and criminal actions). Nothing in this </w:t>
      </w:r>
      <w:r>
        <w:rPr>
          <w:rFonts w:ascii="Times New Roman" w:hAnsi="Times New Roman"/>
          <w:sz w:val="20"/>
          <w:u w:val="single"/>
        </w:rPr>
        <w:t>Section 7.10</w:t>
      </w:r>
      <w:r>
        <w:rPr>
          <w:rFonts w:ascii="Times New Roman" w:hAnsi="Times New Roman"/>
          <w:sz w:val="20"/>
        </w:rPr>
        <w:t xml:space="preserve"> shall prevent either Party from making any public disclosure that it determines, in its sole discretion, is required under any Law.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Force Majeure</w:t>
      </w:r>
      <w:r>
        <w:rPr>
          <w:rFonts w:ascii="Times New Roman" w:hAnsi="Times New Roman"/>
          <w:sz w:val="20"/>
        </w:rPr>
        <w:t xml:space="preserve">. Notwithstanding anything to the contrary contained herein, none of the Rights Agent, Parent or any of its Subsidiaries shall be liable for any delays or failures in performance resulting from acts beyond its reasonable control including acts of God, terrorist acts, epidemics, pandemics, shortage of supply, breakdowns or malfunctions, interruptions or malfunctions of computer facilities, or loss of data due to power failures or mechanical difficulties with information storage or retrieval systems, labor difficulties, war or civil unrest. The Rights Agent shall use good faith efforts to give notice as soon as practicable of a delay or failure to perform pursuant to this </w:t>
      </w:r>
      <w:r>
        <w:rPr>
          <w:rFonts w:ascii="Times New Roman" w:hAnsi="Times New Roman"/>
          <w:sz w:val="20"/>
          <w:u w:val="single"/>
        </w:rPr>
        <w:t>Section 7.11</w:t>
      </w:r>
      <w:r>
        <w:rPr>
          <w:rFonts w:ascii="Times New Roman" w:hAnsi="Times New Roman"/>
          <w:sz w:val="20"/>
        </w:rPr>
        <w:t xml:space="preserve">, and to resume the performance of its obligations as soon as reasonably practicable.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3"/>
        <w:gridCol w:w="3510"/>
      </w:tblGrid>
      <w:tr>
        <w:trPr/>
        <w:tc>
          <w:tcPr>
            <w:tcW w:w="48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w:t>
            </w:r>
            <w:r>
              <w:rPr>
                <w:b/>
              </w:rPr>
              <w:t>], as RIGHTS AGENT</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0" w:after="0"/>
        <w:jc w:val="center"/>
        <w:rPr>
          <w:rFonts w:ascii="Times New Roman" w:hAnsi="Times New Roman"/>
          <w:b/>
          <w:sz w:val="20"/>
        </w:rPr>
      </w:pPr>
      <w:r>
        <w:rPr>
          <w:rFonts w:ascii="Times New Roman" w:hAnsi="Times New Roman"/>
          <w:b/>
          <w:sz w:val="20"/>
        </w:rPr>
        <w:t xml:space="preserve">Accounting Methods </w:t>
      </w:r>
    </w:p>
    <w:p>
      <w:pPr>
        <w:pStyle w:val="TextBody"/>
        <w:bidi w:val="0"/>
        <w:spacing w:before="0" w:after="0"/>
        <w:jc w:val="right"/>
        <w:rPr>
          <w:rFonts w:ascii="Times New Roman" w:hAnsi="Times New Roman"/>
          <w:b/>
          <w:sz w:val="20"/>
        </w:rPr>
      </w:pPr>
      <w:bookmarkStart w:id="4" w:name="d167446dex101.htm"/>
      <w:bookmarkStart w:id="5" w:name="ksd167446dex101"/>
      <w:bookmarkEnd w:id="4"/>
      <w:bookmarkEnd w:id="5"/>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812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95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ELECTRONIC MAIL </w:t>
      </w:r>
    </w:p>
    <w:p>
      <w:pPr>
        <w:pStyle w:val="TextBody"/>
        <w:bidi w:val="0"/>
        <w:spacing w:before="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360" w:after="0"/>
        <w:jc w:val="left"/>
        <w:rPr>
          <w:rFonts w:ascii="Times New Roman" w:hAnsi="Times New Roman"/>
          <w:b/>
          <w:sz w:val="20"/>
        </w:rPr>
      </w:pPr>
      <w:r>
        <w:rPr>
          <w:rFonts w:ascii="Times New Roman" w:hAnsi="Times New Roman"/>
          <w:b/>
          <w:sz w:val="20"/>
        </w:rPr>
        <w:t xml:space="preserve">Re: Transaction Bonus </w:t>
      </w:r>
    </w:p>
    <w:p>
      <w:pPr>
        <w:pStyle w:val="TextBody"/>
        <w:bidi w:val="0"/>
        <w:spacing w:before="120" w:after="0"/>
        <w:jc w:val="left"/>
        <w:rPr>
          <w:rFonts w:ascii="Times New Roman" w:hAnsi="Times New Roman"/>
          <w:sz w:val="20"/>
        </w:rPr>
      </w:pPr>
      <w:r>
        <w:rPr>
          <w:rFonts w:ascii="Times New Roman" w:hAnsi="Times New Roman"/>
          <w:sz w:val="20"/>
        </w:rPr>
        <w:t>As you know, Lantheus Holdings, Inc. (“</w:t>
      </w:r>
      <w:r>
        <w:rPr>
          <w:rFonts w:ascii="Times New Roman" w:hAnsi="Times New Roman"/>
          <w:b/>
          <w:i/>
          <w:sz w:val="20"/>
        </w:rPr>
        <w:t>Lantheus</w:t>
      </w:r>
      <w:r>
        <w:rPr>
          <w:rFonts w:ascii="Times New Roman" w:hAnsi="Times New Roman"/>
          <w:sz w:val="20"/>
        </w:rPr>
        <w:t>”) is entering into an Agreement and Plan of Merger with Curium US Holdings LLC and the other parties thereto (the “</w:t>
      </w:r>
      <w:r>
        <w:rPr>
          <w:rFonts w:ascii="Times New Roman" w:hAnsi="Times New Roman"/>
          <w:b/>
          <w:i/>
          <w:sz w:val="20"/>
        </w:rPr>
        <w:t>Merger Agreement</w:t>
      </w:r>
      <w:r>
        <w:rPr>
          <w:rFonts w:ascii="Times New Roman" w:hAnsi="Times New Roman"/>
          <w:sz w:val="20"/>
        </w:rPr>
        <w:t>” and the transactions contemplated by the Merger Agreement, the “</w:t>
      </w:r>
      <w:r>
        <w:rPr>
          <w:rFonts w:ascii="Times New Roman" w:hAnsi="Times New Roman"/>
          <w:b/>
          <w:i/>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recognition of your work and contributions to Lantheus and its subsidiaries (collectively, the “</w:t>
      </w:r>
      <w:r>
        <w:rPr>
          <w:rFonts w:ascii="Times New Roman" w:hAnsi="Times New Roman"/>
          <w:b/>
          <w:i/>
          <w:sz w:val="20"/>
        </w:rPr>
        <w:t>Company</w:t>
      </w:r>
      <w:r>
        <w:rPr>
          <w:rFonts w:ascii="Times New Roman" w:hAnsi="Times New Roman"/>
          <w:sz w:val="20"/>
        </w:rPr>
        <w:t>”) in connection with the Merger prior to the Effective Time (as defined in the Merger Agreement), you will be eligible to receive a bonus in an amount equal to $[</w:t>
      </w:r>
      <w:r>
        <w:rPr>
          <w:rFonts w:ascii="Times New Roman" w:hAnsi="Times New Roman"/>
          <w:b/>
          <w:sz w:val="20"/>
        </w:rPr>
        <w:t></w:t>
      </w:r>
      <w:r>
        <w:rPr>
          <w:rFonts w:ascii="Times New Roman" w:hAnsi="Times New Roman"/>
          <w:sz w:val="20"/>
        </w:rPr>
        <w:t>] (the “</w:t>
      </w:r>
      <w:r>
        <w:rPr>
          <w:rFonts w:ascii="Times New Roman" w:hAnsi="Times New Roman"/>
          <w:b/>
          <w:i/>
          <w:sz w:val="20"/>
        </w:rPr>
        <w:t>Transaction Bonus</w:t>
      </w:r>
      <w:r>
        <w:rPr>
          <w:rFonts w:ascii="Times New Roman" w:hAnsi="Times New Roman"/>
          <w:sz w:val="20"/>
        </w:rPr>
        <w:t>”), subject to the terms and conditions of this letter agreement (this “</w:t>
      </w:r>
      <w:r>
        <w:rPr>
          <w:rFonts w:ascii="Times New Roman" w:hAnsi="Times New Roman"/>
          <w:b/>
          <w:i/>
          <w:sz w:val="20"/>
        </w:rPr>
        <w:t>Letter</w:t>
      </w:r>
      <w:r>
        <w:rPr>
          <w:rFonts w:ascii="Times New Roman" w:hAnsi="Times New Roman"/>
          <w:sz w:val="20"/>
        </w:rPr>
        <w:t>”). If for any reason the Merger Agreement terminates prior to the closing of the Merger (the “</w:t>
      </w:r>
      <w:r>
        <w:rPr>
          <w:rFonts w:ascii="Times New Roman" w:hAnsi="Times New Roman"/>
          <w:b/>
          <w:i/>
          <w:sz w:val="20"/>
        </w:rPr>
        <w:t>Closing</w:t>
      </w:r>
      <w:r>
        <w:rPr>
          <w:rFonts w:ascii="Times New Roman" w:hAnsi="Times New Roman"/>
          <w:sz w:val="20"/>
        </w:rPr>
        <w:t xml:space="preserve">”) or the Closing does not occur, then this Letter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Conditions and Payment</w:t>
            </w:r>
            <w:r>
              <w:rPr>
                <w:rFonts w:ascii="Times New Roman" w:hAnsi="Times New Roman"/>
                <w:sz w:val="20"/>
              </w:rPr>
              <w:t xml:space="preserve">. Your right to receive the Transaction Bonus is subject to and conditioned on your continued employment with the Company through immediately prior to the Effective Time. If earned, the Transaction Bonus will be paid to you in cash no later than five (5) business days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 The Transaction Bonus will be subject to applicable taxes and withholding. This Letter and the Transaction Bonus are intended to be exempt from the requirements of Section 409A of the Internal Revenue Code of 1986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including pursuant to the short-term deferral exemption under Treas. Reg. § 1.409A-1(b)(4). Notwithstanding the foregoing, nothing in this Letter shall be interpreted or construed to transfer any liability for any tax (including any tax, interest, or penalty due as a result of a failure to comply with Section 409A) from you to the Company or to any other individual or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shall be construed in accordance with the laws of the Commonwealth of Massachusetts, without reference to principles of conflict of laws that would require application of the laws of another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Continued Employment</w:t>
            </w:r>
            <w:r>
              <w:rPr>
                <w:rFonts w:ascii="Times New Roman" w:hAnsi="Times New Roman"/>
                <w:sz w:val="20"/>
              </w:rPr>
              <w:t xml:space="preserve">. Nothing in this Letter shall interfere with or limit the right of the Company to terminate your employment[, subject to the terms and conditions of the severance letter agreement, severance letter amendment and any other applicable agreements that you previously signed with the Company], nor confer upon you any right to continue in the employ of the Company or any affiliate or successor.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contains the entire agreement and understanding between the parties with respect to the Transaction Bonus that is the subject matter hereof and supersedes all prior and contemporaneous agreements or discussions, express or implied, oral or written, with respect thereto. This Letter may be amended only by a written instrument signed by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Execution and Counterparts</w:t>
            </w:r>
            <w:r>
              <w:rPr>
                <w:rFonts w:ascii="Times New Roman" w:hAnsi="Times New Roman"/>
                <w:sz w:val="20"/>
              </w:rPr>
              <w:t xml:space="preserve">. This Letter may be executed in separate counterparts (by e-mail, .pdf, DocuSign, or other means of electronic transmission), each of which shall be an original and all of which taken together shall constitute one and the same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the Page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your agreement to the foregoing by signing and returning a copy of this Letter.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9"/>
        <w:gridCol w:w="193"/>
        <w:gridCol w:w="2850"/>
      </w:tblGrid>
      <w:tr>
        <w:trPr/>
        <w:tc>
          <w:tcPr>
            <w:tcW w:w="103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MEDICAL IMAGING, INC.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AND AGREED: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0" w:after="0"/>
        <w:jc w:val="right"/>
        <w:rPr>
          <w:rFonts w:ascii="Times New Roman" w:hAnsi="Times New Roman"/>
          <w:b/>
          <w:sz w:val="20"/>
        </w:rPr>
      </w:pPr>
      <w:bookmarkStart w:id="6" w:name="d167446dex102.htm"/>
      <w:bookmarkStart w:id="7" w:name="ksd167446dex102"/>
      <w:bookmarkEnd w:id="6"/>
      <w:bookmarkEnd w:id="7"/>
      <w:r>
        <w:rPr>
          <w:rFonts w:ascii="Times New Roman" w:hAnsi="Times New Roman"/>
          <w:b/>
          <w:sz w:val="20"/>
        </w:rPr>
        <w:t xml:space="preserve">Exhibit 10.2 </w:t>
      </w:r>
      <w:r>
        <w:br w:type="page"/>
      </w:r>
    </w:p>
    <w:p>
      <w:pPr>
        <w:pStyle w:val="TextBody"/>
        <w:bidi w:val="0"/>
        <w:spacing w:before="36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SEVERANCE LETTER AGREEMENT </w:t>
      </w:r>
    </w:p>
    <w:p>
      <w:pPr>
        <w:pStyle w:val="TextBody"/>
        <w:bidi w:val="0"/>
        <w:spacing w:before="240" w:after="0"/>
        <w:jc w:val="left"/>
        <w:rPr>
          <w:rFonts w:ascii="Times New Roman" w:hAnsi="Times New Roman"/>
          <w:sz w:val="20"/>
        </w:rPr>
      </w:pPr>
      <w:r>
        <w:rPr>
          <w:rFonts w:ascii="Times New Roman" w:hAnsi="Times New Roman"/>
          <w:sz w:val="20"/>
        </w:rPr>
        <w:t>This amendment to the severance letter agreement (this “</w:t>
      </w:r>
      <w:r>
        <w:rPr>
          <w:rFonts w:ascii="Times New Roman" w:hAnsi="Times New Roman"/>
          <w:b/>
          <w:sz w:val="20"/>
        </w:rPr>
        <w:t>Amendment</w:t>
      </w:r>
      <w:r>
        <w:rPr>
          <w:rFonts w:ascii="Times New Roman" w:hAnsi="Times New Roman"/>
          <w:sz w:val="20"/>
        </w:rPr>
        <w:t>”) is entered into as of August [</w:t>
      </w:r>
      <w:r>
        <w:rPr>
          <w:rFonts w:ascii="Times New Roman" w:hAnsi="Times New Roman"/>
          <w:b/>
          <w:sz w:val="20"/>
        </w:rPr>
        <w:t></w:t>
      </w:r>
      <w:r>
        <w:rPr>
          <w:rFonts w:ascii="Times New Roman" w:hAnsi="Times New Roman"/>
          <w:sz w:val="20"/>
        </w:rPr>
        <w:t>], 2026, by and between Lantheus Medical Imaging, Inc., a Delaware corporation (the “</w:t>
      </w:r>
      <w:r>
        <w:rPr>
          <w:rFonts w:ascii="Times New Roman" w:hAnsi="Times New Roman"/>
          <w:b/>
          <w:sz w:val="20"/>
        </w:rPr>
        <w:t>Company</w:t>
      </w:r>
      <w:r>
        <w:rPr>
          <w:rFonts w:ascii="Times New Roman" w:hAnsi="Times New Roman"/>
          <w:sz w:val="20"/>
        </w:rPr>
        <w:t>”), and [</w:t>
      </w:r>
      <w:r>
        <w:rPr>
          <w:rFonts w:ascii="Times New Roman" w:hAnsi="Times New Roman"/>
          <w:b/>
          <w:sz w:val="20"/>
        </w:rPr>
        <w:t></w:t>
      </w:r>
      <w:r>
        <w:rPr>
          <w:rFonts w:ascii="Times New Roman" w:hAnsi="Times New Roman"/>
          <w:sz w:val="20"/>
        </w:rPr>
        <w:t>] (“</w:t>
      </w:r>
      <w:r>
        <w:rPr>
          <w:rFonts w:ascii="Times New Roman" w:hAnsi="Times New Roman"/>
          <w:b/>
          <w:sz w:val="20"/>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Executive are parties to a severance letter agreement, dated as of [</w:t>
      </w:r>
      <w:r>
        <w:rPr>
          <w:rFonts w:ascii="Times New Roman" w:hAnsi="Times New Roman"/>
          <w:b/>
          <w:sz w:val="20"/>
        </w:rPr>
        <w:t></w:t>
      </w:r>
      <w:r>
        <w:rPr>
          <w:rFonts w:ascii="Times New Roman" w:hAnsi="Times New Roman"/>
          <w:sz w:val="20"/>
        </w:rPr>
        <w:t>] (the “</w:t>
      </w:r>
      <w:r>
        <w:rPr>
          <w:rFonts w:ascii="Times New Roman" w:hAnsi="Times New Roman"/>
          <w:b/>
          <w:sz w:val="20"/>
        </w:rPr>
        <w:t>Severance Letter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12 of the Severance Letter Agreement provides that it may be amended by a written instrument signed by the parties;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amend the Severance Letter Agreement to clarify the treatment of compensation payable to Executive upon a Qualifying Termination (as defined in the Severance Letter Agreement) in connection with that certain Agreement and Plan of Merger, being entered into by and among Curium US Holdings LLC, a Delaware limited liability company, Lantheus Holdings, Inc.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for good and valuable consideration, the receipt and sufficiency of which is hereby acknowledged,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1(b)(iii) of the Severance Letter Agreement is amended to add the following proviso at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 provided, however, that (A) for the avoidance of doubt, Converted PSU Awards (as defined in the Merger Agreement) shall not be treated as performance-based awards for these purposes but instead shall be deemed to be time-based vesting awards eligible for vesting in full without any re-determination of performance conditions and (B) the vesting described in this clause (iii) shall apply to a Qualifying Termination that occurs as of or within twelve (12) months following the Merger Closing, subject in all cases to the other terms and conditions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Sections 1(d)(v) and 1(d)(vi) are added to the Severance Letter Agreement, to read as follows, and existing Sections 1(d)(v) through (ix) are renumbered Sections 1(d)(vii) through (xi):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by and among Curium US Holdings LLC, Lantheus Holdings, Inc.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pPr>
            <w:r>
              <w:rPr/>
              <w:t>“</w:t>
            </w:r>
            <w:r>
              <w:rPr>
                <w:rFonts w:ascii="Times New Roman" w:hAnsi="Times New Roman"/>
                <w:i/>
                <w:sz w:val="20"/>
              </w:rPr>
              <w:t>Merger Closing</w:t>
            </w:r>
            <w:r>
              <w:rPr>
                <w:rFonts w:ascii="Times New Roman" w:hAnsi="Times New Roman"/>
                <w:sz w:val="20"/>
              </w:rPr>
              <w:t xml:space="preserve">” means the closing of the transactions contemplated by the Merger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Section 1(e) is added to the Severance Letter Agreement, to read as follows: </w:t>
            </w:r>
          </w:p>
        </w:tc>
      </w:tr>
    </w:tbl>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Prior Year’s Bonus</w:t>
      </w:r>
      <w:r>
        <w:rPr>
          <w:rFonts w:ascii="Times New Roman" w:hAnsi="Times New Roman"/>
          <w:sz w:val="20"/>
        </w:rPr>
        <w:t xml:space="preserve">. In the event of a Qualifying Termination as of or following the Merger Closing, you will be entitled to receive any annual bonus for 2026 that is determined by the Company to be earned but yet unpaid as of the Separation Date, payable on the date such bonus would otherwise have been paid in the ordinary course of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is contingent on and subject to the Merger Closing. In the event that the Merger Agreement is abandoned and not entered into or is terminated prior to the Merger Closing, this Amendment will be null and void ab initio.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in accordance with the laws of the Commonwealth of Massachusetts without any regard to conflicts of law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may be executed in separate counterparts, each of which shall be deemed an original, but all of which taken together shall constitute one and the same instrument.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8"/>
        <w:gridCol w:w="188"/>
        <w:gridCol w:w="2816"/>
      </w:tblGrid>
      <w:tr>
        <w:trPr/>
        <w:tc>
          <w:tcPr>
            <w:tcW w:w="107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LANTHEUS MEDICAL IMAGING, INC.</w:t>
            </w:r>
          </w:p>
        </w:tc>
      </w:tr>
      <w:tr>
        <w:trPr>
          <w:trHeight w:val="240" w:hRule="atLeast"/>
        </w:trPr>
        <w:tc>
          <w:tcPr>
            <w:tcW w:w="1078" w:type="dxa"/>
            <w:tcBorders/>
            <w:vAlign w:val="center"/>
          </w:tcPr>
          <w:p>
            <w:pPr>
              <w:pStyle w:val="TableContents"/>
              <w:bidi w:val="0"/>
              <w:spacing w:before="0" w:after="283"/>
              <w:jc w:val="left"/>
              <w:rPr>
                <w:sz w:val="4"/>
                <w:szCs w:val="4"/>
              </w:rPr>
            </w:pPr>
            <w:r>
              <w:rPr>
                <w:sz w:val="4"/>
                <w:szCs w:val="4"/>
              </w:rPr>
            </w:r>
          </w:p>
        </w:tc>
        <w:tc>
          <w:tcPr>
            <w:tcW w:w="3004"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tcPr>
          <w:p>
            <w:pPr>
              <w:pStyle w:val="TableContents"/>
              <w:bidi w:val="0"/>
              <w:spacing w:before="0" w:after="283"/>
              <w:jc w:val="left"/>
              <w:rPr/>
            </w:pPr>
            <w:r>
              <w:rPr/>
              <w:t>By:</w:t>
            </w:r>
          </w:p>
        </w:tc>
        <w:tc>
          <w:tcPr>
            <w:tcW w:w="188" w:type="dxa"/>
            <w:tcBorders>
              <w:bottom w:val="single" w:sz="2" w:space="0" w:color="000000"/>
            </w:tcBorders>
            <w:tcMar>
              <w:bottom w:w="28" w:type="dxa"/>
            </w:tcMar>
            <w:vAlign w:val="bottom"/>
          </w:tcPr>
          <w:p>
            <w:pPr>
              <w:pStyle w:val="TableContents"/>
              <w:bidi w:val="0"/>
              <w:spacing w:before="0" w:after="283"/>
              <w:jc w:val="left"/>
              <w:rPr/>
            </w:pPr>
            <w:r>
              <w:rPr/>
              <w:t> </w:t>
            </w:r>
          </w:p>
        </w:tc>
        <w:tc>
          <w:tcPr>
            <w:tcW w:w="281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w:t>
            </w:r>
            <w:r>
              <w:rPr>
                <w:b/>
              </w:rPr>
              <w:t></w:t>
            </w:r>
            <w:r>
              <w:rPr/>
              <w: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164</Pages>
  <Words>85593</Words>
  <Characters>457979</Characters>
  <CharactersWithSpaces>543953</CharactersWithSpaces>
  <Paragraphs>2644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