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July 25,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LANTHEUS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4120" w:type="dxa"/>
            <w:vAlign w:val="bottom"/>
          </w:tcPr>
          <w:p>
            <w:pPr>
              <w:jc w:val="center"/>
              <w:ind w:right="2401"/>
              <w:spacing w:after="0"/>
              <w:rPr>
                <w:sz w:val="20"/>
                <w:szCs w:val="20"/>
                <w:color w:val="auto"/>
              </w:rPr>
            </w:pPr>
            <w:r>
              <w:rPr>
                <w:rFonts w:ascii="Arial" w:cs="Arial" w:eastAsia="Arial" w:hAnsi="Arial"/>
                <w:sz w:val="18"/>
                <w:szCs w:val="18"/>
                <w:b w:val="1"/>
                <w:bCs w:val="1"/>
                <w:color w:val="auto"/>
                <w:w w:val="91"/>
              </w:rPr>
              <w:t>Delaware</w:t>
            </w:r>
          </w:p>
        </w:tc>
        <w:tc>
          <w:tcPr>
            <w:tcW w:w="2400" w:type="dxa"/>
            <w:vAlign w:val="bottom"/>
          </w:tcPr>
          <w:p>
            <w:pPr>
              <w:ind w:left="220"/>
              <w:spacing w:after="0"/>
              <w:rPr>
                <w:sz w:val="20"/>
                <w:szCs w:val="20"/>
                <w:color w:val="auto"/>
              </w:rPr>
            </w:pPr>
            <w:r>
              <w:rPr>
                <w:rFonts w:ascii="Arial" w:cs="Arial" w:eastAsia="Arial" w:hAnsi="Arial"/>
                <w:sz w:val="18"/>
                <w:szCs w:val="18"/>
                <w:b w:val="1"/>
                <w:bCs w:val="1"/>
                <w:color w:val="auto"/>
              </w:rPr>
              <w:t>001-36569</w:t>
            </w:r>
          </w:p>
        </w:tc>
        <w:tc>
          <w:tcPr>
            <w:tcW w:w="2520" w:type="dxa"/>
            <w:vAlign w:val="bottom"/>
          </w:tcPr>
          <w:p>
            <w:pPr>
              <w:jc w:val="center"/>
              <w:ind w:left="1321"/>
              <w:spacing w:after="0"/>
              <w:rPr>
                <w:sz w:val="20"/>
                <w:szCs w:val="20"/>
                <w:color w:val="auto"/>
              </w:rPr>
            </w:pPr>
            <w:r>
              <w:rPr>
                <w:rFonts w:ascii="Arial" w:cs="Arial" w:eastAsia="Arial" w:hAnsi="Arial"/>
                <w:sz w:val="18"/>
                <w:szCs w:val="18"/>
                <w:b w:val="1"/>
                <w:bCs w:val="1"/>
                <w:color w:val="auto"/>
                <w:w w:val="91"/>
              </w:rPr>
              <w:t>35-2318913</w:t>
            </w:r>
          </w:p>
        </w:tc>
      </w:tr>
      <w:tr>
        <w:trPr>
          <w:trHeight w:val="149"/>
        </w:trPr>
        <w:tc>
          <w:tcPr>
            <w:tcW w:w="4120" w:type="dxa"/>
            <w:vAlign w:val="bottom"/>
          </w:tcPr>
          <w:p>
            <w:pPr>
              <w:jc w:val="center"/>
              <w:ind w:right="240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0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20" w:type="dxa"/>
            <w:vAlign w:val="bottom"/>
          </w:tcPr>
          <w:p>
            <w:pPr>
              <w:jc w:val="center"/>
              <w:ind w:right="2381"/>
              <w:spacing w:after="0"/>
              <w:rPr>
                <w:sz w:val="20"/>
                <w:szCs w:val="20"/>
                <w:color w:val="auto"/>
              </w:rPr>
            </w:pPr>
            <w:r>
              <w:rPr>
                <w:rFonts w:ascii="Arial" w:cs="Arial" w:eastAsia="Arial" w:hAnsi="Arial"/>
                <w:sz w:val="14"/>
                <w:szCs w:val="14"/>
                <w:b w:val="1"/>
                <w:bCs w:val="1"/>
                <w:color w:val="auto"/>
                <w:w w:val="94"/>
              </w:rPr>
              <w:t>of incorporation)</w:t>
            </w:r>
          </w:p>
        </w:tc>
        <w:tc>
          <w:tcPr>
            <w:tcW w:w="2400" w:type="dxa"/>
            <w:vAlign w:val="bottom"/>
          </w:tcPr>
          <w:p>
            <w:pPr>
              <w:ind w:left="1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6520" w:type="dxa"/>
            <w:vAlign w:val="bottom"/>
            <w:gridSpan w:val="2"/>
          </w:tcPr>
          <w:p>
            <w:pPr>
              <w:jc w:val="center"/>
              <w:ind w:right="982"/>
              <w:spacing w:after="0"/>
              <w:rPr>
                <w:sz w:val="20"/>
                <w:szCs w:val="20"/>
                <w:color w:val="auto"/>
              </w:rPr>
            </w:pPr>
            <w:r>
              <w:rPr>
                <w:rFonts w:ascii="Arial" w:cs="Arial" w:eastAsia="Arial" w:hAnsi="Arial"/>
                <w:sz w:val="18"/>
                <w:szCs w:val="18"/>
                <w:b w:val="1"/>
                <w:bCs w:val="1"/>
                <w:color w:val="auto"/>
                <w:w w:val="92"/>
              </w:rPr>
              <w:t>331 Treble Cove Road, North Billerica, MA</w:t>
            </w:r>
          </w:p>
        </w:tc>
        <w:tc>
          <w:tcPr>
            <w:tcW w:w="2520" w:type="dxa"/>
            <w:vAlign w:val="bottom"/>
          </w:tcPr>
          <w:p>
            <w:pPr>
              <w:jc w:val="center"/>
              <w:ind w:left="1341"/>
              <w:spacing w:after="0"/>
              <w:rPr>
                <w:sz w:val="20"/>
                <w:szCs w:val="20"/>
                <w:color w:val="auto"/>
              </w:rPr>
            </w:pPr>
            <w:r>
              <w:rPr>
                <w:rFonts w:ascii="Arial" w:cs="Arial" w:eastAsia="Arial" w:hAnsi="Arial"/>
                <w:sz w:val="18"/>
                <w:szCs w:val="18"/>
                <w:b w:val="1"/>
                <w:bCs w:val="1"/>
                <w:color w:val="auto"/>
                <w:w w:val="91"/>
              </w:rPr>
              <w:t>01862</w:t>
            </w:r>
          </w:p>
        </w:tc>
      </w:tr>
      <w:tr>
        <w:trPr>
          <w:trHeight w:val="186"/>
        </w:trPr>
        <w:tc>
          <w:tcPr>
            <w:tcW w:w="4120" w:type="dxa"/>
            <w:vAlign w:val="bottom"/>
          </w:tcPr>
          <w:p>
            <w:pPr>
              <w:jc w:val="center"/>
              <w:ind w:left="12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00" w:type="dxa"/>
            <w:vAlign w:val="bottom"/>
          </w:tcPr>
          <w:p>
            <w:pPr>
              <w:spacing w:after="0"/>
              <w:rPr>
                <w:sz w:val="16"/>
                <w:szCs w:val="16"/>
                <w:color w:val="auto"/>
              </w:rPr>
            </w:pPr>
          </w:p>
        </w:tc>
        <w:tc>
          <w:tcPr>
            <w:tcW w:w="2520" w:type="dxa"/>
            <w:vAlign w:val="bottom"/>
          </w:tcPr>
          <w:p>
            <w:pPr>
              <w:jc w:val="center"/>
              <w:ind w:left="134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(978) 671-8001</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right="40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ind w:left="11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Effective as of July 25, 2018, Lantheus Medical Imaging, Inc. (the “Company”), the operating subsidiary of Lantheus Holdings, Inc., is separating from Timothy Healey, its Senior Vice President, Commercial. A search process is underway for the Company’s next commercial leader.</w:t>
      </w:r>
    </w:p>
    <w:p>
      <w:pPr>
        <w:sectPr>
          <w:pgSz w:w="11900" w:h="16838" w:orient="portrait"/>
          <w:cols w:equalWidth="0" w:num="1">
            <w:col w:w="11300"/>
          </w:cols>
          <w:pgMar w:left="240" w:top="270"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LANTHEUS HOLDINGS,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M. Niedzwiecki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Daniel M. Niedzwiecki</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4"/>
              </w:rPr>
              <w:t>Vice President, Deputy General Counsel &amp; Assistant</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2018</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2019-12-07T23:39:09Z</dcterms:created>
  <dcterms:modified xsi:type="dcterms:W3CDTF">2019-12-07T23:39:09Z</dcterms:modified>
</cp:coreProperties>
</file>