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0001801395</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3"/>
        <w:spacing w:after="0"/>
        <w:rPr>
          <w:sz w:val="20"/>
          <w:szCs w:val="20"/>
          <w:color w:val="auto"/>
        </w:rPr>
      </w:pPr>
      <w:r>
        <w:rPr>
          <w:rFonts w:ascii="Arial" w:cs="Arial" w:eastAsia="Arial" w:hAnsi="Arial"/>
          <w:sz w:val="22"/>
          <w:szCs w:val="22"/>
          <w:color w:val="auto"/>
        </w:rPr>
        <w:t>Lantheus Holdings, Inc.</w:t>
      </w:r>
    </w:p>
    <w:p>
      <w:pPr>
        <w:spacing w:after="0" w:line="44" w:lineRule="exact"/>
        <w:rPr>
          <w:sz w:val="24"/>
          <w:szCs w:val="24"/>
          <w:color w:val="auto"/>
        </w:rPr>
      </w:pPr>
    </w:p>
    <w:p>
      <w:pPr>
        <w:ind w:left="3"/>
        <w:spacing w:after="0"/>
        <w:rPr>
          <w:sz w:val="20"/>
          <w:szCs w:val="20"/>
          <w:color w:val="auto"/>
        </w:rPr>
      </w:pPr>
      <w:r>
        <w:rPr>
          <w:rFonts w:ascii="Arial" w:cs="Arial" w:eastAsia="Arial" w:hAnsi="Arial"/>
          <w:sz w:val="22"/>
          <w:szCs w:val="22"/>
          <w:color w:val="auto"/>
        </w:rPr>
        <w:t>001-36569</w:t>
      </w:r>
    </w:p>
    <w:p>
      <w:pPr>
        <w:spacing w:after="0" w:line="44" w:lineRule="exact"/>
        <w:rPr>
          <w:sz w:val="24"/>
          <w:szCs w:val="24"/>
          <w:color w:val="auto"/>
        </w:rPr>
      </w:pPr>
    </w:p>
    <w:p>
      <w:pPr>
        <w:ind w:left="3"/>
        <w:spacing w:after="0"/>
        <w:rPr>
          <w:sz w:val="20"/>
          <w:szCs w:val="20"/>
          <w:color w:val="auto"/>
        </w:rPr>
      </w:pPr>
      <w:r>
        <w:rPr>
          <w:rFonts w:ascii="Arial" w:cs="Arial" w:eastAsia="Arial" w:hAnsi="Arial"/>
          <w:sz w:val="19"/>
          <w:szCs w:val="19"/>
          <w:color w:val="auto"/>
        </w:rPr>
        <w:t>331 TREBLE COVE ROAD</w:t>
      </w:r>
    </w:p>
    <w:p>
      <w:pPr>
        <w:spacing w:after="0" w:line="33" w:lineRule="exact"/>
        <w:rPr>
          <w:sz w:val="24"/>
          <w:szCs w:val="24"/>
          <w:color w:val="auto"/>
        </w:rPr>
      </w:pPr>
    </w:p>
    <w:p>
      <w:pPr>
        <w:ind w:left="3"/>
        <w:spacing w:after="0"/>
        <w:rPr>
          <w:sz w:val="20"/>
          <w:szCs w:val="20"/>
          <w:color w:val="auto"/>
        </w:rPr>
      </w:pPr>
      <w:r>
        <w:rPr>
          <w:rFonts w:ascii="Arial" w:cs="Arial" w:eastAsia="Arial" w:hAnsi="Arial"/>
          <w:sz w:val="22"/>
          <w:szCs w:val="22"/>
          <w:color w:val="auto"/>
        </w:rPr>
        <w:t>NORTH BILLERICA</w:t>
      </w:r>
    </w:p>
    <w:p>
      <w:pPr>
        <w:ind w:left="3"/>
        <w:spacing w:after="0" w:line="230" w:lineRule="auto"/>
        <w:rPr>
          <w:sz w:val="20"/>
          <w:szCs w:val="20"/>
          <w:color w:val="auto"/>
        </w:rPr>
      </w:pPr>
      <w:r>
        <w:rPr>
          <w:rFonts w:ascii="Arial" w:cs="Arial" w:eastAsia="Arial" w:hAnsi="Arial"/>
          <w:sz w:val="22"/>
          <w:szCs w:val="22"/>
          <w:color w:val="auto"/>
        </w:rPr>
        <w:t>MASSACHUSETTS</w:t>
      </w:r>
    </w:p>
    <w:p>
      <w:pPr>
        <w:spacing w:after="0" w:line="1" w:lineRule="exact"/>
        <w:rPr>
          <w:sz w:val="24"/>
          <w:szCs w:val="24"/>
          <w:color w:val="auto"/>
        </w:rPr>
      </w:pPr>
    </w:p>
    <w:p>
      <w:pPr>
        <w:ind w:left="3"/>
        <w:spacing w:after="0"/>
        <w:rPr>
          <w:sz w:val="20"/>
          <w:szCs w:val="20"/>
          <w:color w:val="auto"/>
        </w:rPr>
      </w:pPr>
      <w:r>
        <w:rPr>
          <w:rFonts w:ascii="Arial" w:cs="Arial" w:eastAsia="Arial" w:hAnsi="Arial"/>
          <w:sz w:val="22"/>
          <w:szCs w:val="22"/>
          <w:color w:val="auto"/>
        </w:rPr>
        <w:t>01862</w:t>
      </w:r>
    </w:p>
    <w:p>
      <w:pPr>
        <w:spacing w:after="0" w:line="26" w:lineRule="exact"/>
        <w:rPr>
          <w:sz w:val="24"/>
          <w:szCs w:val="24"/>
          <w:color w:val="auto"/>
        </w:rPr>
      </w:pPr>
    </w:p>
    <w:p>
      <w:pPr>
        <w:ind w:left="3" w:right="2000" w:hanging="3"/>
        <w:spacing w:after="0" w:line="326" w:lineRule="auto"/>
        <w:tabs>
          <w:tab w:leader="none" w:pos="381" w:val="left"/>
        </w:tabs>
        <w:numPr>
          <w:ilvl w:val="0"/>
          <w:numId w:val="1"/>
        </w:numPr>
        <w:rPr>
          <w:rFonts w:ascii="Arial" w:cs="Arial" w:eastAsia="Arial" w:hAnsi="Arial"/>
          <w:sz w:val="19"/>
          <w:szCs w:val="19"/>
          <w:color w:val="auto"/>
        </w:rPr>
      </w:pPr>
      <w:r>
        <w:rPr>
          <w:rFonts w:ascii="Arial" w:cs="Arial" w:eastAsia="Arial" w:hAnsi="Arial"/>
          <w:sz w:val="19"/>
          <w:szCs w:val="19"/>
          <w:color w:val="auto"/>
        </w:rPr>
        <w:t>671-8001 Blanchfield Paul</w:t>
      </w:r>
    </w:p>
    <w:p>
      <w:pPr>
        <w:spacing w:after="0" w:line="1" w:lineRule="exact"/>
        <w:rPr>
          <w:sz w:val="24"/>
          <w:szCs w:val="24"/>
          <w:color w:val="auto"/>
        </w:rPr>
      </w:pPr>
    </w:p>
    <w:p>
      <w:pPr>
        <w:sectPr>
          <w:pgSz w:w="11900" w:h="16838" w:orient="portrait"/>
          <w:cols w:equalWidth="0" w:num="2">
            <w:col w:w="7077" w:space="720"/>
            <w:col w:w="3443"/>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7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Arial" w:cs="Arial" w:eastAsia="Arial" w:hAnsi="Arial"/>
                <w:sz w:val="22"/>
                <w:szCs w:val="22"/>
                <w:color w:val="auto"/>
              </w:rPr>
              <w:t>1500</w:t>
            </w:r>
          </w:p>
        </w:tc>
        <w:tc>
          <w:tcPr>
            <w:tcW w:w="1140" w:type="dxa"/>
            <w:vAlign w:val="bottom"/>
            <w:vMerge w:val="restart"/>
          </w:tcPr>
          <w:p>
            <w:pPr>
              <w:jc w:val="right"/>
              <w:ind w:right="192"/>
              <w:spacing w:after="0"/>
              <w:rPr>
                <w:sz w:val="20"/>
                <w:szCs w:val="20"/>
                <w:color w:val="auto"/>
              </w:rPr>
            </w:pPr>
            <w:r>
              <w:rPr>
                <w:rFonts w:ascii="Arial" w:cs="Arial" w:eastAsia="Arial" w:hAnsi="Arial"/>
                <w:sz w:val="22"/>
                <w:szCs w:val="22"/>
                <w:color w:val="auto"/>
                <w:w w:val="89"/>
              </w:rPr>
              <w:t>97785.00</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MA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68430697</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08/18/2023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Title of the</w:t>
            </w:r>
          </w:p>
        </w:tc>
        <w:tc>
          <w:tcPr>
            <w:tcW w:w="1200" w:type="dxa"/>
            <w:vAlign w:val="bottom"/>
          </w:tcPr>
          <w:p>
            <w:pPr>
              <w:ind w:left="16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9"/>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2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00" w:type="dxa"/>
            <w:vAlign w:val="bottom"/>
          </w:tcPr>
          <w:p>
            <w:pPr>
              <w:jc w:val="center"/>
              <w:ind w:right="12"/>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8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5"/>
              </w:rPr>
              <w:t>Class</w:t>
            </w:r>
          </w:p>
        </w:tc>
        <w:tc>
          <w:tcPr>
            <w:tcW w:w="1200" w:type="dxa"/>
            <w:vAlign w:val="bottom"/>
          </w:tcPr>
          <w:p>
            <w:pPr>
              <w:ind w:left="14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00" w:type="dxa"/>
            <w:vAlign w:val="bottom"/>
          </w:tcPr>
          <w:p>
            <w:pPr>
              <w:jc w:val="center"/>
              <w:ind w:right="12"/>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2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03/04/2022</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88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080" w:type="dxa"/>
            <w:vAlign w:val="bottom"/>
            <w:vMerge w:val="restart"/>
          </w:tcPr>
          <w:p>
            <w:pPr>
              <w:jc w:val="right"/>
              <w:ind w:right="332"/>
              <w:spacing w:after="0"/>
              <w:rPr>
                <w:sz w:val="20"/>
                <w:szCs w:val="20"/>
                <w:color w:val="auto"/>
              </w:rPr>
            </w:pPr>
            <w:r>
              <w:rPr>
                <w:rFonts w:ascii="Arial" w:cs="Arial" w:eastAsia="Arial" w:hAnsi="Arial"/>
                <w:sz w:val="22"/>
                <w:szCs w:val="22"/>
                <w:color w:val="auto"/>
              </w:rPr>
              <w:t>1500</w:t>
            </w:r>
          </w:p>
        </w:tc>
        <w:tc>
          <w:tcPr>
            <w:tcW w:w="2720" w:type="dxa"/>
            <w:vAlign w:val="bottom"/>
            <w:vMerge w:val="restart"/>
          </w:tcPr>
          <w:p>
            <w:pPr>
              <w:ind w:left="420"/>
              <w:spacing w:after="0"/>
              <w:rPr>
                <w:sz w:val="20"/>
                <w:szCs w:val="20"/>
                <w:color w:val="auto"/>
              </w:rPr>
            </w:pPr>
            <w:r>
              <w:rPr>
                <w:rFonts w:ascii="Arial" w:cs="Arial" w:eastAsia="Arial" w:hAnsi="Arial"/>
                <w:sz w:val="22"/>
                <w:szCs w:val="22"/>
                <w:color w:val="auto"/>
                <w:w w:val="88"/>
              </w:rPr>
              <w:t>03/04/2022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880" w:type="dxa"/>
            <w:vAlign w:val="bottom"/>
            <w:vMerge w:val="continue"/>
          </w:tcPr>
          <w:p>
            <w:pPr>
              <w:spacing w:after="0"/>
              <w:rPr>
                <w:sz w:val="23"/>
                <w:szCs w:val="23"/>
                <w:color w:val="auto"/>
              </w:rPr>
            </w:pPr>
          </w:p>
        </w:tc>
        <w:tc>
          <w:tcPr>
            <w:tcW w:w="2080" w:type="dxa"/>
            <w:vAlign w:val="bottom"/>
            <w:vMerge w:val="continue"/>
          </w:tcPr>
          <w:p>
            <w:pPr>
              <w:spacing w:after="0"/>
              <w:rPr>
                <w:sz w:val="23"/>
                <w:szCs w:val="23"/>
                <w:color w:val="auto"/>
              </w:rPr>
            </w:pPr>
          </w:p>
        </w:tc>
        <w:tc>
          <w:tcPr>
            <w:tcW w:w="27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-228600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4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40" w:type="dxa"/>
            <w:vAlign w:val="bottom"/>
          </w:tcPr>
          <w:p>
            <w:pPr>
              <w:spacing w:after="0"/>
              <w:rPr>
                <w:sz w:val="20"/>
                <w:szCs w:val="20"/>
                <w:color w:val="auto"/>
              </w:rPr>
            </w:pPr>
            <w:r>
              <w:rPr>
                <w:rFonts w:ascii="Arial" w:cs="Arial" w:eastAsia="Arial" w:hAnsi="Arial"/>
                <w:sz w:val="22"/>
                <w:szCs w:val="22"/>
                <w:color w:val="auto"/>
              </w:rPr>
              <w:t>Paul Blanchfield</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201 Burlington Road</w:t>
            </w: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Arial" w:cs="Arial" w:eastAsia="Arial" w:hAnsi="Arial"/>
                <w:sz w:val="22"/>
                <w:szCs w:val="22"/>
                <w:color w:val="auto"/>
              </w:rPr>
              <w:t>05/18/2023 1500</w:t>
            </w:r>
          </w:p>
        </w:tc>
        <w:tc>
          <w:tcPr>
            <w:tcW w:w="1580" w:type="dxa"/>
            <w:vAlign w:val="bottom"/>
            <w:vMerge w:val="restart"/>
          </w:tcPr>
          <w:p>
            <w:pPr>
              <w:jc w:val="right"/>
              <w:ind w:right="452"/>
              <w:spacing w:after="0"/>
              <w:rPr>
                <w:sz w:val="20"/>
                <w:szCs w:val="20"/>
                <w:color w:val="auto"/>
              </w:rPr>
            </w:pPr>
            <w:r>
              <w:rPr>
                <w:rFonts w:ascii="Arial" w:cs="Arial" w:eastAsia="Arial" w:hAnsi="Arial"/>
                <w:sz w:val="22"/>
                <w:szCs w:val="22"/>
                <w:color w:val="auto"/>
                <w:w w:val="96"/>
              </w:rPr>
              <w:t>146895.00</w:t>
            </w:r>
          </w:p>
        </w:tc>
        <w:tc>
          <w:tcPr>
            <w:tcW w:w="0" w:type="dxa"/>
            <w:vAlign w:val="bottom"/>
          </w:tcPr>
          <w:p>
            <w:pPr>
              <w:spacing w:after="0"/>
              <w:rPr>
                <w:sz w:val="1"/>
                <w:szCs w:val="1"/>
                <w:color w:val="auto"/>
              </w:rPr>
            </w:pPr>
          </w:p>
        </w:tc>
      </w:tr>
      <w:tr>
        <w:trPr>
          <w:trHeight w:val="153"/>
        </w:trPr>
        <w:tc>
          <w:tcPr>
            <w:tcW w:w="3340" w:type="dxa"/>
            <w:vAlign w:val="bottom"/>
            <w:vMerge w:val="restart"/>
          </w:tcPr>
          <w:p>
            <w:pPr>
              <w:spacing w:after="0"/>
              <w:rPr>
                <w:sz w:val="20"/>
                <w:szCs w:val="20"/>
                <w:color w:val="auto"/>
              </w:rPr>
            </w:pPr>
            <w:r>
              <w:rPr>
                <w:rFonts w:ascii="Arial" w:cs="Arial" w:eastAsia="Arial" w:hAnsi="Arial"/>
                <w:sz w:val="22"/>
                <w:szCs w:val="22"/>
                <w:color w:val="auto"/>
              </w:rPr>
              <w:t>South Building</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22"/>
          <w:szCs w:val="22"/>
          <w:color w:val="auto"/>
        </w:rPr>
        <w:t>Bedford  MA  01730</w:t>
      </w:r>
    </w:p>
    <w:p>
      <w:pPr>
        <w:spacing w:after="0" w:line="288"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right="40"/>
        <w:spacing w:after="0" w:line="296" w:lineRule="auto"/>
        <w:rPr>
          <w:sz w:val="20"/>
          <w:szCs w:val="20"/>
          <w:color w:val="auto"/>
        </w:rPr>
      </w:pPr>
      <w:r>
        <w:rPr>
          <w:rFonts w:ascii="Arial" w:cs="Arial" w:eastAsia="Arial" w:hAnsi="Arial"/>
          <w:sz w:val="19"/>
          <w:szCs w:val="19"/>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08/18/2023</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02/14/2023</w:t>
      </w:r>
    </w:p>
    <w:p>
      <w:pPr>
        <w:spacing w:after="0" w:line="652" w:lineRule="exact"/>
        <w:rPr>
          <w:sz w:val="20"/>
          <w:szCs w:val="20"/>
          <w:color w:val="auto"/>
        </w:rPr>
      </w:pPr>
    </w:p>
    <w:p>
      <w:pPr>
        <w:sectPr>
          <w:pgSz w:w="11900" w:h="16838" w:orient="portrait"/>
          <w:cols w:equalWidth="0" w:num="2">
            <w:col w:w="3420" w:space="720"/>
            <w:col w:w="7100"/>
          </w:cols>
          <w:pgMar w:left="320" w:top="111"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246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8120" w:type="dxa"/>
            <w:vAlign w:val="bottom"/>
          </w:tcPr>
          <w:p>
            <w:pPr>
              <w:ind w:left="1640"/>
              <w:spacing w:after="0" w:line="246" w:lineRule="exact"/>
              <w:rPr>
                <w:sz w:val="20"/>
                <w:szCs w:val="20"/>
                <w:color w:val="auto"/>
              </w:rPr>
            </w:pPr>
            <w:r>
              <w:rPr>
                <w:rFonts w:ascii="Arial" w:cs="Arial" w:eastAsia="Arial" w:hAnsi="Arial"/>
                <w:sz w:val="22"/>
                <w:szCs w:val="22"/>
                <w:color w:val="auto"/>
                <w:w w:val="88"/>
              </w:rPr>
              <w:t>/s/ Gary Redman, as a duly authorized representative of Fidelity Brokerage</w:t>
            </w:r>
          </w:p>
        </w:tc>
        <w:tc>
          <w:tcPr>
            <w:tcW w:w="0" w:type="dxa"/>
            <w:vAlign w:val="bottom"/>
          </w:tcPr>
          <w:p>
            <w:pPr>
              <w:spacing w:after="0"/>
              <w:rPr>
                <w:sz w:val="1"/>
                <w:szCs w:val="1"/>
                <w:color w:val="auto"/>
              </w:rPr>
            </w:pPr>
          </w:p>
        </w:tc>
      </w:tr>
      <w:tr>
        <w:trPr>
          <w:trHeight w:val="153"/>
        </w:trPr>
        <w:tc>
          <w:tcPr>
            <w:tcW w:w="2460" w:type="dxa"/>
            <w:vAlign w:val="bottom"/>
            <w:vMerge w:val="continue"/>
          </w:tcPr>
          <w:p>
            <w:pPr>
              <w:spacing w:after="0"/>
              <w:rPr>
                <w:sz w:val="13"/>
                <w:szCs w:val="13"/>
                <w:color w:val="auto"/>
              </w:rPr>
            </w:pPr>
          </w:p>
        </w:tc>
        <w:tc>
          <w:tcPr>
            <w:tcW w:w="8120" w:type="dxa"/>
            <w:vAlign w:val="bottom"/>
            <w:vMerge w:val="restart"/>
          </w:tcPr>
          <w:p>
            <w:pPr>
              <w:ind w:left="1640"/>
              <w:spacing w:after="0"/>
              <w:rPr>
                <w:sz w:val="20"/>
                <w:szCs w:val="20"/>
                <w:color w:val="auto"/>
              </w:rPr>
            </w:pPr>
            <w:r>
              <w:rPr>
                <w:rFonts w:ascii="Arial" w:cs="Arial" w:eastAsia="Arial" w:hAnsi="Arial"/>
                <w:sz w:val="22"/>
                <w:szCs w:val="22"/>
                <w:color w:val="auto"/>
              </w:rPr>
              <w:t>Services LLC, as attorney-in-fact for Paul Blanchfield</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8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7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2023-08-18T09:21:10Z</dcterms:created>
  <dcterms:modified xsi:type="dcterms:W3CDTF">2023-08-18T09:21:10Z</dcterms:modified>
</cp:coreProperties>
</file>