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516544103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321,781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2,962,755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2,962,755</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7.7%</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52-1952906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1,693,109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1,693,109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4.4%</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Lantheus Holdings,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331 TREBLE COVE ROAD</w:t>
      </w:r>
    </w:p>
    <w:p>
      <w:pPr>
        <w:spacing w:after="0"/>
        <w:rPr>
          <w:sz w:val="20"/>
          <w:szCs w:val="20"/>
          <w:color w:val="auto"/>
        </w:rPr>
      </w:pPr>
      <w:r>
        <w:rPr>
          <w:rFonts w:ascii="Courier New" w:cs="Courier New" w:eastAsia="Courier New" w:hAnsi="Courier New"/>
          <w:sz w:val="18"/>
          <w:szCs w:val="18"/>
          <w:color w:val="auto"/>
        </w:rPr>
        <w:t>NORTH BILLERICA, MASSACHUSETTS 01862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spacing w:after="0" w:line="207" w:lineRule="exact"/>
        <w:rPr>
          <w:sz w:val="20"/>
          <w:szCs w:val="20"/>
          <w:color w:val="auto"/>
        </w:rPr>
      </w:pPr>
    </w:p>
    <w:p>
      <w:pPr>
        <w:jc w:val="both"/>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516544103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2099"/>
        <w:spacing w:after="0" w:line="235"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w:t>
      </w:r>
    </w:p>
    <w:p>
      <w:pPr>
        <w:ind w:left="860"/>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4"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five percent of the class of securities.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Item 5 is not applicable with respect to Price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subject to the investment advice of Price Associates.</w:t>
      </w:r>
    </w:p>
    <w:p>
      <w:pPr>
        <w:spacing w:after="0" w:line="207" w:lineRule="exact"/>
        <w:rPr>
          <w:sz w:val="20"/>
          <w:szCs w:val="20"/>
          <w:color w:val="auto"/>
        </w:rPr>
      </w:pPr>
    </w:p>
    <w:p>
      <w:pPr>
        <w:ind w:left="860" w:right="1999" w:hanging="852"/>
        <w:spacing w:after="0" w:line="237"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June 11,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June 11,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05/31/2018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June 11,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June 11,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David Oestreicher, Vice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X"/>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2019-12-07T23:12:54Z</dcterms:created>
  <dcterms:modified xsi:type="dcterms:W3CDTF">2019-12-07T23:12:54Z</dcterms:modified>
</cp:coreProperties>
</file>