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3673ddefa14a.htm"/>
      <w:bookmarkStart w:id="1" w:name="ksd113673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60" w:after="0"/>
        <w:jc w:val="center"/>
        <w:rPr>
          <w:rFonts w:ascii="Times New Roman" w:hAnsi="Times New Roman"/>
          <w:b/>
          <w:sz w:val="24"/>
        </w:rPr>
      </w:pPr>
      <w:r>
        <w:rPr>
          <w:rFonts w:ascii="Times New Roman" w:hAnsi="Times New Roman"/>
          <w:b/>
          <w:sz w:val="24"/>
        </w:rPr>
        <w:t xml:space="preserve">Date of Report (Date of earliest event reported): October 2,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0"/>
        <w:gridCol w:w="3267"/>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001-36569</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35-2318913</w:t>
            </w:r>
          </w:p>
        </w:tc>
      </w:tr>
      <w:tr>
        <w:trPr/>
        <w:tc>
          <w:tcPr>
            <w:tcW w:w="3470" w:type="dxa"/>
            <w:tcBorders/>
          </w:tcPr>
          <w:p>
            <w:pPr>
              <w:pStyle w:val="TableContents"/>
              <w:bidi w:val="0"/>
              <w:spacing w:before="0" w:after="283"/>
              <w:jc w:val="center"/>
              <w:rPr>
                <w:b/>
              </w:rPr>
            </w:pPr>
            <w:r>
              <w:rPr>
                <w:b/>
              </w:rPr>
              <w:t>(State or Other Jurisdiction</w:t>
              <w:br/>
              <w:t>of Incorporation)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201 Burlington Road</w:t>
            </w:r>
          </w:p>
          <w:p>
            <w:pPr>
              <w:pStyle w:val="TableContents"/>
              <w:bidi w:val="0"/>
              <w:spacing w:before="0" w:after="20"/>
              <w:jc w:val="center"/>
              <w:rPr>
                <w:rFonts w:ascii="Times New Roman" w:hAnsi="Times New Roman"/>
                <w:b/>
                <w:sz w:val="20"/>
              </w:rPr>
            </w:pPr>
            <w:r>
              <w:rPr>
                <w:rFonts w:ascii="Times New Roman" w:hAnsi="Times New Roman"/>
                <w:b/>
                <w:sz w:val="20"/>
              </w:rPr>
              <w:t>South Building</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Bedford, Massachusetts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01730</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Registrant’s Telephone Number, Including Area Code: (978) 671-8001 </w:t>
      </w:r>
    </w:p>
    <w:p>
      <w:pPr>
        <w:pStyle w:val="TextBody"/>
        <w:bidi w:val="0"/>
        <w:spacing w:before="16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6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69" w:type="dxa"/>
            <w:tcBorders/>
          </w:tcPr>
          <w:p>
            <w:pPr>
              <w:pStyle w:val="TableContents"/>
              <w:bidi w:val="0"/>
              <w:spacing w:before="0" w:after="283"/>
              <w:jc w:val="center"/>
              <w:rPr/>
            </w:pPr>
            <w:r>
              <w:rPr/>
              <w:t>Common stock, par value $0.01 per share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LNTH</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6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0"/>
        <w:gridCol w:w="9085"/>
      </w:tblGrid>
      <w:tr>
        <w:trPr/>
        <w:tc>
          <w:tcPr>
            <w:tcW w:w="1120" w:type="dxa"/>
            <w:tcBorders/>
          </w:tcPr>
          <w:p>
            <w:pPr>
              <w:pStyle w:val="TableContents"/>
              <w:bidi w:val="0"/>
              <w:spacing w:before="0" w:after="283"/>
              <w:jc w:val="left"/>
              <w:rPr>
                <w:b/>
              </w:rPr>
            </w:pPr>
            <w:r>
              <w:rPr>
                <w:b/>
              </w:rPr>
              <w:t>Item 8.01</w:t>
            </w:r>
          </w:p>
        </w:tc>
        <w:tc>
          <w:tcPr>
            <w:tcW w:w="90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As previously disclosed, on August 3, 2026, Lantheus Holdings, Inc., a Delaware corporation (“</w:t>
      </w:r>
      <w:r>
        <w:rPr>
          <w:rFonts w:ascii="Times New Roman" w:hAnsi="Times New Roman"/>
          <w:b/>
          <w:i/>
          <w:sz w:val="20"/>
        </w:rPr>
        <w:t>Lantheus</w:t>
      </w:r>
      <w:r>
        <w:rPr>
          <w:rFonts w:ascii="Times New Roman" w:hAnsi="Times New Roman"/>
          <w:sz w:val="20"/>
        </w:rPr>
        <w:t>” or the “</w:t>
      </w:r>
      <w:r>
        <w:rPr>
          <w:rFonts w:ascii="Times New Roman" w:hAnsi="Times New Roman"/>
          <w:b/>
          <w:i/>
          <w:sz w:val="20"/>
        </w:rPr>
        <w:t>Company</w:t>
      </w:r>
      <w:r>
        <w:rPr>
          <w:rFonts w:ascii="Times New Roman" w:hAnsi="Times New Roman"/>
          <w:sz w:val="20"/>
        </w:rPr>
        <w:t>”), entered into an Agreement and Plan of Merger (the “</w:t>
      </w:r>
      <w:r>
        <w:rPr>
          <w:rFonts w:ascii="Times New Roman" w:hAnsi="Times New Roman"/>
          <w:b/>
          <w:i/>
          <w:sz w:val="20"/>
        </w:rPr>
        <w:t>Merger Agreement</w:t>
      </w:r>
      <w:r>
        <w:rPr>
          <w:rFonts w:ascii="Times New Roman" w:hAnsi="Times New Roman"/>
          <w:sz w:val="20"/>
        </w:rPr>
        <w:t>”) by and among the Company, Curium US Holdings LLC, a Delaware limited liability company (“</w:t>
      </w:r>
      <w:r>
        <w:rPr>
          <w:rFonts w:ascii="Times New Roman" w:hAnsi="Times New Roman"/>
          <w:b/>
          <w:i/>
          <w:sz w:val="20"/>
        </w:rPr>
        <w:t>Parent</w:t>
      </w:r>
      <w:r>
        <w:rPr>
          <w:rFonts w:ascii="Times New Roman" w:hAnsi="Times New Roman"/>
          <w:sz w:val="20"/>
        </w:rPr>
        <w:t>”), and Coco Merger Sub Inc., a Delaware corporation and a wholly owned subsidiary of Parent (“</w:t>
      </w:r>
      <w:r>
        <w:rPr>
          <w:rFonts w:ascii="Times New Roman" w:hAnsi="Times New Roman"/>
          <w:b/>
          <w:i/>
          <w:sz w:val="20"/>
        </w:rPr>
        <w:t>Merger Sub</w:t>
      </w:r>
      <w:r>
        <w:rPr>
          <w:rFonts w:ascii="Times New Roman" w:hAnsi="Times New Roman"/>
          <w:sz w:val="20"/>
        </w:rPr>
        <w:t>”), pursuant to which, subject to the terms and conditions set forth therein, Merger Sub will merge with and into the Company (the “</w:t>
      </w:r>
      <w:r>
        <w:rPr>
          <w:rFonts w:ascii="Times New Roman" w:hAnsi="Times New Roman"/>
          <w:b/>
          <w:i/>
          <w:sz w:val="20"/>
        </w:rPr>
        <w:t>Merger</w:t>
      </w:r>
      <w:r>
        <w:rPr>
          <w:rFonts w:ascii="Times New Roman" w:hAnsi="Times New Roman"/>
          <w:sz w:val="20"/>
        </w:rPr>
        <w:t xml:space="preserve">”), with the Company surviving the Merger as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On September 8, 2026, the Company filed a definitive proxy statement with the Securities and Exchange Commission (the “</w:t>
      </w:r>
      <w:r>
        <w:rPr>
          <w:rFonts w:ascii="Times New Roman" w:hAnsi="Times New Roman"/>
          <w:b/>
          <w:i/>
          <w:sz w:val="20"/>
        </w:rPr>
        <w:t>SEC</w:t>
      </w:r>
      <w:r>
        <w:rPr>
          <w:rFonts w:ascii="Times New Roman" w:hAnsi="Times New Roman"/>
          <w:sz w:val="20"/>
        </w:rPr>
        <w:t>”) relating to the special meeting of its stockholders to be held on October 14, 2026 (the “</w:t>
      </w:r>
      <w:r>
        <w:rPr>
          <w:rFonts w:ascii="Times New Roman" w:hAnsi="Times New Roman"/>
          <w:b/>
          <w:i/>
          <w:sz w:val="20"/>
        </w:rPr>
        <w:t>Special Meeting</w:t>
      </w:r>
      <w:r>
        <w:rPr>
          <w:rFonts w:ascii="Times New Roman" w:hAnsi="Times New Roman"/>
          <w:sz w:val="20"/>
        </w:rPr>
        <w:t>”) to consider and vote on the approval of the Merger Agreement and several related proposals (the “</w:t>
      </w:r>
      <w:r>
        <w:rPr>
          <w:rFonts w:ascii="Times New Roman" w:hAnsi="Times New Roman"/>
          <w:b/>
          <w:i/>
          <w:sz w:val="20"/>
        </w:rPr>
        <w:t>Definitive Proxy Statement</w:t>
      </w:r>
      <w:r>
        <w:rPr>
          <w:rFonts w:ascii="Times New Roman" w:hAnsi="Times New Roman"/>
          <w:sz w:val="20"/>
        </w:rPr>
        <w:t xml:space="preserve">”). Defined terms used but not defined herein have the meanings set forth in the Definitive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Certain Litigation </w:t>
      </w:r>
    </w:p>
    <w:p>
      <w:pPr>
        <w:pStyle w:val="TextBody"/>
        <w:bidi w:val="0"/>
        <w:spacing w:before="120" w:after="0"/>
        <w:jc w:val="left"/>
        <w:rPr>
          <w:rFonts w:ascii="Times New Roman" w:hAnsi="Times New Roman"/>
          <w:sz w:val="20"/>
        </w:rPr>
      </w:pPr>
      <w:r>
        <w:rPr>
          <w:rFonts w:ascii="Times New Roman" w:hAnsi="Times New Roman"/>
          <w:sz w:val="20"/>
        </w:rPr>
        <w:t xml:space="preserve">Since the filing of the Definitive Proxy Statement, three complaints have been filed against the Company and certain members of the Board in connection with the Merger. Two such complaints were filed in the Supreme Court of the State of New York, County of New York: </w:t>
      </w:r>
      <w:r>
        <w:rPr>
          <w:rFonts w:ascii="Times New Roman" w:hAnsi="Times New Roman"/>
          <w:i/>
          <w:sz w:val="20"/>
        </w:rPr>
        <w:t>Hamilton v. Lantheus Holdings, Inc., et al.</w:t>
      </w:r>
      <w:r>
        <w:rPr>
          <w:rFonts w:ascii="Times New Roman" w:hAnsi="Times New Roman"/>
          <w:sz w:val="20"/>
        </w:rPr>
        <w:t xml:space="preserve">, Index No. 655291/2026, filed on September 16, 2026, and </w:t>
      </w:r>
      <w:r>
        <w:rPr>
          <w:rFonts w:ascii="Times New Roman" w:hAnsi="Times New Roman"/>
          <w:i/>
          <w:sz w:val="20"/>
        </w:rPr>
        <w:t>McDaniels v. Lantheus Holdings, Inc., et al.</w:t>
      </w:r>
      <w:r>
        <w:rPr>
          <w:rFonts w:ascii="Times New Roman" w:hAnsi="Times New Roman"/>
          <w:sz w:val="20"/>
        </w:rPr>
        <w:t xml:space="preserve">, Index No. 655281/2026, filed on September 16, 2026, and one was filed in the Superior Court of the Commonwealth of Massachusetts, Middlesex County: </w:t>
      </w:r>
      <w:r>
        <w:rPr>
          <w:rFonts w:ascii="Times New Roman" w:hAnsi="Times New Roman"/>
          <w:i/>
          <w:sz w:val="20"/>
        </w:rPr>
        <w:t>Garfield v. Lantheus Holdings, Inc., et al.</w:t>
      </w:r>
      <w:r>
        <w:rPr>
          <w:rFonts w:ascii="Times New Roman" w:hAnsi="Times New Roman"/>
          <w:sz w:val="20"/>
        </w:rPr>
        <w:t>, Civil Docket No. 2681CV02581, filed on September 25, 2026 (collectively, the “</w:t>
      </w:r>
      <w:r>
        <w:rPr>
          <w:rFonts w:ascii="Times New Roman" w:hAnsi="Times New Roman"/>
          <w:b/>
          <w:i/>
          <w:sz w:val="20"/>
        </w:rPr>
        <w:t>Complaints</w:t>
      </w:r>
      <w:r>
        <w:rPr>
          <w:rFonts w:ascii="Times New Roman" w:hAnsi="Times New Roman"/>
          <w:sz w:val="20"/>
        </w:rPr>
        <w:t xml:space="preserve">”). The Complaints generally allege, among other things, that the Definitive Proxy Statement omits or misrepresents certain information concerning the Company’s financial projections, the financial analyses performed by Morgan Stanley in connection with its fairness opinion, and potential conflicts of interest involving Company insiders, including information concerning potential post-closing employment or retention. The Complaints assert claims under state common law and seek, among other things, to enjoin consummation of the Merger unless and until certain additional information is disclosed. </w:t>
      </w:r>
    </w:p>
    <w:p>
      <w:pPr>
        <w:pStyle w:val="TextBody"/>
        <w:bidi w:val="0"/>
        <w:spacing w:before="240" w:after="0"/>
        <w:jc w:val="left"/>
        <w:rPr>
          <w:rFonts w:ascii="Times New Roman" w:hAnsi="Times New Roman"/>
          <w:sz w:val="20"/>
        </w:rPr>
      </w:pPr>
      <w:r>
        <w:rPr>
          <w:rFonts w:ascii="Times New Roman" w:hAnsi="Times New Roman"/>
          <w:sz w:val="20"/>
        </w:rPr>
        <w:t>In addition to the Complaints, as of September 30, 2026, the Company has received sixteen demand letters from purported stockholders of the Company, including two that attached a draft complaint (collectively, the “</w:t>
      </w:r>
      <w:r>
        <w:rPr>
          <w:rFonts w:ascii="Times New Roman" w:hAnsi="Times New Roman"/>
          <w:b/>
          <w:i/>
          <w:sz w:val="20"/>
        </w:rPr>
        <w:t>Demand Letters</w:t>
      </w:r>
      <w:r>
        <w:rPr>
          <w:rFonts w:ascii="Times New Roman" w:hAnsi="Times New Roman"/>
          <w:sz w:val="20"/>
        </w:rPr>
        <w:t xml:space="preserve">”). The Demand Letters generally seek disclosure of certain information allegedly omitted from the preliminary proxy statement and/or Definitive Proxy Statement. Additional demand letters or lawsuits may be received by or filed against the Company, members of the Board, Parent and/or Merger Sub in connection with the Merger or the Definitive Proxy Statement. If additional demand letters are received or complaints are filed, the Company will not necessarily announce such additional demands or filings. </w:t>
      </w:r>
    </w:p>
    <w:p>
      <w:pPr>
        <w:pStyle w:val="TextBody"/>
        <w:bidi w:val="0"/>
        <w:spacing w:before="240" w:after="0"/>
        <w:jc w:val="left"/>
        <w:rPr>
          <w:rFonts w:ascii="Times New Roman" w:hAnsi="Times New Roman"/>
          <w:sz w:val="20"/>
        </w:rPr>
      </w:pPr>
      <w:r>
        <w:rPr>
          <w:rFonts w:ascii="Times New Roman" w:hAnsi="Times New Roman"/>
          <w:sz w:val="20"/>
        </w:rPr>
        <w:t>Solely to avoid the costs, burden, nuisance and uncertainties inherent in litigation and to allow the Company’s stockholders to vote on the Merger at the Special Meeting, without admitting any liability or wrongdoing, the Company is providing additional disclosures related to information contained in the Definitive Proxy Statement (the “</w:t>
      </w:r>
      <w:r>
        <w:rPr>
          <w:rFonts w:ascii="Times New Roman" w:hAnsi="Times New Roman"/>
          <w:b/>
          <w:i/>
          <w:sz w:val="20"/>
        </w:rPr>
        <w:t>Supplemental Disclosures</w:t>
      </w:r>
      <w:r>
        <w:rPr>
          <w:rFonts w:ascii="Times New Roman" w:hAnsi="Times New Roman"/>
          <w:sz w:val="20"/>
        </w:rPr>
        <w:t xml:space="preserve">”). The Supplemental Disclosures are set forth below and should be read in conjunction with the Definitive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denies that the Definitive Proxy Statement is deficient in any respect and that the Supplemental Disclosures are material or required. The Company believes that the Complaints and the Demand Letters are without merit and that no further disclosure is required to supplement the Definitive Proxy Statement under applicable laws. Nothing in this Current Report on Form 8-K will be deemed an admission of the legal necessity or materiality under any applicable laws for any of the disclosures set forth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SUPPLEMENTAL DISCLOSURES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provides these Supplemental Disclosures to the Definitive Proxy Statement. This supplemental information should be read in conjunction with the Definitive Proxy Statement, which should be read in its entirety. For clarity, new text within restated paragraphs from the Definitive Proxy Statement is identified by </w:t>
      </w:r>
      <w:r>
        <w:rPr>
          <w:rFonts w:ascii="Times New Roman" w:hAnsi="Times New Roman"/>
          <w:b/>
          <w:sz w:val="20"/>
          <w:u w:val="single"/>
        </w:rPr>
        <w:t>bold</w:t>
      </w:r>
      <w:r>
        <w:rPr>
          <w:rFonts w:ascii="Times New Roman" w:hAnsi="Times New Roman"/>
          <w:sz w:val="20"/>
        </w:rPr>
        <w:t xml:space="preserve">, </w:t>
      </w:r>
      <w:r>
        <w:rPr>
          <w:rFonts w:ascii="Times New Roman" w:hAnsi="Times New Roman"/>
          <w:b/>
          <w:sz w:val="20"/>
          <w:u w:val="single"/>
        </w:rPr>
        <w:t>underlined text</w:t>
      </w:r>
      <w:r>
        <w:rPr>
          <w:rFonts w:ascii="Times New Roman" w:hAnsi="Times New Roman"/>
          <w:sz w:val="20"/>
        </w:rPr>
        <w:t xml:space="preserve">, and deleted text within restated paragraphs from the Definitive Proxy Statement is identified by </w:t>
      </w:r>
      <w:r>
        <w:rPr>
          <w:rFonts w:ascii="Times New Roman" w:hAnsi="Times New Roman"/>
          <w:strike/>
          <w:sz w:val="20"/>
        </w:rPr>
        <w:t>strikethrough text</w:t>
      </w:r>
      <w:r>
        <w:rPr>
          <w:rFonts w:ascii="Times New Roman" w:hAnsi="Times New Roman"/>
          <w:sz w:val="20"/>
        </w:rPr>
        <w:t xml:space="preserve">. If information in the Supplemental Disclosures differs from or updates information contained in the Definitive Proxy Statement, then the information in the Supplemental Disclosures is more current and supersedes the different information contained in the Definitive Proxy Statement.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The disclosure on page 65 of the Definitive Proxy Statement under the section titled “</w:t>
            </w:r>
            <w:r>
              <w:rPr>
                <w:rFonts w:ascii="Times New Roman" w:hAnsi="Times New Roman"/>
                <w:b/>
                <w:i/>
                <w:sz w:val="20"/>
              </w:rPr>
              <w:t>The Merger – Opinion of the Company’s Financial Advisor</w:t>
            </w:r>
            <w:r>
              <w:rPr>
                <w:rFonts w:ascii="Times New Roman" w:hAnsi="Times New Roman"/>
                <w:sz w:val="20"/>
              </w:rPr>
              <w:t xml:space="preserve">” </w:t>
            </w:r>
            <w:r>
              <w:rPr>
                <w:rFonts w:ascii="Times New Roman" w:hAnsi="Times New Roman"/>
                <w:b/>
                <w:sz w:val="20"/>
              </w:rPr>
              <w:t>is hereby supplemented by replacing the first paragraph under the heading “</w:t>
            </w:r>
            <w:r>
              <w:rPr>
                <w:rFonts w:ascii="Times New Roman" w:hAnsi="Times New Roman"/>
                <w:b/>
                <w:i/>
                <w:sz w:val="20"/>
              </w:rPr>
              <w:t>Discounted Cash Flow Analysis</w:t>
            </w:r>
            <w:r>
              <w:rPr>
                <w:rFonts w:ascii="Times New Roman" w:hAnsi="Times New Roman"/>
                <w:sz w:val="20"/>
              </w:rPr>
              <w:t xml:space="preserve">” </w:t>
            </w:r>
            <w:r>
              <w:rPr>
                <w:rFonts w:ascii="Times New Roman" w:hAnsi="Times New Roman"/>
                <w:b/>
                <w:sz w:val="20"/>
              </w:rPr>
              <w:t>with the following:</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performed a discounted cash flow analysis, which is designed to provide an implied value of a company by calculating the present value of the estimated future cash flows and terminal value of such company. Morgan Stanley calculated the estimated present value of the standalone unlevered free cash flows that the Company was estimated to generate from June 30, 2026 through December 31, 2035, based on the financial forecasts. Morgan Stanley then estimated the terminal values of the Company at the end of the forecast period by using a perpetual growth rate of (5.0%) for the Pylarify family of products and perpetual growth rates ranging from 4.0% to 4.5% excluding the Pylarify family of products, which perpetual growth rates were selected upon the application of Morgan Stanley’s professional judgment and experience. The cash flows and terminal values were then discounted to present value as of June 30, 2026, applying a mid-year discounting convention using discount rates ranging from 8.8% to 10.7%, which discount rates were selected, upon the application of Morgan Stanley’s professional judgment and experience, to reflect a weighted average cost of capital calculation for the Company. </w:t>
      </w:r>
      <w:r>
        <w:rPr>
          <w:rFonts w:ascii="Times New Roman" w:hAnsi="Times New Roman"/>
          <w:b/>
          <w:sz w:val="20"/>
          <w:u w:val="single"/>
        </w:rPr>
        <w:t>Morgan Stanley calculated the weighted average cost of capital using a cost of equity derived from a risk free rate, market risk premium and beta estimates based on comparable companies, together with an estimate of the cost of debt and assumed capital structure. For purposes of this analysis, Morgan Stanley utilized a fully diluted share count, calculated using the treasury stock method, of 68.2</w:t>
      </w:r>
      <w:r>
        <w:rPr>
          <w:rFonts w:ascii="Times New Roman" w:hAnsi="Times New Roman"/>
          <w:sz w:val="20"/>
          <w:u w:val="single"/>
        </w:rPr>
        <w:t> </w:t>
      </w:r>
      <w:r>
        <w:rPr>
          <w:rFonts w:ascii="Times New Roman" w:hAnsi="Times New Roman"/>
          <w:b/>
          <w:sz w:val="20"/>
          <w:u w:val="single"/>
        </w:rPr>
        <w:t>million shares based on 65.3</w:t>
      </w:r>
      <w:r>
        <w:rPr>
          <w:rFonts w:ascii="Times New Roman" w:hAnsi="Times New Roman"/>
          <w:sz w:val="20"/>
          <w:u w:val="single"/>
        </w:rPr>
        <w:t> </w:t>
      </w:r>
      <w:r>
        <w:rPr>
          <w:rFonts w:ascii="Times New Roman" w:hAnsi="Times New Roman"/>
          <w:b/>
          <w:sz w:val="20"/>
          <w:u w:val="single"/>
        </w:rPr>
        <w:t>million shares of Company common stock outstanding as of July</w:t>
      </w:r>
      <w:r>
        <w:rPr>
          <w:rFonts w:ascii="Times New Roman" w:hAnsi="Times New Roman"/>
          <w:sz w:val="20"/>
          <w:u w:val="single"/>
        </w:rPr>
        <w:t> </w:t>
      </w:r>
      <w:r>
        <w:rPr>
          <w:rFonts w:ascii="Times New Roman" w:hAnsi="Times New Roman"/>
          <w:b/>
          <w:sz w:val="20"/>
          <w:u w:val="single"/>
        </w:rPr>
        <w:t>30, 2026, 1.0</w:t>
      </w:r>
      <w:r>
        <w:rPr>
          <w:rFonts w:ascii="Times New Roman" w:hAnsi="Times New Roman"/>
          <w:sz w:val="20"/>
          <w:u w:val="single"/>
        </w:rPr>
        <w:t> </w:t>
      </w:r>
      <w:r>
        <w:rPr>
          <w:rFonts w:ascii="Times New Roman" w:hAnsi="Times New Roman"/>
          <w:b/>
          <w:sz w:val="20"/>
          <w:u w:val="single"/>
        </w:rPr>
        <w:t>million Company PSUs, 1.5</w:t>
      </w:r>
      <w:r>
        <w:rPr>
          <w:rFonts w:ascii="Times New Roman" w:hAnsi="Times New Roman"/>
          <w:sz w:val="20"/>
          <w:u w:val="single"/>
        </w:rPr>
        <w:t> </w:t>
      </w:r>
      <w:r>
        <w:rPr>
          <w:rFonts w:ascii="Times New Roman" w:hAnsi="Times New Roman"/>
          <w:b/>
          <w:sz w:val="20"/>
          <w:u w:val="single"/>
        </w:rPr>
        <w:t>million Company RSUs and 1.2</w:t>
      </w:r>
      <w:r>
        <w:rPr>
          <w:rFonts w:ascii="Times New Roman" w:hAnsi="Times New Roman"/>
          <w:sz w:val="20"/>
          <w:u w:val="single"/>
        </w:rPr>
        <w:t> </w:t>
      </w:r>
      <w:r>
        <w:rPr>
          <w:rFonts w:ascii="Times New Roman" w:hAnsi="Times New Roman"/>
          <w:b/>
          <w:sz w:val="20"/>
          <w:u w:val="single"/>
        </w:rPr>
        <w:t>million Company options, with a weighted average exercise price of $70.44 and a strike price range of $14.59 to $123.19, in each case as provided by management as of July</w:t>
      </w:r>
      <w:r>
        <w:rPr>
          <w:rFonts w:ascii="Times New Roman" w:hAnsi="Times New Roman"/>
          <w:sz w:val="20"/>
          <w:u w:val="single"/>
        </w:rPr>
        <w:t> </w:t>
      </w:r>
      <w:r>
        <w:rPr>
          <w:rFonts w:ascii="Times New Roman" w:hAnsi="Times New Roman"/>
          <w:b/>
          <w:sz w:val="20"/>
          <w:u w:val="single"/>
        </w:rPr>
        <w:t>30, 2026.</w:t>
      </w:r>
      <w:r>
        <w:rPr>
          <w:rFonts w:ascii="Times New Roman" w:hAnsi="Times New Roman"/>
          <w:sz w:val="20"/>
        </w:rPr>
        <w:t xml:space="preserve"> Based on </w:t>
      </w:r>
      <w:r>
        <w:rPr>
          <w:rFonts w:ascii="Times New Roman" w:hAnsi="Times New Roman"/>
          <w:b/>
          <w:sz w:val="20"/>
          <w:u w:val="single"/>
        </w:rPr>
        <w:t>(i)</w:t>
      </w:r>
      <w:r>
        <w:rPr>
          <w:rFonts w:ascii="Times New Roman" w:hAnsi="Times New Roman"/>
          <w:sz w:val="20"/>
        </w:rPr>
        <w:t xml:space="preserve"> the </w:t>
      </w:r>
      <w:r>
        <w:rPr>
          <w:rFonts w:ascii="Times New Roman" w:hAnsi="Times New Roman"/>
          <w:strike/>
          <w:sz w:val="20"/>
        </w:rPr>
        <w:t>number of</w:t>
      </w:r>
      <w:r>
        <w:rPr>
          <w:rFonts w:ascii="Times New Roman" w:hAnsi="Times New Roman"/>
          <w:sz w:val="20"/>
        </w:rPr>
        <w:t xml:space="preserve"> fully diluted shares of Company common stock</w:t>
      </w:r>
      <w:r>
        <w:rPr>
          <w:rFonts w:ascii="Times New Roman" w:hAnsi="Times New Roman"/>
          <w:strike/>
          <w:sz w:val="20"/>
        </w:rPr>
        <w:t>,</w:t>
      </w:r>
      <w:r>
        <w:rPr>
          <w:rFonts w:ascii="Times New Roman" w:hAnsi="Times New Roman"/>
          <w:sz w:val="20"/>
          <w:u w:val="single"/>
        </w:rPr>
        <w:t xml:space="preserve"> </w:t>
      </w:r>
      <w:r>
        <w:rPr>
          <w:rFonts w:ascii="Times New Roman" w:hAnsi="Times New Roman"/>
          <w:b/>
          <w:sz w:val="20"/>
          <w:u w:val="single"/>
        </w:rPr>
        <w:t>outstanding</w:t>
      </w:r>
      <w:r>
        <w:rPr>
          <w:rFonts w:ascii="Times New Roman" w:hAnsi="Times New Roman"/>
          <w:sz w:val="20"/>
        </w:rPr>
        <w:t xml:space="preserve"> as of July 30, 2026</w:t>
      </w:r>
      <w:r>
        <w:rPr>
          <w:rFonts w:ascii="Times New Roman" w:hAnsi="Times New Roman"/>
          <w:strike/>
          <w:sz w:val="20"/>
        </w:rPr>
        <w:t xml:space="preserve"> and</w:t>
      </w:r>
      <w:r>
        <w:rPr>
          <w:rFonts w:ascii="Times New Roman" w:hAnsi="Times New Roman"/>
          <w:b/>
          <w:sz w:val="20"/>
          <w:u w:val="single"/>
        </w:rPr>
        <w:t>,</w:t>
      </w:r>
      <w:r>
        <w:rPr>
          <w:rFonts w:ascii="Times New Roman" w:hAnsi="Times New Roman"/>
          <w:sz w:val="20"/>
        </w:rPr>
        <w:t xml:space="preserve"> calculated using the treasury stock method, and </w:t>
      </w:r>
      <w:r>
        <w:rPr>
          <w:rFonts w:ascii="Times New Roman" w:hAnsi="Times New Roman"/>
          <w:b/>
          <w:sz w:val="20"/>
          <w:u w:val="single"/>
        </w:rPr>
        <w:t>(ii)</w:t>
      </w:r>
      <w:r>
        <w:rPr>
          <w:rFonts w:ascii="Times New Roman" w:hAnsi="Times New Roman"/>
          <w:sz w:val="20"/>
        </w:rPr>
        <w:t xml:space="preserve"> the </w:t>
      </w:r>
      <w:r>
        <w:rPr>
          <w:rFonts w:ascii="Times New Roman" w:hAnsi="Times New Roman"/>
          <w:b/>
          <w:sz w:val="20"/>
          <w:u w:val="single"/>
        </w:rPr>
        <w:t xml:space="preserve">Company’s </w:t>
      </w:r>
      <w:r>
        <w:rPr>
          <w:rFonts w:ascii="Times New Roman" w:hAnsi="Times New Roman"/>
          <w:sz w:val="20"/>
        </w:rPr>
        <w:t xml:space="preserve">net debt </w:t>
      </w:r>
      <w:r>
        <w:rPr>
          <w:rFonts w:ascii="Times New Roman" w:hAnsi="Times New Roman"/>
          <w:b/>
          <w:sz w:val="20"/>
          <w:u w:val="single"/>
        </w:rPr>
        <w:t>as of June</w:t>
      </w:r>
      <w:r>
        <w:rPr>
          <w:rFonts w:ascii="Times New Roman" w:hAnsi="Times New Roman"/>
          <w:sz w:val="20"/>
          <w:u w:val="single"/>
        </w:rPr>
        <w:t> </w:t>
      </w:r>
      <w:r>
        <w:rPr>
          <w:rFonts w:ascii="Times New Roman" w:hAnsi="Times New Roman"/>
          <w:b/>
          <w:sz w:val="20"/>
          <w:u w:val="single"/>
        </w:rPr>
        <w:t>30, 2026, consisting of convertible debt of $575</w:t>
      </w:r>
      <w:r>
        <w:rPr>
          <w:rFonts w:ascii="Times New Roman" w:hAnsi="Times New Roman"/>
          <w:sz w:val="20"/>
          <w:u w:val="single"/>
        </w:rPr>
        <w:t> </w:t>
      </w:r>
      <w:r>
        <w:rPr>
          <w:rFonts w:ascii="Times New Roman" w:hAnsi="Times New Roman"/>
          <w:b/>
          <w:sz w:val="20"/>
          <w:u w:val="single"/>
        </w:rPr>
        <w:t xml:space="preserve">million, </w:t>
      </w:r>
      <w:r>
        <w:rPr>
          <w:rFonts w:ascii="Times New Roman" w:hAnsi="Times New Roman"/>
          <w:strike/>
          <w:sz w:val="20"/>
        </w:rPr>
        <w:t>including</w:t>
      </w:r>
      <w:r>
        <w:rPr>
          <w:rFonts w:ascii="Times New Roman" w:hAnsi="Times New Roman"/>
          <w:sz w:val="20"/>
        </w:rPr>
        <w:t xml:space="preserve"> the in-the-money portion of the Company’s convertible senior notes, the net present value of the Company’s net operating losses</w:t>
      </w:r>
      <w:r>
        <w:rPr>
          <w:rFonts w:ascii="Times New Roman" w:hAnsi="Times New Roman"/>
          <w:sz w:val="20"/>
          <w:u w:val="single"/>
        </w:rPr>
        <w:t xml:space="preserve"> </w:t>
      </w:r>
      <w:r>
        <w:rPr>
          <w:rFonts w:ascii="Times New Roman" w:hAnsi="Times New Roman"/>
          <w:b/>
          <w:sz w:val="20"/>
          <w:u w:val="single"/>
        </w:rPr>
        <w:t>of $29</w:t>
      </w:r>
      <w:r>
        <w:rPr>
          <w:rFonts w:ascii="Times New Roman" w:hAnsi="Times New Roman"/>
          <w:sz w:val="20"/>
          <w:u w:val="single"/>
        </w:rPr>
        <w:t> </w:t>
      </w:r>
      <w:r>
        <w:rPr>
          <w:rFonts w:ascii="Times New Roman" w:hAnsi="Times New Roman"/>
          <w:b/>
          <w:sz w:val="20"/>
          <w:u w:val="single"/>
        </w:rPr>
        <w:t>million</w:t>
      </w:r>
      <w:r>
        <w:rPr>
          <w:rFonts w:ascii="Times New Roman" w:hAnsi="Times New Roman"/>
          <w:sz w:val="20"/>
        </w:rPr>
        <w:t xml:space="preserve">, contingent consideration </w:t>
      </w:r>
      <w:r>
        <w:rPr>
          <w:rFonts w:ascii="Times New Roman" w:hAnsi="Times New Roman"/>
          <w:b/>
          <w:sz w:val="20"/>
          <w:u w:val="single"/>
        </w:rPr>
        <w:t>of $73</w:t>
      </w:r>
      <w:r>
        <w:rPr>
          <w:rFonts w:ascii="Times New Roman" w:hAnsi="Times New Roman"/>
          <w:sz w:val="20"/>
          <w:u w:val="single"/>
        </w:rPr>
        <w:t> </w:t>
      </w:r>
      <w:r>
        <w:rPr>
          <w:rFonts w:ascii="Times New Roman" w:hAnsi="Times New Roman"/>
          <w:b/>
          <w:sz w:val="20"/>
          <w:u w:val="single"/>
        </w:rPr>
        <w:t xml:space="preserve">million </w:t>
      </w:r>
      <w:r>
        <w:rPr>
          <w:rFonts w:ascii="Times New Roman" w:hAnsi="Times New Roman"/>
          <w:sz w:val="20"/>
        </w:rPr>
        <w:t xml:space="preserve">and equity investments of the Company </w:t>
      </w:r>
      <w:r>
        <w:rPr>
          <w:rFonts w:ascii="Times New Roman" w:hAnsi="Times New Roman"/>
          <w:strike/>
          <w:sz w:val="20"/>
        </w:rPr>
        <w:t>as of June 30, 2026</w:t>
      </w:r>
      <w:r>
        <w:rPr>
          <w:rFonts w:ascii="Times New Roman" w:hAnsi="Times New Roman"/>
          <w:sz w:val="20"/>
          <w:u w:val="single"/>
        </w:rPr>
        <w:t xml:space="preserve"> </w:t>
      </w:r>
      <w:r>
        <w:rPr>
          <w:rFonts w:ascii="Times New Roman" w:hAnsi="Times New Roman"/>
          <w:b/>
          <w:sz w:val="20"/>
          <w:u w:val="single"/>
        </w:rPr>
        <w:t>of $39</w:t>
      </w:r>
      <w:r>
        <w:rPr>
          <w:rFonts w:ascii="Times New Roman" w:hAnsi="Times New Roman"/>
          <w:sz w:val="20"/>
          <w:u w:val="single"/>
        </w:rPr>
        <w:t> </w:t>
      </w:r>
      <w:r>
        <w:rPr>
          <w:rFonts w:ascii="Times New Roman" w:hAnsi="Times New Roman"/>
          <w:b/>
          <w:sz w:val="20"/>
          <w:u w:val="single"/>
        </w:rPr>
        <w:t>million, and cash and cash equivalents of the Company of $593</w:t>
      </w:r>
      <w:r>
        <w:rPr>
          <w:rFonts w:ascii="Times New Roman" w:hAnsi="Times New Roman"/>
          <w:sz w:val="20"/>
          <w:u w:val="single"/>
        </w:rPr>
        <w:t> </w:t>
      </w:r>
      <w:r>
        <w:rPr>
          <w:rFonts w:ascii="Times New Roman" w:hAnsi="Times New Roman"/>
          <w:b/>
          <w:sz w:val="20"/>
          <w:u w:val="single"/>
        </w:rPr>
        <w:t>million</w:t>
      </w:r>
      <w:r>
        <w:rPr>
          <w:rFonts w:ascii="Times New Roman" w:hAnsi="Times New Roman"/>
          <w:sz w:val="20"/>
        </w:rPr>
        <w:t xml:space="preserve">, in each case, as provided by the management of the Company, Morgan Stanley’s analysis resulted in an implied value per share of Company common stock of $88.10 to $118.60, rounded to the nearest $0.05. Morgan Stanley compared this range to the consideration NPV.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The disclosure on page 66 of the Definitive Proxy Statement under the section titled “</w:t>
            </w:r>
            <w:r>
              <w:rPr>
                <w:rFonts w:ascii="Times New Roman" w:hAnsi="Times New Roman"/>
                <w:b/>
                <w:i/>
                <w:sz w:val="20"/>
              </w:rPr>
              <w:t>The Merger – Opinion of the Company’s Financial Advisor</w:t>
            </w:r>
            <w:r>
              <w:rPr>
                <w:rFonts w:ascii="Times New Roman" w:hAnsi="Times New Roman"/>
                <w:sz w:val="20"/>
              </w:rPr>
              <w:t xml:space="preserve">” </w:t>
            </w:r>
            <w:r>
              <w:rPr>
                <w:rFonts w:ascii="Times New Roman" w:hAnsi="Times New Roman"/>
                <w:b/>
                <w:sz w:val="20"/>
              </w:rPr>
              <w:t>is hereby supplemented by replacing the third and fourth paragraphs under the heading “</w:t>
            </w:r>
            <w:r>
              <w:rPr>
                <w:rFonts w:ascii="Times New Roman" w:hAnsi="Times New Roman"/>
                <w:b/>
                <w:i/>
                <w:sz w:val="20"/>
              </w:rPr>
              <w:t>Publicly Traded Companies Analysis</w:t>
            </w:r>
            <w:r>
              <w:rPr>
                <w:rFonts w:ascii="Times New Roman" w:hAnsi="Times New Roman"/>
                <w:sz w:val="20"/>
              </w:rPr>
              <w:t xml:space="preserve">” </w:t>
            </w:r>
            <w:r>
              <w:rPr>
                <w:rFonts w:ascii="Times New Roman" w:hAnsi="Times New Roman"/>
                <w:b/>
                <w:sz w:val="20"/>
              </w:rPr>
              <w:t>with the following:</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Publicly Traded Companies Analysis </w:t>
      </w:r>
    </w:p>
    <w:p>
      <w:pPr>
        <w:pStyle w:val="TextBody"/>
        <w:bidi w:val="0"/>
        <w:spacing w:before="120" w:after="0"/>
        <w:jc w:val="left"/>
        <w:rPr>
          <w:rFonts w:ascii="Times New Roman" w:hAnsi="Times New Roman"/>
          <w:sz w:val="20"/>
        </w:rPr>
      </w:pPr>
      <w:r>
        <w:rPr>
          <w:rFonts w:ascii="Times New Roman" w:hAnsi="Times New Roman"/>
          <w:sz w:val="20"/>
        </w:rPr>
        <w:t>The multiples for each of the comparable companies were calculated using their respective closing prices on July 31, 2026, the last trading day prior to delivery of Morgan Stanley’s opinion, and were based on the most recent publicly available information as of such date.</w:t>
      </w:r>
      <w:r>
        <w:rPr>
          <w:rFonts w:ascii="Times New Roman" w:hAnsi="Times New Roman"/>
          <w:sz w:val="20"/>
          <w:u w:val="single"/>
        </w:rPr>
        <w:t xml:space="preserve"> </w:t>
      </w:r>
      <w:r>
        <w:rPr>
          <w:rFonts w:ascii="Times New Roman" w:hAnsi="Times New Roman"/>
          <w:b/>
          <w:sz w:val="20"/>
          <w:u w:val="single"/>
        </w:rPr>
        <w:t>The 25th percentile, mean, median, and 75th percentile observed for the comparable companies were as follows:</w:t>
      </w:r>
      <w:r>
        <w:rPr>
          <w:rFonts w:ascii="Times New Roman" w:hAnsi="Times New Roman"/>
          <w:sz w:val="20"/>
        </w:rPr>
        <w:t xml:space="preserve"> </w:t>
      </w:r>
    </w:p>
    <w:p>
      <w:pPr>
        <w:pStyle w:val="TextBody"/>
        <w:bidi w:val="0"/>
        <w:spacing w:before="0" w:after="0"/>
        <w:jc w:val="left"/>
        <w:rPr/>
      </w:pPr>
      <w:r>
        <w:rPr/>
        <w:t> </w:t>
      </w:r>
    </w:p>
    <w:tbl>
      <w:tblPr>
        <w:tblW w:w="3000" w:type="pct"/>
        <w:jc w:val="center"/>
        <w:tblInd w:w="0" w:type="dxa"/>
        <w:tblLayout w:type="fixed"/>
        <w:tblCellMar>
          <w:top w:w="0" w:type="dxa"/>
          <w:left w:w="0" w:type="dxa"/>
          <w:bottom w:w="0" w:type="dxa"/>
          <w:right w:w="0" w:type="dxa"/>
        </w:tblCellMar>
      </w:tblPr>
      <w:tblGrid>
        <w:gridCol w:w="3092"/>
        <w:gridCol w:w="61"/>
        <w:gridCol w:w="2970"/>
      </w:tblGrid>
      <w:tr>
        <w:trPr/>
        <w:tc>
          <w:tcPr>
            <w:tcW w:w="309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r>
      <w:tr>
        <w:trPr/>
        <w:tc>
          <w:tcPr>
            <w:tcW w:w="3092" w:type="dxa"/>
            <w:tcBorders/>
          </w:tcPr>
          <w:p>
            <w:pPr>
              <w:pStyle w:val="TableContents"/>
              <w:bidi w:val="0"/>
              <w:spacing w:before="0" w:after="283"/>
              <w:jc w:val="center"/>
              <w:rPr>
                <w:b/>
                <w:u w:val="single"/>
              </w:rPr>
            </w:pPr>
            <w:r>
              <w:rPr>
                <w:b/>
                <w:u w:val="single"/>
              </w:rPr>
              <w:t>25th Percentile</w:t>
            </w:r>
          </w:p>
        </w:tc>
        <w:tc>
          <w:tcPr>
            <w:tcW w:w="61" w:type="dxa"/>
            <w:tcBorders/>
            <w:vAlign w:val="bottom"/>
          </w:tcPr>
          <w:p>
            <w:pPr>
              <w:pStyle w:val="TableContents"/>
              <w:bidi w:val="0"/>
              <w:spacing w:before="0" w:after="283"/>
              <w:jc w:val="left"/>
              <w:rPr/>
            </w:pPr>
            <w:r>
              <w:rPr/>
              <w:t> </w:t>
            </w:r>
          </w:p>
        </w:tc>
        <w:tc>
          <w:tcPr>
            <w:tcW w:w="2970" w:type="dxa"/>
            <w:tcBorders/>
            <w:vAlign w:val="bottom"/>
          </w:tcPr>
          <w:p>
            <w:pPr>
              <w:pStyle w:val="TableContents"/>
              <w:bidi w:val="0"/>
              <w:spacing w:before="0" w:after="283"/>
              <w:jc w:val="center"/>
              <w:rPr>
                <w:b/>
                <w:u w:val="single"/>
              </w:rPr>
            </w:pPr>
            <w:r>
              <w:rPr>
                <w:b/>
                <w:u w:val="single"/>
              </w:rPr>
              <w:t>7.9x</w:t>
            </w:r>
          </w:p>
        </w:tc>
      </w:tr>
      <w:tr>
        <w:trPr/>
        <w:tc>
          <w:tcPr>
            <w:tcW w:w="3092" w:type="dxa"/>
            <w:tcBorders/>
          </w:tcPr>
          <w:p>
            <w:pPr>
              <w:pStyle w:val="TableContents"/>
              <w:bidi w:val="0"/>
              <w:spacing w:before="0" w:after="283"/>
              <w:jc w:val="center"/>
              <w:rPr>
                <w:b/>
                <w:u w:val="single"/>
              </w:rPr>
            </w:pPr>
            <w:r>
              <w:rPr>
                <w:b/>
                <w:u w:val="single"/>
              </w:rPr>
              <w:t>Mean</w:t>
            </w:r>
          </w:p>
        </w:tc>
        <w:tc>
          <w:tcPr>
            <w:tcW w:w="61" w:type="dxa"/>
            <w:tcBorders/>
            <w:vAlign w:val="bottom"/>
          </w:tcPr>
          <w:p>
            <w:pPr>
              <w:pStyle w:val="TableContents"/>
              <w:bidi w:val="0"/>
              <w:spacing w:before="0" w:after="283"/>
              <w:jc w:val="left"/>
              <w:rPr/>
            </w:pPr>
            <w:r>
              <w:rPr/>
              <w:t> </w:t>
            </w:r>
          </w:p>
        </w:tc>
        <w:tc>
          <w:tcPr>
            <w:tcW w:w="2970" w:type="dxa"/>
            <w:tcBorders/>
            <w:vAlign w:val="bottom"/>
          </w:tcPr>
          <w:p>
            <w:pPr>
              <w:pStyle w:val="TableContents"/>
              <w:bidi w:val="0"/>
              <w:spacing w:before="0" w:after="283"/>
              <w:jc w:val="center"/>
              <w:rPr>
                <w:b/>
                <w:u w:val="single"/>
              </w:rPr>
            </w:pPr>
            <w:r>
              <w:rPr>
                <w:b/>
                <w:u w:val="single"/>
              </w:rPr>
              <w:t>9.1x</w:t>
            </w:r>
          </w:p>
        </w:tc>
      </w:tr>
      <w:tr>
        <w:trPr/>
        <w:tc>
          <w:tcPr>
            <w:tcW w:w="3092" w:type="dxa"/>
            <w:tcBorders/>
          </w:tcPr>
          <w:p>
            <w:pPr>
              <w:pStyle w:val="TableContents"/>
              <w:bidi w:val="0"/>
              <w:spacing w:before="0" w:after="283"/>
              <w:jc w:val="center"/>
              <w:rPr>
                <w:b/>
                <w:u w:val="single"/>
              </w:rPr>
            </w:pPr>
            <w:r>
              <w:rPr>
                <w:b/>
                <w:u w:val="single"/>
              </w:rPr>
              <w:t>Median</w:t>
            </w:r>
          </w:p>
        </w:tc>
        <w:tc>
          <w:tcPr>
            <w:tcW w:w="61" w:type="dxa"/>
            <w:tcBorders/>
            <w:vAlign w:val="bottom"/>
          </w:tcPr>
          <w:p>
            <w:pPr>
              <w:pStyle w:val="TableContents"/>
              <w:bidi w:val="0"/>
              <w:spacing w:before="0" w:after="283"/>
              <w:jc w:val="left"/>
              <w:rPr/>
            </w:pPr>
            <w:r>
              <w:rPr/>
              <w:t> </w:t>
            </w:r>
          </w:p>
        </w:tc>
        <w:tc>
          <w:tcPr>
            <w:tcW w:w="2970" w:type="dxa"/>
            <w:tcBorders/>
            <w:vAlign w:val="bottom"/>
          </w:tcPr>
          <w:p>
            <w:pPr>
              <w:pStyle w:val="TableContents"/>
              <w:bidi w:val="0"/>
              <w:spacing w:before="0" w:after="283"/>
              <w:jc w:val="center"/>
              <w:rPr>
                <w:b/>
                <w:u w:val="single"/>
              </w:rPr>
            </w:pPr>
            <w:r>
              <w:rPr>
                <w:b/>
                <w:u w:val="single"/>
              </w:rPr>
              <w:t>8.8x</w:t>
            </w:r>
          </w:p>
        </w:tc>
      </w:tr>
      <w:tr>
        <w:trPr/>
        <w:tc>
          <w:tcPr>
            <w:tcW w:w="3092" w:type="dxa"/>
            <w:tcBorders/>
          </w:tcPr>
          <w:p>
            <w:pPr>
              <w:pStyle w:val="TableContents"/>
              <w:bidi w:val="0"/>
              <w:spacing w:before="0" w:after="283"/>
              <w:jc w:val="center"/>
              <w:rPr>
                <w:b/>
                <w:u w:val="single"/>
              </w:rPr>
            </w:pPr>
            <w:r>
              <w:rPr>
                <w:b/>
                <w:u w:val="single"/>
              </w:rPr>
              <w:t>75th Percentile</w:t>
            </w:r>
          </w:p>
        </w:tc>
        <w:tc>
          <w:tcPr>
            <w:tcW w:w="61" w:type="dxa"/>
            <w:tcBorders/>
            <w:vAlign w:val="bottom"/>
          </w:tcPr>
          <w:p>
            <w:pPr>
              <w:pStyle w:val="TableContents"/>
              <w:bidi w:val="0"/>
              <w:spacing w:before="0" w:after="283"/>
              <w:jc w:val="left"/>
              <w:rPr/>
            </w:pPr>
            <w:r>
              <w:rPr/>
              <w:t> </w:t>
            </w:r>
          </w:p>
        </w:tc>
        <w:tc>
          <w:tcPr>
            <w:tcW w:w="2970" w:type="dxa"/>
            <w:tcBorders/>
            <w:vAlign w:val="bottom"/>
          </w:tcPr>
          <w:p>
            <w:pPr>
              <w:pStyle w:val="TableContents"/>
              <w:bidi w:val="0"/>
              <w:spacing w:before="0" w:after="283"/>
              <w:jc w:val="center"/>
              <w:rPr>
                <w:b/>
                <w:u w:val="single"/>
              </w:rPr>
            </w:pPr>
            <w:r>
              <w:rPr>
                <w:b/>
                <w:u w:val="single"/>
              </w:rPr>
              <w:t>10.5x</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Based on its analysis of the relevant metrics for each of the comparable companies and for the Company, and the application of its professional judgment and experience, Morgan Stanley selected a reference range of AV/ Adjusted EBITDA multiples for estimated fiscal year 2026 of 7.9x to 10.5x. Morgan Stanley applied the selected reference range to the Company’s estimated Adjusted EBITDA for fiscal year 2026, as set forth in the financial forecasts. Based on </w:t>
      </w:r>
      <w:r>
        <w:rPr>
          <w:rFonts w:ascii="Times New Roman" w:hAnsi="Times New Roman"/>
          <w:strike/>
          <w:sz w:val="20"/>
        </w:rPr>
        <w:t>the number of</w:t>
      </w:r>
      <w:r>
        <w:rPr>
          <w:rFonts w:ascii="Times New Roman" w:hAnsi="Times New Roman"/>
          <w:sz w:val="20"/>
        </w:rPr>
        <w:t xml:space="preserve"> </w:t>
      </w:r>
      <w:r>
        <w:rPr>
          <w:rFonts w:ascii="Times New Roman" w:hAnsi="Times New Roman"/>
          <w:b/>
          <w:sz w:val="20"/>
          <w:u w:val="single"/>
        </w:rPr>
        <w:t>(i) 68.2</w:t>
      </w:r>
      <w:r>
        <w:rPr>
          <w:rFonts w:ascii="Times New Roman" w:hAnsi="Times New Roman"/>
          <w:sz w:val="20"/>
          <w:u w:val="single"/>
        </w:rPr>
        <w:t> </w:t>
      </w:r>
      <w:r>
        <w:rPr>
          <w:rFonts w:ascii="Times New Roman" w:hAnsi="Times New Roman"/>
          <w:b/>
          <w:sz w:val="20"/>
          <w:u w:val="single"/>
        </w:rPr>
        <w:t xml:space="preserve">million fully diluted </w:t>
      </w:r>
      <w:r>
        <w:rPr>
          <w:rFonts w:ascii="Times New Roman" w:hAnsi="Times New Roman"/>
          <w:sz w:val="20"/>
        </w:rPr>
        <w:t>shares of Company common stock</w:t>
      </w:r>
      <w:r>
        <w:rPr>
          <w:rFonts w:ascii="Times New Roman" w:hAnsi="Times New Roman"/>
          <w:strike/>
          <w:sz w:val="20"/>
        </w:rPr>
        <w:t>, on a fully diluted basis,</w:t>
      </w:r>
      <w:r>
        <w:rPr>
          <w:rFonts w:ascii="Times New Roman" w:hAnsi="Times New Roman"/>
          <w:sz w:val="20"/>
          <w:u w:val="single"/>
        </w:rPr>
        <w:t xml:space="preserve"> </w:t>
      </w:r>
      <w:r>
        <w:rPr>
          <w:rFonts w:ascii="Times New Roman" w:hAnsi="Times New Roman"/>
          <w:b/>
          <w:sz w:val="20"/>
          <w:u w:val="single"/>
        </w:rPr>
        <w:t>outstanding</w:t>
      </w:r>
      <w:r>
        <w:rPr>
          <w:rFonts w:ascii="Times New Roman" w:hAnsi="Times New Roman"/>
          <w:sz w:val="20"/>
        </w:rPr>
        <w:t xml:space="preserve"> as of July 30, 2026</w:t>
      </w:r>
      <w:r>
        <w:rPr>
          <w:rFonts w:ascii="Times New Roman" w:hAnsi="Times New Roman"/>
          <w:strike/>
          <w:sz w:val="20"/>
        </w:rPr>
        <w:t xml:space="preserve"> and</w:t>
      </w:r>
      <w:r>
        <w:rPr>
          <w:rFonts w:ascii="Times New Roman" w:hAnsi="Times New Roman"/>
          <w:b/>
          <w:sz w:val="20"/>
          <w:u w:val="single"/>
        </w:rPr>
        <w:t>,</w:t>
      </w:r>
      <w:r>
        <w:rPr>
          <w:rFonts w:ascii="Times New Roman" w:hAnsi="Times New Roman"/>
          <w:sz w:val="20"/>
        </w:rPr>
        <w:t xml:space="preserve"> calculated using the treasury stock method, and </w:t>
      </w:r>
      <w:r>
        <w:rPr>
          <w:rFonts w:ascii="Times New Roman" w:hAnsi="Times New Roman"/>
          <w:b/>
          <w:sz w:val="20"/>
          <w:u w:val="single"/>
        </w:rPr>
        <w:t>(ii)</w:t>
      </w:r>
      <w:r>
        <w:rPr>
          <w:rFonts w:ascii="Times New Roman" w:hAnsi="Times New Roman"/>
          <w:sz w:val="20"/>
        </w:rPr>
        <w:t xml:space="preserve"> the </w:t>
      </w:r>
      <w:r>
        <w:rPr>
          <w:rFonts w:ascii="Times New Roman" w:hAnsi="Times New Roman"/>
          <w:b/>
          <w:sz w:val="20"/>
          <w:u w:val="single"/>
        </w:rPr>
        <w:t xml:space="preserve">Company’s </w:t>
      </w:r>
      <w:r>
        <w:rPr>
          <w:rFonts w:ascii="Times New Roman" w:hAnsi="Times New Roman"/>
          <w:sz w:val="20"/>
        </w:rPr>
        <w:t xml:space="preserve">net debt </w:t>
      </w:r>
      <w:r>
        <w:rPr>
          <w:rFonts w:ascii="Times New Roman" w:hAnsi="Times New Roman"/>
          <w:b/>
          <w:sz w:val="20"/>
          <w:u w:val="single"/>
        </w:rPr>
        <w:t>as of June</w:t>
      </w:r>
      <w:r>
        <w:rPr>
          <w:rFonts w:ascii="Times New Roman" w:hAnsi="Times New Roman"/>
          <w:sz w:val="20"/>
          <w:u w:val="single"/>
        </w:rPr>
        <w:t> </w:t>
      </w:r>
      <w:r>
        <w:rPr>
          <w:rFonts w:ascii="Times New Roman" w:hAnsi="Times New Roman"/>
          <w:b/>
          <w:sz w:val="20"/>
          <w:u w:val="single"/>
        </w:rPr>
        <w:t>30, 2026, consisting of convertible debt of $575</w:t>
      </w:r>
      <w:r>
        <w:rPr>
          <w:rFonts w:ascii="Times New Roman" w:hAnsi="Times New Roman"/>
          <w:sz w:val="20"/>
          <w:u w:val="single"/>
        </w:rPr>
        <w:t> </w:t>
      </w:r>
      <w:r>
        <w:rPr>
          <w:rFonts w:ascii="Times New Roman" w:hAnsi="Times New Roman"/>
          <w:b/>
          <w:sz w:val="20"/>
          <w:u w:val="single"/>
        </w:rPr>
        <w:t xml:space="preserve">million, </w:t>
      </w:r>
      <w:r>
        <w:rPr>
          <w:rFonts w:ascii="Times New Roman" w:hAnsi="Times New Roman"/>
          <w:strike/>
          <w:sz w:val="20"/>
        </w:rPr>
        <w:t>including</w:t>
      </w:r>
      <w:r>
        <w:rPr>
          <w:rFonts w:ascii="Times New Roman" w:hAnsi="Times New Roman"/>
          <w:sz w:val="20"/>
        </w:rPr>
        <w:t xml:space="preserve"> the in-the-money portion of the Company’s convertible senior notes, the net present value of the Company’s net operating losses</w:t>
      </w:r>
      <w:r>
        <w:rPr>
          <w:rFonts w:ascii="Times New Roman" w:hAnsi="Times New Roman"/>
          <w:sz w:val="20"/>
          <w:u w:val="single"/>
        </w:rPr>
        <w:t xml:space="preserve"> </w:t>
      </w:r>
      <w:r>
        <w:rPr>
          <w:rFonts w:ascii="Times New Roman" w:hAnsi="Times New Roman"/>
          <w:b/>
          <w:sz w:val="20"/>
          <w:u w:val="single"/>
        </w:rPr>
        <w:t>of $29</w:t>
      </w:r>
      <w:r>
        <w:rPr>
          <w:rFonts w:ascii="Times New Roman" w:hAnsi="Times New Roman"/>
          <w:sz w:val="20"/>
          <w:u w:val="single"/>
        </w:rPr>
        <w:t> </w:t>
      </w:r>
      <w:r>
        <w:rPr>
          <w:rFonts w:ascii="Times New Roman" w:hAnsi="Times New Roman"/>
          <w:b/>
          <w:sz w:val="20"/>
          <w:u w:val="single"/>
        </w:rPr>
        <w:t>million</w:t>
      </w:r>
      <w:r>
        <w:rPr>
          <w:rFonts w:ascii="Times New Roman" w:hAnsi="Times New Roman"/>
          <w:sz w:val="20"/>
        </w:rPr>
        <w:t xml:space="preserve">, contingent consideration </w:t>
      </w:r>
      <w:r>
        <w:rPr>
          <w:rFonts w:ascii="Times New Roman" w:hAnsi="Times New Roman"/>
          <w:b/>
          <w:sz w:val="20"/>
          <w:u w:val="single"/>
        </w:rPr>
        <w:t>of $73</w:t>
      </w:r>
      <w:r>
        <w:rPr>
          <w:rFonts w:ascii="Times New Roman" w:hAnsi="Times New Roman"/>
          <w:sz w:val="20"/>
          <w:u w:val="single"/>
        </w:rPr>
        <w:t> </w:t>
      </w:r>
      <w:r>
        <w:rPr>
          <w:rFonts w:ascii="Times New Roman" w:hAnsi="Times New Roman"/>
          <w:b/>
          <w:sz w:val="20"/>
          <w:u w:val="single"/>
        </w:rPr>
        <w:t xml:space="preserve">million </w:t>
      </w:r>
      <w:r>
        <w:rPr>
          <w:rFonts w:ascii="Times New Roman" w:hAnsi="Times New Roman"/>
          <w:sz w:val="20"/>
        </w:rPr>
        <w:t xml:space="preserve">and equity investments of the Company </w:t>
      </w:r>
      <w:r>
        <w:rPr>
          <w:rFonts w:ascii="Times New Roman" w:hAnsi="Times New Roman"/>
          <w:strike/>
          <w:sz w:val="20"/>
        </w:rPr>
        <w:t>as of June 30, 2026</w:t>
      </w:r>
      <w:r>
        <w:rPr>
          <w:rFonts w:ascii="Times New Roman" w:hAnsi="Times New Roman"/>
          <w:sz w:val="20"/>
          <w:u w:val="single"/>
        </w:rPr>
        <w:t xml:space="preserve"> </w:t>
      </w:r>
      <w:r>
        <w:rPr>
          <w:rFonts w:ascii="Times New Roman" w:hAnsi="Times New Roman"/>
          <w:b/>
          <w:sz w:val="20"/>
          <w:u w:val="single"/>
        </w:rPr>
        <w:t>of $39</w:t>
      </w:r>
      <w:r>
        <w:rPr>
          <w:rFonts w:ascii="Times New Roman" w:hAnsi="Times New Roman"/>
          <w:sz w:val="20"/>
          <w:u w:val="single"/>
        </w:rPr>
        <w:t> </w:t>
      </w:r>
      <w:r>
        <w:rPr>
          <w:rFonts w:ascii="Times New Roman" w:hAnsi="Times New Roman"/>
          <w:b/>
          <w:sz w:val="20"/>
          <w:u w:val="single"/>
        </w:rPr>
        <w:t>million, and cash and cash equivalents of the Company of $593</w:t>
      </w:r>
      <w:r>
        <w:rPr>
          <w:rFonts w:ascii="Times New Roman" w:hAnsi="Times New Roman"/>
          <w:sz w:val="20"/>
          <w:u w:val="single"/>
        </w:rPr>
        <w:t> </w:t>
      </w:r>
      <w:r>
        <w:rPr>
          <w:rFonts w:ascii="Times New Roman" w:hAnsi="Times New Roman"/>
          <w:b/>
          <w:sz w:val="20"/>
          <w:u w:val="single"/>
        </w:rPr>
        <w:t>million</w:t>
      </w:r>
      <w:r>
        <w:rPr>
          <w:rFonts w:ascii="Times New Roman" w:hAnsi="Times New Roman"/>
          <w:sz w:val="20"/>
        </w:rPr>
        <w:t xml:space="preserve">, in each case, as provided by the management of the Company, Morgan Stanley’s analysis resulted in an implied value per share of Company common stock of $63.85 to $84.20, rounded to the nearest $0.05. Morgan Stanley compared this range to the consideration NPV.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The disclosure on page 67 of the Definitive Proxy Statement under the section titled “</w:t>
            </w:r>
            <w:r>
              <w:rPr>
                <w:rFonts w:ascii="Times New Roman" w:hAnsi="Times New Roman"/>
                <w:b/>
                <w:i/>
                <w:sz w:val="20"/>
              </w:rPr>
              <w:t>The Merger – Opinion of the Company’s Financial Advisor</w:t>
            </w:r>
            <w:r>
              <w:rPr>
                <w:rFonts w:ascii="Times New Roman" w:hAnsi="Times New Roman"/>
                <w:sz w:val="20"/>
              </w:rPr>
              <w:t xml:space="preserve">” </w:t>
            </w:r>
            <w:r>
              <w:rPr>
                <w:rFonts w:ascii="Times New Roman" w:hAnsi="Times New Roman"/>
                <w:b/>
                <w:sz w:val="20"/>
              </w:rPr>
              <w:t>is hereby supplemented by replacing the first paragraph under the heading “</w:t>
            </w:r>
            <w:r>
              <w:rPr>
                <w:rFonts w:ascii="Times New Roman" w:hAnsi="Times New Roman"/>
                <w:b/>
                <w:i/>
                <w:sz w:val="20"/>
              </w:rPr>
              <w:t>Premia Paid Analysis</w:t>
            </w:r>
            <w:r>
              <w:rPr>
                <w:rFonts w:ascii="Times New Roman" w:hAnsi="Times New Roman"/>
                <w:sz w:val="20"/>
              </w:rPr>
              <w:t xml:space="preserve">” </w:t>
            </w:r>
            <w:r>
              <w:rPr>
                <w:rFonts w:ascii="Times New Roman" w:hAnsi="Times New Roman"/>
                <w:b/>
                <w:sz w:val="20"/>
              </w:rPr>
              <w:t>with the following:</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Premia Paid Analysis </w:t>
      </w:r>
    </w:p>
    <w:p>
      <w:pPr>
        <w:pStyle w:val="TextBody"/>
        <w:bidi w:val="0"/>
        <w:spacing w:before="120" w:after="0"/>
        <w:jc w:val="left"/>
        <w:rPr>
          <w:rFonts w:ascii="Times New Roman" w:hAnsi="Times New Roman"/>
          <w:sz w:val="20"/>
        </w:rPr>
      </w:pPr>
      <w:r>
        <w:rPr>
          <w:rFonts w:ascii="Times New Roman" w:hAnsi="Times New Roman"/>
          <w:sz w:val="20"/>
        </w:rPr>
        <w:t xml:space="preserve">For reference only, and not as a component of its fairness analysis, Morgan Stanley considered, based on publicly available information, transactions with </w:t>
      </w:r>
      <w:r>
        <w:rPr>
          <w:rFonts w:ascii="Times New Roman" w:hAnsi="Times New Roman"/>
          <w:b/>
          <w:sz w:val="20"/>
          <w:u w:val="single"/>
        </w:rPr>
        <w:t xml:space="preserve">24 </w:t>
      </w:r>
      <w:r>
        <w:rPr>
          <w:rFonts w:ascii="Times New Roman" w:hAnsi="Times New Roman"/>
          <w:sz w:val="20"/>
        </w:rPr>
        <w:t xml:space="preserve">public healthcare targets (excluding biotechnology and pharmaceutical transactions) between $4,000,000,000 and $20,000,000,000 in transaction value, paid in all-cash consideration since January 1, 2015. For these transactions, Morgan Stanley noted (i) the percentage premia paid over the price on the trading day prior to deal announcement (or, for transactions that were the subject of public speculation prior to deal announcement, the trading day prior to the first date of such public speculation) (referred to in this section of the proxy statement as “the unaffected trading date” and “the unaffected stock price”, respectively), (ii) percentage premia paid over the volume weighted average stock price (“VWAP”) over a thirty-trading day period ended on the unaffected date, (iii) percentage premia paid over the VWAP over a sixty-trading day period ended on the unaffected date and (iv) the percentage premia paid over the acquired company’s 52-week high price, for the period ended on the unaffected date, in each case, based on publicly available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The disclosure on page 67 of the Definitive Proxy Statement under the section titled “</w:t>
            </w:r>
            <w:r>
              <w:rPr>
                <w:rFonts w:ascii="Times New Roman" w:hAnsi="Times New Roman"/>
                <w:b/>
                <w:i/>
                <w:sz w:val="20"/>
              </w:rPr>
              <w:t>The Merger – Opinion of the Company’s Financial Advisor</w:t>
            </w:r>
            <w:r>
              <w:rPr>
                <w:rFonts w:ascii="Times New Roman" w:hAnsi="Times New Roman"/>
                <w:sz w:val="20"/>
              </w:rPr>
              <w:t xml:space="preserve">” </w:t>
            </w:r>
            <w:r>
              <w:rPr>
                <w:rFonts w:ascii="Times New Roman" w:hAnsi="Times New Roman"/>
                <w:b/>
                <w:sz w:val="20"/>
              </w:rPr>
              <w:t>is hereby supplemented by replacing the first paragraph under the heading “</w:t>
            </w:r>
            <w:r>
              <w:rPr>
                <w:rFonts w:ascii="Times New Roman" w:hAnsi="Times New Roman"/>
                <w:b/>
                <w:i/>
                <w:sz w:val="20"/>
              </w:rPr>
              <w:t>Analysts’ Price Targets</w:t>
            </w:r>
            <w:r>
              <w:rPr>
                <w:rFonts w:ascii="Times New Roman" w:hAnsi="Times New Roman"/>
                <w:sz w:val="20"/>
              </w:rPr>
              <w:t xml:space="preserve">” </w:t>
            </w:r>
            <w:r>
              <w:rPr>
                <w:rFonts w:ascii="Times New Roman" w:hAnsi="Times New Roman"/>
                <w:b/>
                <w:sz w:val="20"/>
              </w:rPr>
              <w:t>with the following:</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Analysts’ Price Targets </w:t>
      </w:r>
    </w:p>
    <w:p>
      <w:pPr>
        <w:pStyle w:val="TextBody"/>
        <w:bidi w:val="0"/>
        <w:spacing w:before="120" w:after="0"/>
        <w:jc w:val="left"/>
        <w:rPr>
          <w:rFonts w:ascii="Times New Roman" w:hAnsi="Times New Roman"/>
          <w:sz w:val="20"/>
        </w:rPr>
      </w:pPr>
      <w:r>
        <w:rPr>
          <w:rFonts w:ascii="Times New Roman" w:hAnsi="Times New Roman"/>
          <w:sz w:val="20"/>
        </w:rPr>
        <w:t xml:space="preserve">For reference only, and not as a component of its fairness analysis, Morgan Stanley reviewed and analyzed future public market trading price targets for the Company common stock that were prepared and published by </w:t>
      </w:r>
      <w:r>
        <w:rPr>
          <w:rFonts w:ascii="Times New Roman" w:hAnsi="Times New Roman"/>
          <w:b/>
          <w:sz w:val="20"/>
          <w:u w:val="single"/>
        </w:rPr>
        <w:t xml:space="preserve">14 </w:t>
      </w:r>
      <w:r>
        <w:rPr>
          <w:rFonts w:ascii="Times New Roman" w:hAnsi="Times New Roman"/>
          <w:sz w:val="20"/>
        </w:rPr>
        <w:t>equity research analysts on or before July 31, 2026</w:t>
      </w:r>
      <w:r>
        <w:rPr>
          <w:rFonts w:ascii="Times New Roman" w:hAnsi="Times New Roman"/>
          <w:strike/>
          <w:sz w:val="20"/>
        </w:rPr>
        <w:t>.</w:t>
      </w:r>
      <w:r>
        <w:rPr>
          <w:rFonts w:ascii="Times New Roman" w:hAnsi="Times New Roman"/>
          <w:b/>
          <w:sz w:val="20"/>
          <w:u w:val="single"/>
        </w:rPr>
        <w:t>, 12 of whom provided price targets.</w:t>
      </w:r>
      <w:r>
        <w:rPr>
          <w:rFonts w:ascii="Times New Roman" w:hAnsi="Times New Roman"/>
          <w:sz w:val="20"/>
        </w:rPr>
        <w:t xml:space="preserve"> These price targets reflect each analyst’s estimate of the future public market trading price of the Company common stock. The range of undiscounted analyst price targets was $98.00 to $129.00 per share of Company common stock.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The disclosure on page 69 of the Definitive Proxy Statement under the section titled “</w:t>
            </w:r>
            <w:r>
              <w:rPr>
                <w:rFonts w:ascii="Times New Roman" w:hAnsi="Times New Roman"/>
                <w:b/>
                <w:i/>
                <w:sz w:val="20"/>
              </w:rPr>
              <w:t>The Merger – Opinion of the Company’s Financial Advisor</w:t>
            </w:r>
            <w:r>
              <w:rPr>
                <w:rFonts w:ascii="Times New Roman" w:hAnsi="Times New Roman"/>
                <w:sz w:val="20"/>
              </w:rPr>
              <w:t xml:space="preserve">” </w:t>
            </w:r>
            <w:r>
              <w:rPr>
                <w:rFonts w:ascii="Times New Roman" w:hAnsi="Times New Roman"/>
                <w:b/>
                <w:sz w:val="20"/>
              </w:rPr>
              <w:t>is hereby supplemented by replacing the last paragraph under the heading “</w:t>
            </w:r>
            <w:r>
              <w:rPr>
                <w:rFonts w:ascii="Times New Roman" w:hAnsi="Times New Roman"/>
                <w:b/>
                <w:i/>
                <w:sz w:val="20"/>
              </w:rPr>
              <w:t>General</w:t>
            </w:r>
            <w:r>
              <w:rPr>
                <w:rFonts w:ascii="Times New Roman" w:hAnsi="Times New Roman"/>
                <w:sz w:val="20"/>
              </w:rPr>
              <w:t xml:space="preserve">” </w:t>
            </w:r>
            <w:r>
              <w:rPr>
                <w:rFonts w:ascii="Times New Roman" w:hAnsi="Times New Roman"/>
                <w:b/>
                <w:sz w:val="20"/>
              </w:rPr>
              <w:t>with the following:</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the two years prior to the date of Morgan Stanley’s opinion, Morgan Stanley has provided financial advisory services for the Company and has received fees of between $5,000,000 and $10,000,000 in connection with such services. In the two years prior to the date of Morgan Stanley’s opinion, Morgan Stanley has provided financial advisory and financing services to certain affiliates of CapVest and has received fees of between $5,000,000 and $10,000,000 in connection with such services. </w:t>
      </w:r>
      <w:r>
        <w:rPr>
          <w:rFonts w:ascii="Times New Roman" w:hAnsi="Times New Roman"/>
          <w:b/>
          <w:sz w:val="20"/>
          <w:u w:val="single"/>
        </w:rPr>
        <w:t>In the two years prior to the date of Morgan Stanley’s opinion, Morgan Stanley and its affiliates have not received any fees from Curium for financial advisory or financial services.</w:t>
      </w:r>
      <w:r>
        <w:rPr>
          <w:rFonts w:ascii="Times New Roman" w:hAnsi="Times New Roman"/>
          <w:sz w:val="20"/>
        </w:rPr>
        <w:t xml:space="preserve"> Morgan Stanley may also seek to provide financial advisory and financing services to the Company, Parent, CapVest and their respective affiliates in the future and would expect to receive fees for the rendering of these services. As of August 3, 2026, so far as Morgan Stanley was aware, Morgan Stanley held an aggregate interest of between 2% and 3% in Company common stock, which interests were held in connection with Morgan Stanley’s (i) investment management business, (ii) wealth management business, including client discretionary accounts, or (iii) ordinary course trading activities, including hedging activities.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The disclosure on page 84 of the Definitive Proxy Statement under the section titled “</w:t>
            </w:r>
            <w:r>
              <w:rPr>
                <w:rFonts w:ascii="Times New Roman" w:hAnsi="Times New Roman"/>
                <w:b/>
                <w:i/>
                <w:sz w:val="20"/>
              </w:rPr>
              <w:t>The Merger – Interests of the Company’s Directors and Executive Officers in the Merger</w:t>
            </w:r>
            <w:r>
              <w:rPr>
                <w:rFonts w:ascii="Times New Roman" w:hAnsi="Times New Roman"/>
                <w:sz w:val="20"/>
              </w:rPr>
              <w:t xml:space="preserve">” </w:t>
            </w:r>
            <w:r>
              <w:rPr>
                <w:rFonts w:ascii="Times New Roman" w:hAnsi="Times New Roman"/>
                <w:b/>
                <w:sz w:val="20"/>
              </w:rPr>
              <w:t>is hereby supplemented by replacing the first paragraph under the heading “</w:t>
            </w:r>
            <w:r>
              <w:rPr>
                <w:rFonts w:ascii="Times New Roman" w:hAnsi="Times New Roman"/>
                <w:b/>
                <w:i/>
                <w:sz w:val="20"/>
              </w:rPr>
              <w:t>Compensation Arrangements with Parent</w:t>
            </w:r>
            <w:r>
              <w:rPr>
                <w:rFonts w:ascii="Times New Roman" w:hAnsi="Times New Roman"/>
                <w:sz w:val="20"/>
              </w:rPr>
              <w:t xml:space="preserve">” </w:t>
            </w:r>
            <w:r>
              <w:rPr>
                <w:rFonts w:ascii="Times New Roman" w:hAnsi="Times New Roman"/>
                <w:b/>
                <w:sz w:val="20"/>
              </w:rPr>
              <w:t>with the following:</w:t>
            </w:r>
            <w:r>
              <w:rPr>
                <w:rFonts w:ascii="Times New Roman" w:hAnsi="Times New Roman"/>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Compensation Arrangements with Parent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none of the Company’s executive officers has discussed or entered into any agreement with Parent or its affiliates regarding employment with, or the right to purchase or participate in the equity of, Parent or one or more of its affiliates. Prior to or following the effective time, however, certain executive officers may discuss or enter into agreements with Parent or any of its affiliates regarding employment with, or the right to purchase or participate in the equity of, Parent or one or more of its affiliates. </w:t>
      </w:r>
      <w:r>
        <w:rPr>
          <w:rFonts w:ascii="Times New Roman" w:hAnsi="Times New Roman"/>
          <w:b/>
          <w:sz w:val="20"/>
          <w:u w:val="single"/>
        </w:rPr>
        <w:t>No proposals or indications of interest received from Parent discussed the retention of the Company’s executive officers or the purchase of or participation in the equity of Parent by the Company’s directors or executive officers following the consummation of the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the Company by Parent, the Company filed the Definitive Proxy Statement on September 8, 2026. This document is not a substitute for the Definitive Proxy Statement or any other document that may be filed by the Company with the SEC. THE COMPANY’S STOCKHOLDERS AND INVESTORS ARE URGED TO READ THE DEFINITIVE PROXY STATEMENT IN ITS ENTIRETY AND ANY OTHER DOCUMENTS FILED BY EACH OF PARENT AND THE COMPANY WITH THE SEC IN CONNECTION WITH THE MERGER OR INCORPORATED BY REFERENCE THEREIN BECAUSE THEY WILL CONTAIN IMPORTANT INFORMATION ABOUT THE MERGER AND THE PARTIES TO THE MERGER. Investors and security holders are able to obtain a free copy of the Definitive Proxy Statement and such other documents containing important information about the Company and Parent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Merger. Information regarding the Company’s directors and executive officers is contained in the Definitive Proxy Statement. To the extent holdings of the Company’s securities by its directors or executive officers have changed since the amounts set forth in the Definitive Proxy Statement, such changes have been or will be reflected on Initial Statements of Beneficial Ownership of Securities on Form 3 or Statements of Changes in Beneficial Ownership of Securities on Form 4 filed with the SEC. These documents may be obtained free of charge from the SEC’s website at www.sec.gov and the Company’s website at https://investor.lantheus.com/. The contents of the websites referenced herein are not deemed to be incorporated by reference into the Definitive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This Current Report on Form 8-K contains forward-looking statements within the meaning of the Private Securities Litigation Reform Act of 1995, as amended, that are subject to risks and uncertainties and are made pursuant to the safe harbor provisions of Section 27A of the Securities Act and Section 21E of the Exchange Act.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w:t>
      </w:r>
      <w:r>
        <w:rPr>
          <w:rFonts w:ascii="Times New Roman" w:hAnsi="Times New Roman"/>
          <w:b/>
          <w:i/>
          <w:sz w:val="20"/>
        </w:rPr>
        <w:t>Milestones</w:t>
      </w:r>
      <w:r>
        <w:rPr>
          <w:rFonts w:ascii="Times New Roman" w:hAnsi="Times New Roman"/>
          <w:sz w:val="20"/>
        </w:rPr>
        <w:t>”) associated with the contingent value rights (“</w:t>
      </w:r>
      <w:r>
        <w:rPr>
          <w:rFonts w:ascii="Times New Roman" w:hAnsi="Times New Roman"/>
          <w:b/>
          <w:i/>
          <w:sz w:val="20"/>
        </w:rPr>
        <w:t>CVRs</w:t>
      </w:r>
      <w:r>
        <w:rPr>
          <w:rFonts w:ascii="Times New Roman" w:hAnsi="Times New Roman"/>
          <w:sz w:val="20"/>
        </w:rPr>
        <w:t xml:space="preserve">”)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PMF network for PYLARIFY TruVu, the new formulation of the Company’s F-18 prostate-specific membrane antigen PET imaging agent approved by the FDA on March 6, 2026, to obtain FDA approval for each PMF to manufacture PYLARIFY TruVu, to have payers add HCPCS coding to their systems on a timely basis and to have customers adopt PYLARIFY TruVu; the Company’s ability and the timing to launch as a new commercial product TAUKLARIFY (also referred to as MK-6240), a radiodiagnostic agent indicated for PET of the brain in adults with cognitive impairment who are being evaluated for Alzheimer’s disease to identify patients with tau neurofibrillary tangle pathology approved by the FDA on August 14, 2026, obtain FDA approval for each PMF to manufacture TAUKLARIFY, obtain adequate coding, coverage and payment, including transitional pass-through payment status, for TAUKLARIFY and have customers adopt TAUKLARIFY; the Company’s ability to successfully commercialize BRAVNETSA (lutetium Lu 177 dotatate), a bioequivalent and therapeutically equivalent radiopharmaceutical to LUTATHERA® (lutetium Lu 177 dotatate) and achieve market adoption, the ability of the Company’s supply and distribution network to manufacture and deliver BRAVNETSA reliably, the existence, availability and profile of competing products and the outcome of patent litigation associated with BRAVNETSA;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TAUKLARIFY,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NAV-4694 as an approved product;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LANTHEUS HOLDINGS,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M. Niedzwiecki</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Daniel M. Niedzwiecki</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Chief Administrative Officer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Date: October 2,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4536</Words>
  <Characters>25653</Characters>
  <CharactersWithSpaces>30206</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