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9549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54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Marshall Robert J. Jr.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1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Lantheus Holdings,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LNTH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LANTHEUS HOLDINGS, INC.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03/05/2025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201 BURLINGTON ROAD, SOUTH BUILDING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9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CFO and Treasurer</w:t>
      </w:r>
    </w:p>
    <w:p>
      <w:pPr>
        <w:spacing w:after="0" w:line="39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BEDFORD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01730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03/05/2025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23,884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123,860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100.48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03/05/2025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13,927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03/05/2035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6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13,927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13,927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180" w:firstLine="2"/>
        <w:spacing w:after="0" w:line="241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Consists of 7,961 restricted stock units that vest in equal installments over a three-year period and 15,923 Total Shareholder Return performance-based restricted stock units ("PSUs") that cliff vest following a three-year performance period. The amount of PSUs included in this Report reflects the target award; however, the ultimate award size can range from 0% to 200% of the target based on the actual performance achieved at the end of the performance period.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vests in three equal annual installments beginning on March 5, 2026.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Eric M. Green,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03/07/2025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754976" TargetMode="External"/><Relationship Id="rId14" Type="http://schemas.openxmlformats.org/officeDocument/2006/relationships/hyperlink" Target="http://www.sec.gov/cgi-bin/browse-edgar?action=getcompany&amp;CIK=00015210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2025-03-07T16:52:23Z</dcterms:created>
  <dcterms:modified xsi:type="dcterms:W3CDTF">2025-03-07T16:52:23Z</dcterms:modified>
</cp:coreProperties>
</file>