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8563d8k.htm"/>
      <w:bookmarkStart w:id="1" w:name="ksd1485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001-36569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35-2318913</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201 Burlington Road</w:t>
            </w:r>
          </w:p>
          <w:p>
            <w:pPr>
              <w:pStyle w:val="TableContents"/>
              <w:bidi w:val="0"/>
              <w:spacing w:before="0" w:after="20"/>
              <w:jc w:val="center"/>
              <w:rPr>
                <w:rFonts w:ascii="Times New Roman" w:hAnsi="Times New Roman"/>
                <w:b/>
                <w:sz w:val="20"/>
              </w:rPr>
            </w:pPr>
            <w:r>
              <w:rPr>
                <w:rFonts w:ascii="Times New Roman" w:hAnsi="Times New Roman"/>
                <w:b/>
                <w:sz w:val="20"/>
              </w:rPr>
              <w:t>South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Bedford,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01730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(978) 671-8001</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470" w:type="dxa"/>
        <w:jc w:val="left"/>
        <w:tblInd w:w="0" w:type="dxa"/>
        <w:tblLayout w:type="fixed"/>
        <w:tblCellMar>
          <w:top w:w="0" w:type="dxa"/>
          <w:left w:w="0" w:type="dxa"/>
          <w:bottom w:w="0" w:type="dxa"/>
          <w:right w:w="0" w:type="dxa"/>
        </w:tblCellMar>
      </w:tblPr>
      <w:tblGrid>
        <w:gridCol w:w="3980"/>
        <w:gridCol w:w="60"/>
        <w:gridCol w:w="740"/>
        <w:gridCol w:w="60"/>
        <w:gridCol w:w="263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LNTH</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August 3, 2026, Lantheus Holdings, Inc., a Delaware corporation (“</w:t>
      </w:r>
      <w:r>
        <w:rPr>
          <w:rFonts w:ascii="Times New Roman" w:hAnsi="Times New Roman"/>
          <w:b/>
          <w:i/>
          <w:sz w:val="20"/>
        </w:rPr>
        <w:t>Lantheus</w:t>
      </w:r>
      <w:r>
        <w:rPr>
          <w:rFonts w:ascii="Times New Roman" w:hAnsi="Times New Roman"/>
          <w:sz w:val="20"/>
        </w:rPr>
        <w:t>” or the “</w:t>
      </w:r>
      <w:r>
        <w:rPr>
          <w:rFonts w:ascii="Times New Roman" w:hAnsi="Times New Roman"/>
          <w:b/>
          <w:i/>
          <w:sz w:val="20"/>
        </w:rPr>
        <w:t>Company</w:t>
      </w:r>
      <w:r>
        <w:rPr>
          <w:rFonts w:ascii="Times New Roman" w:hAnsi="Times New Roman"/>
          <w:sz w:val="20"/>
        </w:rPr>
        <w:t>”), and Curium US Holdings LLC, a Delaware limited liability company (“</w:t>
      </w:r>
      <w:r>
        <w:rPr>
          <w:rFonts w:ascii="Times New Roman" w:hAnsi="Times New Roman"/>
          <w:b/>
          <w:i/>
          <w:sz w:val="20"/>
        </w:rPr>
        <w:t>Parent</w:t>
      </w:r>
      <w:r>
        <w:rPr>
          <w:rFonts w:ascii="Times New Roman" w:hAnsi="Times New Roman"/>
          <w:sz w:val="20"/>
        </w:rPr>
        <w:t>”), issued a joint press release announcing the execution of an Agreement and Plan of Merger (the “</w:t>
      </w:r>
      <w:r>
        <w:rPr>
          <w:rFonts w:ascii="Times New Roman" w:hAnsi="Times New Roman"/>
          <w:b/>
          <w:i/>
          <w:sz w:val="20"/>
        </w:rPr>
        <w:t>Merger Agreement</w:t>
      </w:r>
      <w:r>
        <w:rPr>
          <w:rFonts w:ascii="Times New Roman" w:hAnsi="Times New Roman"/>
          <w:sz w:val="20"/>
        </w:rPr>
        <w:t xml:space="preserve">”), dated August 3, 2026, by and among the Company, Parent, and Coco Merger Sub Inc., a Delaware corporation and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3, 2026, the Company published a related investor presentation on its website. </w:t>
      </w:r>
    </w:p>
    <w:p>
      <w:pPr>
        <w:pStyle w:val="TextBody"/>
        <w:bidi w:val="0"/>
        <w:spacing w:before="240" w:after="0"/>
        <w:jc w:val="left"/>
        <w:rPr>
          <w:rFonts w:ascii="Times New Roman" w:hAnsi="Times New Roman"/>
          <w:sz w:val="20"/>
        </w:rPr>
      </w:pPr>
      <w:r>
        <w:rPr>
          <w:rFonts w:ascii="Times New Roman" w:hAnsi="Times New Roman"/>
          <w:sz w:val="20"/>
        </w:rPr>
        <w:t xml:space="preserve">Copies of the joint press release and the investor presentation are attached as Exhibits 99.1 and 99.2, respectively, hereto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furnished pursuant to this Item 7.01, including Exhibits 99.1 and 99.2,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or otherwise subject to the liabilities under that section and shall not be deemed to be incorporated by reference into any filing of the Company under the Securities Act of 1933, as amended (the “</w:t>
      </w:r>
      <w:r>
        <w:rPr>
          <w:rFonts w:ascii="Times New Roman" w:hAnsi="Times New Roman"/>
          <w:b/>
          <w:i/>
          <w:sz w:val="20"/>
        </w:rPr>
        <w:t>Securities Act</w:t>
      </w:r>
      <w:r>
        <w:rPr>
          <w:rFonts w:ascii="Times New Roman" w:hAnsi="Times New Roman"/>
          <w:sz w:val="20"/>
        </w:rPr>
        <w:t>”), or the Exchange Act, except as shall be expressly set forth by specific reference in such filing.</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to be reported on a Current Report on Form 8-K with respect to the Merger Agreement will be filed by the Company in a separate Current Report on Form 8-K.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light of the transactions contemplated by the Merger Agreement, the Company has determined to pause its previously-disclosed CEO search process.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acquisition of the Company by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w:t>
      </w:r>
      <w:r>
        <w:rPr>
          <w:rFonts w:ascii="Times New Roman" w:hAnsi="Times New Roman"/>
          <w:b/>
          <w:i/>
          <w:sz w:val="20"/>
        </w:rPr>
        <w:t>SEC</w:t>
      </w:r>
      <w:r>
        <w:rPr>
          <w:rFonts w:ascii="Times New Roman" w:hAnsi="Times New Roman"/>
          <w:sz w:val="20"/>
        </w:rPr>
        <w:t xml:space="preserve">”).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as amended, that are subject to risks and uncertainties and are made pursuant to the safe harbor provisions of Section 27A of the Securities Act, and Section 21E of the Exchange Act.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w:t>
      </w:r>
      <w:r>
        <w:rPr>
          <w:rFonts w:ascii="Times New Roman" w:hAnsi="Times New Roman"/>
          <w:b/>
          <w:i/>
          <w:sz w:val="20"/>
        </w:rPr>
        <w:t>Milestones</w:t>
      </w:r>
      <w:r>
        <w:rPr>
          <w:rFonts w:ascii="Times New Roman" w:hAnsi="Times New Roman"/>
          <w:sz w:val="20"/>
        </w:rPr>
        <w:t>”) associated with the contingent value rights (“</w:t>
      </w:r>
      <w:r>
        <w:rPr>
          <w:rFonts w:ascii="Times New Roman" w:hAnsi="Times New Roman"/>
          <w:b/>
          <w:i/>
          <w:sz w:val="20"/>
        </w:rPr>
        <w:t>CVRs</w:t>
      </w:r>
      <w:r>
        <w:rPr>
          <w:rFonts w:ascii="Times New Roman" w:hAnsi="Times New Roman"/>
          <w:sz w:val="20"/>
        </w:rPr>
        <w:t>”)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w:t>
      </w:r>
      <w:r>
        <w:rPr>
          <w:rFonts w:ascii="Times New Roman" w:hAnsi="Times New Roman"/>
          <w:b/>
          <w:i/>
          <w:sz w:val="20"/>
        </w:rPr>
        <w:t>PMF</w:t>
      </w:r>
      <w:r>
        <w:rPr>
          <w:rFonts w:ascii="Times New Roman" w:hAnsi="Times New Roman"/>
          <w:sz w:val="20"/>
        </w:rPr>
        <w:t>”) network for PYLARIFY TruVu, the new formulation of the Company’s F-18 prostate-specific membrane antigen PET imaging agent approved by the U.S. Food and Drug Administration (“</w:t>
      </w:r>
      <w:r>
        <w:rPr>
          <w:rFonts w:ascii="Times New Roman" w:hAnsi="Times New Roman"/>
          <w:b/>
          <w:i/>
          <w:sz w:val="20"/>
        </w:rPr>
        <w:t>FDA</w:t>
      </w:r>
      <w:r>
        <w:rPr>
          <w:rFonts w:ascii="Times New Roman" w:hAnsi="Times New Roman"/>
          <w:sz w:val="20"/>
        </w:rPr>
        <w:t xml:space="preserve">”)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48563dex991.htm">
              <w:r>
                <w:rPr>
                  <w:rStyle w:val="InternetLink"/>
                </w:rPr>
                <w:t xml:space="preserve">Joint press release, dated August 3,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48563dex992.htm">
              <w:r>
                <w:rPr>
                  <w:rStyle w:val="InternetLink"/>
                </w:rPr>
                <w:t xml:space="preserve">Investor presentation, dated August 3,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665"/>
        <w:gridCol w:w="60"/>
        <w:gridCol w:w="480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5"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b/>
              </w:rPr>
            </w:pPr>
            <w:r>
              <w:rPr>
                <w:b/>
              </w:rPr>
              <w:t>LANTHEUS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486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Daniel M. Niedzwiecki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Date: August 3, 2026</w:t>
      </w:r>
    </w:p>
    <w:p>
      <w:pPr>
        <w:pStyle w:val="TextBody"/>
        <w:bidi w:val="0"/>
        <w:spacing w:before="0" w:after="0"/>
        <w:jc w:val="right"/>
        <w:rPr>
          <w:rFonts w:ascii="Times New Roman" w:hAnsi="Times New Roman"/>
          <w:sz w:val="20"/>
        </w:rPr>
      </w:pPr>
      <w:bookmarkStart w:id="2" w:name="d148563dex991.htm"/>
      <w:bookmarkStart w:id="3" w:name="ksd148563dex991"/>
      <w:bookmarkEnd w:id="2"/>
      <w:bookmarkEnd w:id="3"/>
      <w:r>
        <w:rPr>
          <w:rFonts w:ascii="Times New Roman" w:hAnsi="Times New Roman"/>
          <w:b/>
          <w:sz w:val="20"/>
        </w:rPr>
        <w:t>Exhibit 99.1</w:t>
      </w:r>
      <w:r>
        <w:rPr>
          <w:rFonts w:ascii="Times New Roman" w:hAnsi="Times New Roman"/>
          <w:sz w:val="20"/>
        </w:rPr>
        <w:t xml:space="preserve">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Curium Announces Definitive Agreement to Merge with Lantheus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Strategic transaction would bring Curium’s theranostics portfolio and global manufacturing platform together with Lantheus’ complementary U.S. radiodiagnostics business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Total transaction consideration to Lantheus shareholders of up to $114.50 per share in cash for an aggregate transaction value of up to $8.0</w:t>
            </w:r>
            <w:r>
              <w:rPr>
                <w:rFonts w:ascii="Times New Roman" w:hAnsi="Times New Roman"/>
                <w:sz w:val="20"/>
              </w:rPr>
              <w:t> </w:t>
            </w:r>
            <w:r>
              <w:rPr>
                <w:rFonts w:ascii="Times New Roman" w:hAnsi="Times New Roman"/>
                <w:i/>
                <w:sz w:val="20"/>
              </w:rPr>
              <w:t>billion – representing a premium of 38</w:t>
            </w:r>
            <w:r>
              <w:rPr>
                <w:rFonts w:ascii="Times New Roman" w:hAnsi="Times New Roman"/>
                <w:b/>
                <w:i/>
                <w:sz w:val="20"/>
              </w:rPr>
              <w:t>%</w:t>
            </w:r>
            <w:r>
              <w:rPr>
                <w:rFonts w:ascii="Times New Roman" w:hAnsi="Times New Roman"/>
                <w:sz w:val="20"/>
              </w:rPr>
              <w:t xml:space="preserve"> </w:t>
            </w:r>
            <w:r>
              <w:rPr>
                <w:rFonts w:ascii="Times New Roman" w:hAnsi="Times New Roman"/>
                <w:i/>
                <w:sz w:val="20"/>
              </w:rPr>
              <w:t>to Lantheus’ unaffected 60-day volume-weighted average price and a premium of 29% to Lantheus’ unaffected 30-day volume-weighted average price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Provides for near-term certain value for Lantheus shareholders of $102.50 per share in cash at closing and up to an additional $12.00 per share of Contingent Value Rights tied to specified performance milestones for Lantheus’ commercial portfolio</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Combined company would serve oncology, neurology and cardiology patients across more than 70 countries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BOSTON, MA and BEDFORD, MA August</w:t>
      </w:r>
      <w:r>
        <w:rPr>
          <w:rFonts w:ascii="Times New Roman" w:hAnsi="Times New Roman"/>
          <w:sz w:val="20"/>
        </w:rPr>
        <w:t> </w:t>
      </w:r>
      <w:r>
        <w:rPr>
          <w:rFonts w:ascii="Times New Roman" w:hAnsi="Times New Roman"/>
          <w:b/>
          <w:sz w:val="20"/>
        </w:rPr>
        <w:t xml:space="preserve">3, 2026 – </w:t>
      </w:r>
      <w:r>
        <w:rPr>
          <w:rFonts w:ascii="Times New Roman" w:hAnsi="Times New Roman"/>
          <w:sz w:val="20"/>
        </w:rPr>
        <w:t xml:space="preserve">Curium, a leading, global radiopharmaceutical company with proven expertise in the development, manufacturing and supply of radiopharmaceuticals that improve the way cancer is diagnosed and treated, and Lantheus Holdings, Inc. (“Lantheus” or “Company”) (NASDAQ: LNTH), today announced that Curium US Holdings LLC (“Curium US”) and Lantheus have entered into a definitive agreement under which Lantheus, a leading radiopharmaceutical-focused company committed to enabling clinicians to Find, Fight and Follow disease to deliver better patient outcomes, will merge with a wholly-owned subsidiary of Curium US.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definitive agreement, Curium US will acquire all of the outstanding shares of Lantheus for $102.50 per share in cash at closing, plus non-transferable Contingent Value Rights (“CVRs”) providing for up to $12.00 per share in potential additional cash payments, subject to achievement of specified commercial milestones for Lantheus’ products through 2030. The transaction represents a total per share consideration of up to $114.50 and a total transaction value of up to approximately $8.0 billion. Together, Curium and Lantheus are positioned to create a radiopharmaceutical company spanning diagnostics and therapeutics, with the infrastructure and capabilities to serve patients in more than 70 countries. The Board of Directors of Lantheus has unanimously approved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cash consideration provides for near-term certain value to Lantheus shareholders at closing and the CVR structure provides meaningful potential additional upside participation in the commercial performance of Lantheus’ main product lines. The total transaction value represents a premium of 38% to Lantheus’ unaffected 60-day volume-weighted average price (“VWAP”), a premium of 29% to Lantheus’ unaffected 30-day VWAP, and a premium of 21% to Lantheus’ unaffected closing price, in each case as of May 21, 2026, the last trading day prior to the first media report of a potential sale transaction. </w:t>
      </w:r>
    </w:p>
    <w:p>
      <w:pPr>
        <w:pStyle w:val="TextBody"/>
        <w:bidi w:val="0"/>
        <w:spacing w:before="240" w:after="0"/>
        <w:jc w:val="left"/>
        <w:rPr/>
      </w:pPr>
      <w:r>
        <w:rPr/>
        <w:t>“</w:t>
      </w:r>
      <w:r>
        <w:rPr>
          <w:rFonts w:ascii="Times New Roman" w:hAnsi="Times New Roman"/>
          <w:sz w:val="20"/>
        </w:rPr>
        <w:t xml:space="preserve">Lantheus is the ideal partner to accelerate what we have been building at Curium,” said Renaud Dehareng, Chief Executive Officer of Curium Group. “We have executed a strategy to build an innovative, theranostics platform by expanding our global manufacturing footprint, advancing our radioligand therapy pipeline across key regions, and positioning Curium to drive the next generation of theranostics innovation. Lantheus’ complementary business accelerates our strategy with a robust U.S. commercial infrastructure, a complementary F18-isotope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prostate diagnostics franchise and marks our entry in the U.S. market for diagnostic solutions targeting Neurology and Echocardiography. Together, we will provide meaningful theranostic options to patients from SPECT and PET diagnostics to targeted radioligand therapy across the globe. This combination unlocks an opportunity that neither company could achieve alone, as it positions us to reach significantly more patients and clinicians globally.” </w:t>
      </w:r>
    </w:p>
    <w:p>
      <w:pPr>
        <w:pStyle w:val="TextBody"/>
        <w:bidi w:val="0"/>
        <w:spacing w:before="240" w:after="0"/>
        <w:jc w:val="left"/>
        <w:rPr/>
      </w:pPr>
      <w:r>
        <w:rPr/>
        <w:t>“</w:t>
      </w:r>
      <w:r>
        <w:rPr>
          <w:rFonts w:ascii="Times New Roman" w:hAnsi="Times New Roman"/>
          <w:sz w:val="20"/>
        </w:rPr>
        <w:t xml:space="preserve">We believe this transaction is the ultimate validation of what the Lantheus team has built over seven decades of innovation in radiopharmaceuticals,” said Mary Anne Heino, Executive Chair and Chief Executive Officer of Lantheus. “Combining strategically with Curium brings together two pioneers with complementary strengths and a shared passion for nuclear medicine. Together, we can broaden and accelerate patient access to life-changing diagnostics and therapeutics and fully realize the differentiated outcomes and value radiopharmaceuticals can deliver. I am tremendously proud of everything our people have achieved, and I am confident this combination is the best path forward for our shareholders, our employees, and the millions of patients we serve.” </w:t>
      </w:r>
    </w:p>
    <w:p>
      <w:pPr>
        <w:pStyle w:val="TextBody"/>
        <w:bidi w:val="0"/>
        <w:spacing w:before="240" w:after="0"/>
        <w:jc w:val="left"/>
        <w:rPr>
          <w:rFonts w:ascii="Times New Roman" w:hAnsi="Times New Roman"/>
          <w:sz w:val="20"/>
        </w:rPr>
      </w:pPr>
      <w:r>
        <w:rPr>
          <w:rFonts w:ascii="Times New Roman" w:hAnsi="Times New Roman"/>
          <w:sz w:val="20"/>
        </w:rPr>
        <w:t xml:space="preserve">Curium was established in 2017 by global investment firm CapVest Partners LLP (“CapVest”) which remains its controlling shareholder and last year completed the successful recapitalization of Curium in a transaction which valued the Curium Group at approximately $7 billion. Kate Briant, Senior Partner at CapVest and Chair of Curium’s Board of Directors, said: “This transaction underlies our ongoing commitment to Curium’s growth and emphasizes our strong conviction in the potential of nuclear medicine and the future of the sector. This highly strategic combination will allow the combined company to capitalize on the significant emerging opportunities and, most importantly, will allow us to accelerate bringing life-changing solutions to healthcare professionals and benefit millions of patients (and their families)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Curium has a proven record of developing, manufacturing, and supplying diagnostic and therapeutic radiopharmaceuticals globally with a deep manufacturing expertise, and a robust theranostics pipeline. Lantheus has pioneered the radiodiagnostics landscape in the U.S. for 70 years and has demonstrated success building and growing a commercial diagnostic business, including PYLARIFY that helped establish PSMA PET as the standard of care in prostate cancer imaging, maintaining DEFINITY’s position as a category leader in cardiac ultrasound enhancing agents for 25 years, and driving Neuraceq to become the fastest-growing beta-amyloid PET agent on the market. The combined entity will span the full nuclear medicine value chain: from isotope production and manufacturing to diagnostic imaging and targeted radionuclide therapy, delivering nuclear medicine solutions to patients and healthcare systems across more than 70 countries. </w:t>
      </w:r>
    </w:p>
    <w:p>
      <w:pPr>
        <w:pStyle w:val="TextBody"/>
        <w:bidi w:val="0"/>
        <w:spacing w:before="240" w:after="0"/>
        <w:jc w:val="left"/>
        <w:rPr>
          <w:rFonts w:ascii="Times New Roman" w:hAnsi="Times New Roman"/>
          <w:sz w:val="20"/>
        </w:rPr>
      </w:pPr>
      <w:r>
        <w:rPr>
          <w:rFonts w:ascii="Times New Roman" w:hAnsi="Times New Roman"/>
          <w:sz w:val="20"/>
        </w:rPr>
        <w:t xml:space="preserve">The Lantheus Board of Directors, with the assistance of its financial advisors, conducted a comprehensive evaluation of its strategic options, including outreach to multiple third parties and remaining as a standalone company. After concluding this robust process, the Board unanimously determined that this transaction is in the best interests of Lantheus and its shareholders as the value maximizing path relative to the other strategic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Curium US will acquire all of the outstanding shares of Lantheus common stock for $102.50 per share in cash at closing. In addition, Lantheus shareholders will receive up to $12.00 per share in non-transferable CVRs, entitling holders to the following additional cash payments upon achievement of applicable milestones: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27"/>
        <w:gridCol w:w="138"/>
        <w:gridCol w:w="1702"/>
        <w:gridCol w:w="138"/>
        <w:gridCol w:w="1526"/>
        <w:gridCol w:w="138"/>
        <w:gridCol w:w="2136"/>
      </w:tblGrid>
      <w:tr>
        <w:trPr/>
        <w:tc>
          <w:tcPr>
            <w:tcW w:w="4427"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r>
      <w:tr>
        <w:trPr/>
        <w:tc>
          <w:tcPr>
            <w:tcW w:w="44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Franchise</w:t>
            </w:r>
          </w:p>
        </w:tc>
        <w:tc>
          <w:tcPr>
            <w:tcW w:w="138" w:type="dxa"/>
            <w:tcBorders/>
            <w:vAlign w:val="bottom"/>
          </w:tcPr>
          <w:p>
            <w:pPr>
              <w:pStyle w:val="TableContents"/>
              <w:bidi w:val="0"/>
              <w:spacing w:before="0" w:after="283"/>
              <w:jc w:val="left"/>
              <w:rPr/>
            </w:pPr>
            <w:r>
              <w:rPr/>
              <w:t>  </w:t>
            </w:r>
          </w:p>
        </w:tc>
        <w:tc>
          <w:tcPr>
            <w:tcW w:w="1702" w:type="dxa"/>
            <w:tcBorders>
              <w:bottom w:val="single" w:sz="8" w:space="0" w:color="000000"/>
            </w:tcBorders>
            <w:tcMar>
              <w:bottom w:w="28" w:type="dxa"/>
            </w:tcMar>
            <w:vAlign w:val="bottom"/>
          </w:tcPr>
          <w:p>
            <w:pPr>
              <w:pStyle w:val="TableContents"/>
              <w:bidi w:val="0"/>
              <w:spacing w:before="0" w:after="283"/>
              <w:jc w:val="center"/>
              <w:rPr>
                <w:b/>
              </w:rPr>
            </w:pPr>
            <w:r>
              <w:rPr>
                <w:b/>
              </w:rPr>
              <w:t>Total Aggregate</w:t>
              <w:br/>
              <w:t>Sales1 Milestone</w:t>
            </w:r>
          </w:p>
        </w:tc>
        <w:tc>
          <w:tcPr>
            <w:tcW w:w="138" w:type="dxa"/>
            <w:tcBorders/>
            <w:vAlign w:val="bottom"/>
          </w:tcPr>
          <w:p>
            <w:pPr>
              <w:pStyle w:val="TableContents"/>
              <w:bidi w:val="0"/>
              <w:spacing w:before="0" w:after="283"/>
              <w:jc w:val="left"/>
              <w:rPr/>
            </w:pPr>
            <w:r>
              <w:rPr/>
              <w:t>  </w:t>
            </w:r>
          </w:p>
        </w:tc>
        <w:tc>
          <w:tcPr>
            <w:tcW w:w="1526" w:type="dxa"/>
            <w:tcBorders>
              <w:bottom w:val="single" w:sz="8" w:space="0" w:color="000000"/>
            </w:tcBorders>
            <w:tcMar>
              <w:bottom w:w="28" w:type="dxa"/>
            </w:tcMar>
            <w:vAlign w:val="bottom"/>
          </w:tcPr>
          <w:p>
            <w:pPr>
              <w:pStyle w:val="TableContents"/>
              <w:bidi w:val="0"/>
              <w:spacing w:before="0" w:after="283"/>
              <w:jc w:val="center"/>
              <w:rPr/>
            </w:pPr>
            <w:r>
              <w:rPr>
                <w:b/>
              </w:rPr>
              <w:t>CVR Payment</w:t>
            </w:r>
            <w:r>
              <w:rPr/>
              <w:br/>
            </w:r>
            <w:r>
              <w:rPr>
                <w:b/>
              </w:rPr>
              <w:t>(in cash)</w:t>
            </w:r>
          </w:p>
        </w:tc>
        <w:tc>
          <w:tcPr>
            <w:tcW w:w="138" w:type="dxa"/>
            <w:tcBorders/>
            <w:vAlign w:val="bottom"/>
          </w:tcPr>
          <w:p>
            <w:pPr>
              <w:pStyle w:val="TableContents"/>
              <w:bidi w:val="0"/>
              <w:spacing w:before="0" w:after="283"/>
              <w:jc w:val="left"/>
              <w:rPr/>
            </w:pPr>
            <w:r>
              <w:rPr/>
              <w:t>  </w:t>
            </w:r>
          </w:p>
        </w:tc>
        <w:tc>
          <w:tcPr>
            <w:tcW w:w="21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Measurement Period</w:t>
            </w:r>
          </w:p>
        </w:tc>
      </w:tr>
      <w:tr>
        <w:trPr/>
        <w:tc>
          <w:tcPr>
            <w:tcW w:w="4427" w:type="dxa"/>
            <w:vMerge w:val="restart"/>
            <w:tcBorders/>
            <w:shd w:fill="CCEEFF" w:val="clear"/>
          </w:tcPr>
          <w:p>
            <w:pPr>
              <w:pStyle w:val="TableContents"/>
              <w:bidi w:val="0"/>
              <w:spacing w:before="0" w:after="283"/>
              <w:jc w:val="left"/>
              <w:rPr/>
            </w:pPr>
            <w:r>
              <w:rPr/>
              <w:t>Global Prostate Cancer Diagnostics2</w:t>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$950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$1.00/share</w:t>
            </w:r>
          </w:p>
        </w:tc>
        <w:tc>
          <w:tcPr>
            <w:tcW w:w="138" w:type="dxa"/>
            <w:vMerge w:val="restart"/>
            <w:tcBorders/>
            <w:shd w:fill="CCEEFF" w:val="clear"/>
            <w:vAlign w:val="bottom"/>
          </w:tcPr>
          <w:p>
            <w:pPr>
              <w:pStyle w:val="TableContents"/>
              <w:bidi w:val="0"/>
              <w:spacing w:before="0" w:after="283"/>
              <w:jc w:val="left"/>
              <w:rPr/>
            </w:pPr>
            <w:r>
              <w:rPr/>
              <w:t>  </w:t>
            </w:r>
          </w:p>
        </w:tc>
        <w:tc>
          <w:tcPr>
            <w:tcW w:w="2136" w:type="dxa"/>
            <w:vMerge w:val="restart"/>
            <w:tcBorders/>
            <w:shd w:fill="CCEEFF" w:val="clear"/>
            <w:vAlign w:val="center"/>
          </w:tcPr>
          <w:p>
            <w:pPr>
              <w:pStyle w:val="TableContents"/>
              <w:bidi w:val="0"/>
              <w:spacing w:before="0" w:after="283"/>
              <w:jc w:val="left"/>
              <w:rPr/>
            </w:pPr>
            <w:r>
              <w:rPr/>
              <w:t>Fiscal year ending December 31, 2030</w:t>
            </w:r>
          </w:p>
        </w:tc>
      </w:tr>
      <w:tr>
        <w:trPr/>
        <w:tc>
          <w:tcPr>
            <w:tcW w:w="4427" w:type="dxa"/>
            <w:vMerge w:val="continue"/>
            <w:tcBorders/>
            <w:shd w:fill="CCEEFF" w:val="clear"/>
          </w:tcPr>
          <w:p>
            <w:pPr>
              <w:pStyle w:val="Normal"/>
              <w:bidi w:val="0"/>
              <w:jc w:val="left"/>
              <w:rPr/>
            </w:pPr>
            <w:r>
              <w:rPr/>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$1,100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$1.00/share</w:t>
            </w:r>
          </w:p>
        </w:tc>
        <w:tc>
          <w:tcPr>
            <w:tcW w:w="138" w:type="dxa"/>
            <w:vMerge w:val="continue"/>
            <w:tcBorders/>
            <w:shd w:fill="CCEEFF" w:val="clear"/>
            <w:vAlign w:val="bottom"/>
          </w:tcPr>
          <w:p>
            <w:pPr>
              <w:pStyle w:val="Normal"/>
              <w:bidi w:val="0"/>
              <w:jc w:val="left"/>
              <w:rPr/>
            </w:pPr>
            <w:r>
              <w:rPr/>
            </w:r>
          </w:p>
        </w:tc>
        <w:tc>
          <w:tcPr>
            <w:tcW w:w="2136" w:type="dxa"/>
            <w:vMerge w:val="continue"/>
            <w:tcBorders/>
            <w:shd w:fill="CCEEFF" w:val="clear"/>
            <w:vAlign w:val="center"/>
          </w:tcPr>
          <w:p>
            <w:pPr>
              <w:pStyle w:val="Normal"/>
              <w:bidi w:val="0"/>
              <w:jc w:val="left"/>
              <w:rPr/>
            </w:pPr>
            <w:r>
              <w:rPr/>
            </w:r>
          </w:p>
        </w:tc>
      </w:tr>
      <w:tr>
        <w:trPr/>
        <w:tc>
          <w:tcPr>
            <w:tcW w:w="4427" w:type="dxa"/>
            <w:vMerge w:val="continue"/>
            <w:tcBorders/>
            <w:shd w:fill="CCEEFF" w:val="clear"/>
          </w:tcPr>
          <w:p>
            <w:pPr>
              <w:pStyle w:val="Normal"/>
              <w:bidi w:val="0"/>
              <w:jc w:val="left"/>
              <w:rPr/>
            </w:pPr>
            <w:r>
              <w:rPr/>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xml:space="preserve"> $1,200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$2.00/share</w:t>
            </w:r>
          </w:p>
        </w:tc>
        <w:tc>
          <w:tcPr>
            <w:tcW w:w="138" w:type="dxa"/>
            <w:vMerge w:val="continue"/>
            <w:tcBorders/>
            <w:shd w:fill="CCEEFF" w:val="clear"/>
            <w:vAlign w:val="bottom"/>
          </w:tcPr>
          <w:p>
            <w:pPr>
              <w:pStyle w:val="Normal"/>
              <w:bidi w:val="0"/>
              <w:jc w:val="left"/>
              <w:rPr/>
            </w:pPr>
            <w:r>
              <w:rPr/>
            </w:r>
          </w:p>
        </w:tc>
        <w:tc>
          <w:tcPr>
            <w:tcW w:w="2136" w:type="dxa"/>
            <w:vMerge w:val="continue"/>
            <w:tcBorders/>
            <w:shd w:fill="CCEEFF" w:val="clear"/>
            <w:vAlign w:val="center"/>
          </w:tcPr>
          <w:p>
            <w:pPr>
              <w:pStyle w:val="Normal"/>
              <w:bidi w:val="0"/>
              <w:jc w:val="left"/>
              <w:rPr/>
            </w:pPr>
            <w:r>
              <w:rPr/>
            </w:r>
          </w:p>
        </w:tc>
      </w:tr>
      <w:tr>
        <w:trPr/>
        <w:tc>
          <w:tcPr>
            <w:tcW w:w="4427" w:type="dxa"/>
            <w:vMerge w:val="continue"/>
            <w:tcBorders/>
            <w:shd w:fill="CCEEFF" w:val="clear"/>
          </w:tcPr>
          <w:p>
            <w:pPr>
              <w:pStyle w:val="Normal"/>
              <w:bidi w:val="0"/>
              <w:jc w:val="left"/>
              <w:rPr/>
            </w:pPr>
            <w:r>
              <w:rPr/>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xml:space="preserve"> $1,500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$2.00/share</w:t>
            </w:r>
          </w:p>
        </w:tc>
        <w:tc>
          <w:tcPr>
            <w:tcW w:w="138" w:type="dxa"/>
            <w:vMerge w:val="continue"/>
            <w:tcBorders/>
            <w:shd w:fill="CCEEFF" w:val="clear"/>
            <w:vAlign w:val="bottom"/>
          </w:tcPr>
          <w:p>
            <w:pPr>
              <w:pStyle w:val="Normal"/>
              <w:bidi w:val="0"/>
              <w:jc w:val="left"/>
              <w:rPr/>
            </w:pPr>
            <w:r>
              <w:rPr/>
            </w:r>
          </w:p>
        </w:tc>
        <w:tc>
          <w:tcPr>
            <w:tcW w:w="2136" w:type="dxa"/>
            <w:vMerge w:val="continue"/>
            <w:tcBorders/>
            <w:shd w:fill="CCEEFF" w:val="clear"/>
            <w:vAlign w:val="center"/>
          </w:tcPr>
          <w:p>
            <w:pPr>
              <w:pStyle w:val="Normal"/>
              <w:bidi w:val="0"/>
              <w:jc w:val="left"/>
              <w:rPr/>
            </w:pPr>
            <w:r>
              <w:rPr/>
            </w:r>
          </w:p>
        </w:tc>
      </w:tr>
      <w:tr>
        <w:trPr/>
        <w:tc>
          <w:tcPr>
            <w:tcW w:w="4427" w:type="dxa"/>
            <w:vMerge w:val="continue"/>
            <w:tcBorders/>
            <w:shd w:fill="CCEEFF" w:val="clear"/>
          </w:tcPr>
          <w:p>
            <w:pPr>
              <w:pStyle w:val="Normal"/>
              <w:bidi w:val="0"/>
              <w:jc w:val="left"/>
              <w:rPr/>
            </w:pPr>
            <w:r>
              <w:rPr/>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xml:space="preserve"> $1,750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$2.00/share</w:t>
            </w:r>
          </w:p>
        </w:tc>
        <w:tc>
          <w:tcPr>
            <w:tcW w:w="138" w:type="dxa"/>
            <w:vMerge w:val="continue"/>
            <w:tcBorders/>
            <w:shd w:fill="CCEEFF" w:val="clear"/>
            <w:vAlign w:val="bottom"/>
          </w:tcPr>
          <w:p>
            <w:pPr>
              <w:pStyle w:val="Normal"/>
              <w:bidi w:val="0"/>
              <w:jc w:val="left"/>
              <w:rPr/>
            </w:pPr>
            <w:r>
              <w:rPr/>
            </w:r>
          </w:p>
        </w:tc>
        <w:tc>
          <w:tcPr>
            <w:tcW w:w="2136" w:type="dxa"/>
            <w:vMerge w:val="continue"/>
            <w:tcBorders/>
            <w:shd w:fill="CCEEFF" w:val="clear"/>
            <w:vAlign w:val="center"/>
          </w:tcPr>
          <w:p>
            <w:pPr>
              <w:pStyle w:val="Normal"/>
              <w:bidi w:val="0"/>
              <w:jc w:val="left"/>
              <w:rPr/>
            </w:pPr>
            <w:r>
              <w:rPr/>
            </w:r>
          </w:p>
        </w:tc>
      </w:tr>
      <w:tr>
        <w:trPr/>
        <w:tc>
          <w:tcPr>
            <w:tcW w:w="4427" w:type="dxa"/>
            <w:vMerge w:val="restart"/>
            <w:tcBorders/>
          </w:tcPr>
          <w:p>
            <w:pPr>
              <w:pStyle w:val="TableContents"/>
              <w:bidi w:val="0"/>
              <w:spacing w:before="0" w:after="283"/>
              <w:jc w:val="left"/>
              <w:rPr/>
            </w:pPr>
            <w:r>
              <w:rPr/>
              <w:t>Global Neurology Diagnostics3</w:t>
            </w:r>
          </w:p>
        </w:tc>
        <w:tc>
          <w:tcPr>
            <w:tcW w:w="138" w:type="dxa"/>
            <w:tcBorders/>
            <w:vAlign w:val="bottom"/>
          </w:tcPr>
          <w:p>
            <w:pPr>
              <w:pStyle w:val="TableContents"/>
              <w:bidi w:val="0"/>
              <w:spacing w:before="0" w:after="283"/>
              <w:jc w:val="left"/>
              <w:rPr/>
            </w:pPr>
            <w:r>
              <w:rPr/>
              <w:t>  </w:t>
            </w:r>
          </w:p>
        </w:tc>
        <w:tc>
          <w:tcPr>
            <w:tcW w:w="1702" w:type="dxa"/>
            <w:tcBorders/>
          </w:tcPr>
          <w:p>
            <w:pPr>
              <w:pStyle w:val="TableContents"/>
              <w:bidi w:val="0"/>
              <w:spacing w:before="0" w:after="283"/>
              <w:jc w:val="left"/>
              <w:rPr/>
            </w:pPr>
            <w:r>
              <w:rPr>
                <w:u w:val="single"/>
              </w:rPr>
              <w:t>&gt;</w:t>
            </w:r>
            <w:r>
              <w:rPr/>
              <w:t xml:space="preserve"> $300 million</w:t>
            </w:r>
          </w:p>
        </w:tc>
        <w:tc>
          <w:tcPr>
            <w:tcW w:w="138"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$2.00/share</w:t>
            </w:r>
          </w:p>
        </w:tc>
        <w:tc>
          <w:tcPr>
            <w:tcW w:w="138" w:type="dxa"/>
            <w:vMerge w:val="restart"/>
            <w:tcBorders/>
            <w:vAlign w:val="bottom"/>
          </w:tcPr>
          <w:p>
            <w:pPr>
              <w:pStyle w:val="TableContents"/>
              <w:bidi w:val="0"/>
              <w:spacing w:before="0" w:after="283"/>
              <w:jc w:val="left"/>
              <w:rPr/>
            </w:pPr>
            <w:r>
              <w:rPr/>
              <w:t>  </w:t>
            </w:r>
          </w:p>
        </w:tc>
        <w:tc>
          <w:tcPr>
            <w:tcW w:w="2136" w:type="dxa"/>
            <w:vMerge w:val="restart"/>
            <w:tcBorders/>
            <w:vAlign w:val="center"/>
          </w:tcPr>
          <w:p>
            <w:pPr>
              <w:pStyle w:val="TableContents"/>
              <w:bidi w:val="0"/>
              <w:spacing w:before="0" w:after="283"/>
              <w:jc w:val="left"/>
              <w:rPr/>
            </w:pPr>
            <w:r>
              <w:rPr/>
              <w:t>Any of the three fiscal years ending December 31, 2028, 2029, or 2030</w:t>
            </w:r>
          </w:p>
        </w:tc>
      </w:tr>
      <w:tr>
        <w:trPr/>
        <w:tc>
          <w:tcPr>
            <w:tcW w:w="4427" w:type="dxa"/>
            <w:vMerge w:val="continue"/>
            <w:tcBorders/>
          </w:tcPr>
          <w:p>
            <w:pPr>
              <w:pStyle w:val="Normal"/>
              <w:bidi w:val="0"/>
              <w:jc w:val="left"/>
              <w:rPr/>
            </w:pPr>
            <w:r>
              <w:rPr/>
            </w:r>
          </w:p>
        </w:tc>
        <w:tc>
          <w:tcPr>
            <w:tcW w:w="138" w:type="dxa"/>
            <w:tcBorders/>
            <w:vAlign w:val="bottom"/>
          </w:tcPr>
          <w:p>
            <w:pPr>
              <w:pStyle w:val="TableContents"/>
              <w:bidi w:val="0"/>
              <w:spacing w:before="0" w:after="283"/>
              <w:jc w:val="left"/>
              <w:rPr/>
            </w:pPr>
            <w:r>
              <w:rPr/>
              <w:t>  </w:t>
            </w:r>
          </w:p>
        </w:tc>
        <w:tc>
          <w:tcPr>
            <w:tcW w:w="1702" w:type="dxa"/>
            <w:tcBorders/>
          </w:tcPr>
          <w:p>
            <w:pPr>
              <w:pStyle w:val="TableContents"/>
              <w:bidi w:val="0"/>
              <w:spacing w:before="0" w:after="283"/>
              <w:jc w:val="left"/>
              <w:rPr/>
            </w:pPr>
            <w:r>
              <w:rPr>
                <w:u w:val="single"/>
              </w:rPr>
              <w:t>&gt;</w:t>
            </w:r>
            <w:r>
              <w:rPr/>
              <w:t xml:space="preserve"> $350 million</w:t>
            </w:r>
          </w:p>
        </w:tc>
        <w:tc>
          <w:tcPr>
            <w:tcW w:w="138" w:type="dxa"/>
            <w:tcBorders/>
            <w:vAlign w:val="bottom"/>
          </w:tcPr>
          <w:p>
            <w:pPr>
              <w:pStyle w:val="TableContents"/>
              <w:bidi w:val="0"/>
              <w:spacing w:before="0" w:after="283"/>
              <w:jc w:val="left"/>
              <w:rPr/>
            </w:pPr>
            <w:r>
              <w:rPr/>
              <w:t>  </w:t>
            </w:r>
          </w:p>
        </w:tc>
        <w:tc>
          <w:tcPr>
            <w:tcW w:w="1526" w:type="dxa"/>
            <w:tcBorders/>
          </w:tcPr>
          <w:p>
            <w:pPr>
              <w:pStyle w:val="TableContents"/>
              <w:bidi w:val="0"/>
              <w:spacing w:before="0" w:after="283"/>
              <w:jc w:val="left"/>
              <w:rPr/>
            </w:pPr>
            <w:r>
              <w:rPr/>
              <w:t>$1.00/share</w:t>
            </w:r>
          </w:p>
        </w:tc>
        <w:tc>
          <w:tcPr>
            <w:tcW w:w="138" w:type="dxa"/>
            <w:vMerge w:val="continue"/>
            <w:tcBorders/>
            <w:vAlign w:val="bottom"/>
          </w:tcPr>
          <w:p>
            <w:pPr>
              <w:pStyle w:val="Normal"/>
              <w:bidi w:val="0"/>
              <w:jc w:val="left"/>
              <w:rPr/>
            </w:pPr>
            <w:r>
              <w:rPr/>
            </w:r>
          </w:p>
        </w:tc>
        <w:tc>
          <w:tcPr>
            <w:tcW w:w="2136" w:type="dxa"/>
            <w:vMerge w:val="continue"/>
            <w:tcBorders/>
            <w:vAlign w:val="center"/>
          </w:tcPr>
          <w:p>
            <w:pPr>
              <w:pStyle w:val="Normal"/>
              <w:bidi w:val="0"/>
              <w:jc w:val="left"/>
              <w:rPr/>
            </w:pPr>
            <w:r>
              <w:rPr/>
            </w:r>
          </w:p>
        </w:tc>
      </w:tr>
      <w:tr>
        <w:trPr/>
        <w:tc>
          <w:tcPr>
            <w:tcW w:w="4427" w:type="dxa"/>
            <w:tcBorders/>
            <w:shd w:fill="CCEEFF" w:val="clear"/>
          </w:tcPr>
          <w:p>
            <w:pPr>
              <w:pStyle w:val="TableContents"/>
              <w:bidi w:val="0"/>
              <w:spacing w:before="0" w:after="283"/>
              <w:jc w:val="left"/>
              <w:rPr/>
            </w:pPr>
            <w:r>
              <w:rPr/>
              <w:t>Global DEFINITY® Business4</w:t>
            </w:r>
          </w:p>
        </w:tc>
        <w:tc>
          <w:tcPr>
            <w:tcW w:w="138" w:type="dxa"/>
            <w:tcBorders/>
            <w:shd w:fill="CCEEFF" w:val="clear"/>
            <w:vAlign w:val="bottom"/>
          </w:tcPr>
          <w:p>
            <w:pPr>
              <w:pStyle w:val="TableContents"/>
              <w:bidi w:val="0"/>
              <w:spacing w:before="0" w:after="283"/>
              <w:jc w:val="left"/>
              <w:rPr/>
            </w:pPr>
            <w:r>
              <w:rPr/>
              <w:t>  </w:t>
            </w:r>
          </w:p>
        </w:tc>
        <w:tc>
          <w:tcPr>
            <w:tcW w:w="1702" w:type="dxa"/>
            <w:tcBorders/>
            <w:shd w:fill="CCEEFF" w:val="clear"/>
          </w:tcPr>
          <w:p>
            <w:pPr>
              <w:pStyle w:val="TableContents"/>
              <w:bidi w:val="0"/>
              <w:spacing w:before="0" w:after="283"/>
              <w:jc w:val="left"/>
              <w:rPr/>
            </w:pPr>
            <w:r>
              <w:rPr>
                <w:u w:val="single"/>
              </w:rPr>
              <w:t>&gt;</w:t>
            </w:r>
            <w:r>
              <w:rPr/>
              <w:t xml:space="preserve"> $400 million</w:t>
            </w:r>
          </w:p>
        </w:tc>
        <w:tc>
          <w:tcPr>
            <w:tcW w:w="138" w:type="dxa"/>
            <w:tcBorders/>
            <w:shd w:fill="CCEEFF" w:val="clear"/>
            <w:vAlign w:val="bottom"/>
          </w:tcPr>
          <w:p>
            <w:pPr>
              <w:pStyle w:val="TableContents"/>
              <w:bidi w:val="0"/>
              <w:spacing w:before="0" w:after="283"/>
              <w:jc w:val="left"/>
              <w:rPr/>
            </w:pPr>
            <w:r>
              <w:rPr/>
              <w:t>  </w:t>
            </w:r>
          </w:p>
        </w:tc>
        <w:tc>
          <w:tcPr>
            <w:tcW w:w="1526" w:type="dxa"/>
            <w:tcBorders/>
            <w:shd w:fill="CCEEFF" w:val="clear"/>
          </w:tcPr>
          <w:p>
            <w:pPr>
              <w:pStyle w:val="TableContents"/>
              <w:bidi w:val="0"/>
              <w:spacing w:before="0" w:after="283"/>
              <w:jc w:val="left"/>
              <w:rPr/>
            </w:pPr>
            <w:r>
              <w:rPr/>
              <w:t>$1.00/share</w:t>
            </w:r>
          </w:p>
        </w:tc>
        <w:tc>
          <w:tcPr>
            <w:tcW w:w="138" w:type="dxa"/>
            <w:tcBorders/>
            <w:shd w:fill="CCEEFF" w:val="clear"/>
            <w:vAlign w:val="bottom"/>
          </w:tcPr>
          <w:p>
            <w:pPr>
              <w:pStyle w:val="TableContents"/>
              <w:bidi w:val="0"/>
              <w:spacing w:before="0" w:after="283"/>
              <w:jc w:val="left"/>
              <w:rPr/>
            </w:pPr>
            <w:r>
              <w:rPr/>
              <w:t>  </w:t>
            </w:r>
          </w:p>
        </w:tc>
        <w:tc>
          <w:tcPr>
            <w:tcW w:w="2136" w:type="dxa"/>
            <w:tcBorders/>
            <w:shd w:fill="CCEEFF" w:val="clear"/>
            <w:vAlign w:val="center"/>
          </w:tcPr>
          <w:p>
            <w:pPr>
              <w:pStyle w:val="TableContents"/>
              <w:bidi w:val="0"/>
              <w:spacing w:before="0" w:after="283"/>
              <w:jc w:val="left"/>
              <w:rPr/>
            </w:pPr>
            <w:r>
              <w:rPr/>
              <w:t>Fiscal year ending December 31, 2030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payments will be made with respect to the CVRs. If all milestones are achieved, per share consideration under the CVRs would be $12.00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expected to be financed through a combination of debt and equity and is not subject to any financial conditions or other related contingencies.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1 Refers to “Aggregate Adjusted Sales” which consists of, for a given period, the sum of (a) the total gross amounts accrued or recognized during such period by or on behalf of any selling entity (as defined in the form of CVR Agreement) in respect of sales of product (including any associated freight, services and other revenue), and net only of discounts, credits, rebates and allowances (which, for the avoidance of doubt, do not include any reductions for any internal or external sales commissions) (other than clinical collaboration revenue), (b) royalties accrued or recognized by or on behalf of any selling entity, (c) sublicense income accrued or recognized by or on behalf of any selling entity, (d) clinical collaboration revenue accrued or recognized by or on behalf of any selling entity and (e) DEFINITY kit revenue (as defined in the CVR agreement) accrued or recognized by or on behalf of any selling entity, in each case of (a) through (e), net of sales tax, VAT, pharmaceutical or similar taxes, in each case, as more fully set forth in the form of CVR Agreement. </w:t>
      </w:r>
    </w:p>
    <w:p>
      <w:pPr>
        <w:pStyle w:val="TextBody"/>
        <w:bidi w:val="0"/>
        <w:spacing w:before="0" w:after="0"/>
        <w:jc w:val="left"/>
        <w:rPr>
          <w:rFonts w:ascii="Times New Roman" w:hAnsi="Times New Roman"/>
          <w:sz w:val="20"/>
        </w:rPr>
      </w:pPr>
      <w:r>
        <w:rPr>
          <w:rFonts w:ascii="Times New Roman" w:hAnsi="Times New Roman"/>
          <w:sz w:val="20"/>
        </w:rPr>
        <w:t xml:space="preserve">2 “Global Prostate Cancer Diagnostics” consists of PYLARIFY, PYLARIFY TruVu, and LNTH-2401; any radiodiagnostic containing piflufolastat or RM2; and any future PSMA-targeted radiodiagnostic derived from any of the foregoing. </w:t>
      </w:r>
    </w:p>
    <w:p>
      <w:pPr>
        <w:pStyle w:val="TextBody"/>
        <w:bidi w:val="0"/>
        <w:spacing w:before="0" w:after="0"/>
        <w:jc w:val="left"/>
        <w:rPr>
          <w:rFonts w:ascii="Times New Roman" w:hAnsi="Times New Roman"/>
          <w:sz w:val="20"/>
        </w:rPr>
      </w:pPr>
      <w:r>
        <w:rPr>
          <w:rFonts w:ascii="Times New Roman" w:hAnsi="Times New Roman"/>
          <w:sz w:val="20"/>
        </w:rPr>
        <w:t xml:space="preserve">3 “Global Neurology Diagnostics” consists of Neuraceq, MK-6240, NAV-4694, LNTH-2620; any radiodiagnostic containing florbetaben, florquinitau, flutafuranol, or PI-2620; and any future radiodiagnostic derived from any of the foregoing. </w:t>
      </w:r>
    </w:p>
    <w:p>
      <w:pPr>
        <w:pStyle w:val="TextBody"/>
        <w:bidi w:val="0"/>
        <w:spacing w:before="0" w:after="0"/>
        <w:jc w:val="left"/>
        <w:rPr>
          <w:rFonts w:ascii="Times New Roman" w:hAnsi="Times New Roman"/>
          <w:sz w:val="20"/>
        </w:rPr>
      </w:pPr>
      <w:r>
        <w:rPr>
          <w:rFonts w:ascii="Times New Roman" w:hAnsi="Times New Roman"/>
          <w:sz w:val="20"/>
        </w:rPr>
        <w:t xml:space="preserve">4 “Global DEFINITY Business” consists of DEFINITY and microbubble technology products containing perflutren; and any future microbubble technology products derived from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Until the transaction closes, Lantheus will continue to operate as an independent, publicly traded company. Upon completion, Lantheus will cease to be a publicly traded company.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currently expected to close in the first half of 2027, subject to satisfaction of customary closing conditions, including receipt of Lantheus shareholder approval and required regulatory approvals. </w:t>
      </w:r>
    </w:p>
    <w:p>
      <w:pPr>
        <w:pStyle w:val="TextBody"/>
        <w:bidi w:val="0"/>
        <w:spacing w:before="360" w:after="0"/>
        <w:jc w:val="left"/>
        <w:rPr>
          <w:rFonts w:ascii="Times New Roman" w:hAnsi="Times New Roman"/>
          <w:b/>
          <w:sz w:val="20"/>
        </w:rPr>
      </w:pPr>
      <w:r>
        <w:rPr>
          <w:rFonts w:ascii="Times New Roman" w:hAnsi="Times New Roman"/>
          <w:b/>
          <w:sz w:val="20"/>
        </w:rPr>
        <w:t xml:space="preserve">Lantheus Second Quarter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Lantheus is expected to announce its financial results and provide a business update for the second quarter of 2026 prior to market open on August 6, 2026. Due to the pending transaction with Curium, Lantheus will not be hosting a conference call and will be suspending its previously issued FY 2026 guidance.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&amp; Co. LLC acted as lead financial advisor to Lantheus, and BofA Securities, Inc. and Solomon Partners Securities LLC also acted as financial advisors to Lantheus. Covington &amp; Burling LLP and Ropes &amp; Gray LLP acted as legal counsel to Lantheus. </w:t>
      </w:r>
    </w:p>
    <w:p>
      <w:pPr>
        <w:pStyle w:val="TextBody"/>
        <w:bidi w:val="0"/>
        <w:spacing w:before="240" w:after="0"/>
        <w:jc w:val="left"/>
        <w:rPr>
          <w:rFonts w:ascii="Times New Roman" w:hAnsi="Times New Roman"/>
          <w:sz w:val="20"/>
        </w:rPr>
      </w:pPr>
      <w:r>
        <w:rPr>
          <w:rFonts w:ascii="Times New Roman" w:hAnsi="Times New Roman"/>
          <w:sz w:val="20"/>
        </w:rPr>
        <w:t xml:space="preserve">Jefferies LLC acted as lead financial advisor to Curium. J.P. Morgan Securities LLC and PJT Partners LP also acted as financial advisors to Curium. Kirkland &amp; Ellis LLP and Arnold &amp; Porter Kaye Scholer LLP acted as legal counsel to Curium. </w:t>
      </w:r>
    </w:p>
    <w:p>
      <w:pPr>
        <w:pStyle w:val="TextBody"/>
        <w:bidi w:val="0"/>
        <w:spacing w:before="360" w:after="0"/>
        <w:jc w:val="left"/>
        <w:rPr>
          <w:rFonts w:ascii="Times New Roman" w:hAnsi="Times New Roman"/>
          <w:b/>
          <w:sz w:val="20"/>
        </w:rPr>
      </w:pPr>
      <w:r>
        <w:rPr>
          <w:rFonts w:ascii="Times New Roman" w:hAnsi="Times New Roman"/>
          <w:b/>
          <w:sz w:val="20"/>
        </w:rPr>
        <w:t xml:space="preserve">About Curium </w:t>
      </w:r>
    </w:p>
    <w:p>
      <w:pPr>
        <w:pStyle w:val="TextBody"/>
        <w:bidi w:val="0"/>
        <w:spacing w:before="120" w:after="0"/>
        <w:jc w:val="left"/>
        <w:rPr>
          <w:rFonts w:ascii="Times New Roman" w:hAnsi="Times New Roman"/>
          <w:sz w:val="20"/>
        </w:rPr>
      </w:pPr>
      <w:r>
        <w:rPr>
          <w:rFonts w:ascii="Times New Roman" w:hAnsi="Times New Roman"/>
          <w:sz w:val="20"/>
        </w:rPr>
        <w:t xml:space="preserve">Curium is a leading global radiopharmaceutical company with proven expertise in the development, manufacturing and supply of radiopharmaceuticals that transform the way cancer is diagnosed and treated. Headquartered in Boston with offices around the world, Curium’s mission is to find new and better ways to diagnose and treat cancer. </w:t>
      </w:r>
    </w:p>
    <w:p>
      <w:pPr>
        <w:pStyle w:val="TextBody"/>
        <w:bidi w:val="0"/>
        <w:spacing w:before="240" w:after="0"/>
        <w:jc w:val="left"/>
        <w:rPr>
          <w:rFonts w:ascii="Times New Roman" w:hAnsi="Times New Roman"/>
          <w:sz w:val="20"/>
        </w:rPr>
      </w:pPr>
      <w:r>
        <w:rPr>
          <w:rFonts w:ascii="Times New Roman" w:hAnsi="Times New Roman"/>
          <w:sz w:val="20"/>
        </w:rPr>
        <w:t xml:space="preserve">With a global footprint that extends to more than 70 countries, a skilled and dedicated team of over 3,800 employees, and more than 80 manufacturing sites globally, Curium is highly qualified to meet the significant supply and distribution of established products that underlie success in the radiopharmaceuticals market. Curium’s global leadership is embodied in a diverse and extensive portfolio of over 45 products that advance patient care for a wide range of cancers. </w:t>
      </w:r>
    </w:p>
    <w:p>
      <w:pPr>
        <w:pStyle w:val="TextBody"/>
        <w:bidi w:val="0"/>
        <w:spacing w:before="240" w:after="0"/>
        <w:jc w:val="left"/>
        <w:rPr>
          <w:rFonts w:ascii="Times New Roman" w:hAnsi="Times New Roman"/>
          <w:sz w:val="20"/>
        </w:rPr>
      </w:pPr>
      <w:r>
        <w:rPr>
          <w:rFonts w:ascii="Times New Roman" w:hAnsi="Times New Roman"/>
          <w:sz w:val="20"/>
        </w:rPr>
        <w:t xml:space="preserve">Curium’s pioneering legacy in nuclear medicine is the foundation of the company’s dedication to innovation and portfolio expansion to cancer therapeutics, particularly in neuroendocrine tumors and with a late-stage pipeline exploring opportunities in prostate cancer. </w:t>
      </w:r>
    </w:p>
    <w:p>
      <w:pPr>
        <w:pStyle w:val="TextBody"/>
        <w:bidi w:val="0"/>
        <w:spacing w:before="240" w:after="0"/>
        <w:jc w:val="left"/>
        <w:rPr>
          <w:rFonts w:ascii="Times New Roman" w:hAnsi="Times New Roman"/>
          <w:sz w:val="20"/>
        </w:rPr>
      </w:pPr>
      <w:r>
        <w:rPr>
          <w:rFonts w:ascii="Times New Roman" w:hAnsi="Times New Roman"/>
          <w:sz w:val="20"/>
        </w:rPr>
        <w:t xml:space="preserve">To learn more, visit </w:t>
      </w:r>
      <w:r>
        <w:rPr>
          <w:rFonts w:ascii="Times New Roman" w:hAnsi="Times New Roman"/>
          <w:sz w:val="20"/>
          <w:u w:val="single"/>
        </w:rPr>
        <w:t>www.curiumpharma.com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Lantheus </w:t>
      </w:r>
    </w:p>
    <w:p>
      <w:pPr>
        <w:pStyle w:val="TextBody"/>
        <w:bidi w:val="0"/>
        <w:spacing w:before="120" w:after="0"/>
        <w:jc w:val="left"/>
        <w:rPr>
          <w:rFonts w:ascii="Times New Roman" w:hAnsi="Times New Roman"/>
          <w:sz w:val="20"/>
        </w:rPr>
      </w:pPr>
      <w:r>
        <w:rPr>
          <w:rFonts w:ascii="Times New Roman" w:hAnsi="Times New Roman"/>
          <w:sz w:val="20"/>
        </w:rPr>
        <w:t xml:space="preserve">Lantheus is a leading radiopharmaceutical-focused company, delivering life-changing science to enable clinicians to Find, Fight and Follow disease to deliver better patient outcomes. Headquartered in Massachusetts with offices in New Jersey, Canada, Germany, Sweden, Switzerland and the United Kingdom, Lantheus has been providing radiopharmaceutical solutions for 70 years. For more information, visit www.Lantheus.com.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CapVest </w:t>
      </w:r>
    </w:p>
    <w:p>
      <w:pPr>
        <w:pStyle w:val="TextBody"/>
        <w:bidi w:val="0"/>
        <w:spacing w:before="120" w:after="0"/>
        <w:jc w:val="left"/>
        <w:rPr>
          <w:rFonts w:ascii="Times New Roman" w:hAnsi="Times New Roman"/>
          <w:sz w:val="20"/>
        </w:rPr>
      </w:pPr>
      <w:r>
        <w:rPr>
          <w:rFonts w:ascii="Times New Roman" w:hAnsi="Times New Roman"/>
          <w:sz w:val="20"/>
        </w:rPr>
        <w:t xml:space="preserve">CapVest is a leading international private equity investor with offices in New York, London and Dublin that partners with ambitious companies supplying essential goods and services to transform their businesses. As an active and patient investor, CapVest has established a strong record of success spanning close to 30 years in delivering attractive returns by working closely with management in transforming the size and scale of its portfolio companies through a combination of organic and acquisition-led growth. </w:t>
      </w:r>
    </w:p>
    <w:p>
      <w:pPr>
        <w:pStyle w:val="TextBody"/>
        <w:bidi w:val="0"/>
        <w:spacing w:before="240" w:after="0"/>
        <w:jc w:val="left"/>
        <w:rPr>
          <w:rFonts w:ascii="Times New Roman" w:hAnsi="Times New Roman"/>
          <w:sz w:val="20"/>
        </w:rPr>
      </w:pPr>
      <w:r>
        <w:rPr>
          <w:rFonts w:ascii="Times New Roman" w:hAnsi="Times New Roman"/>
          <w:sz w:val="20"/>
        </w:rPr>
        <w:t xml:space="preserve">With $20 billion of Assets Under Management, CapVest seeks to invest in highly resilient industries where the demand driver for the product or service is non-discretionary. Its core sectors include healthcare, which currently represents approximately 50% of its investment portfolio, consumer staples and essential services.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Lantheus Holdings, Inc. (the “Company”) by Curium US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Curium </w:t>
      </w:r>
    </w:p>
    <w:p>
      <w:pPr>
        <w:pStyle w:val="TextBody"/>
        <w:bidi w:val="0"/>
        <w:spacing w:before="0" w:after="0"/>
        <w:jc w:val="left"/>
        <w:rPr>
          <w:rFonts w:ascii="Times New Roman" w:hAnsi="Times New Roman"/>
          <w:sz w:val="20"/>
        </w:rPr>
      </w:pPr>
      <w:r>
        <w:rPr>
          <w:rFonts w:ascii="Times New Roman" w:hAnsi="Times New Roman"/>
          <w:sz w:val="20"/>
        </w:rPr>
        <w:t xml:space="preserve">Camilla Campbell </w:t>
      </w:r>
    </w:p>
    <w:p>
      <w:pPr>
        <w:pStyle w:val="TextBody"/>
        <w:bidi w:val="0"/>
        <w:spacing w:before="0" w:after="0"/>
        <w:jc w:val="left"/>
        <w:rPr>
          <w:rFonts w:ascii="Times New Roman" w:hAnsi="Times New Roman"/>
          <w:sz w:val="20"/>
        </w:rPr>
      </w:pPr>
      <w:r>
        <w:rPr>
          <w:rFonts w:ascii="Times New Roman" w:hAnsi="Times New Roman"/>
          <w:sz w:val="20"/>
        </w:rPr>
        <w:t xml:space="preserve">VP, Head of Global Communications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communications@curiumpharma.com </w:t>
      </w:r>
    </w:p>
    <w:p>
      <w:pPr>
        <w:pStyle w:val="TextBody"/>
        <w:bidi w:val="0"/>
        <w:spacing w:before="360" w:after="0"/>
        <w:jc w:val="left"/>
        <w:rPr>
          <w:rFonts w:ascii="Times New Roman" w:hAnsi="Times New Roman"/>
          <w:b/>
          <w:sz w:val="20"/>
        </w:rPr>
      </w:pPr>
      <w:r>
        <w:rPr>
          <w:rFonts w:ascii="Times New Roman" w:hAnsi="Times New Roman"/>
          <w:b/>
          <w:sz w:val="20"/>
        </w:rPr>
        <w:t xml:space="preserve">Lantheus </w:t>
      </w:r>
    </w:p>
    <w:p>
      <w:pPr>
        <w:pStyle w:val="TextBody"/>
        <w:bidi w:val="0"/>
        <w:spacing w:before="0" w:after="0"/>
        <w:jc w:val="left"/>
        <w:rPr>
          <w:rFonts w:ascii="Times New Roman" w:hAnsi="Times New Roman"/>
          <w:sz w:val="20"/>
        </w:rPr>
      </w:pPr>
      <w:r>
        <w:rPr>
          <w:rFonts w:ascii="Times New Roman" w:hAnsi="Times New Roman"/>
          <w:sz w:val="20"/>
        </w:rPr>
        <w:t xml:space="preserve">Mark Kinarney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978-671-8842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ir@lantheus.com </w:t>
      </w:r>
    </w:p>
    <w:p>
      <w:pPr>
        <w:pStyle w:val="TextBody"/>
        <w:bidi w:val="0"/>
        <w:spacing w:before="240" w:after="0"/>
        <w:jc w:val="left"/>
        <w:rPr>
          <w:rFonts w:ascii="Times New Roman" w:hAnsi="Times New Roman"/>
          <w:sz w:val="20"/>
        </w:rPr>
      </w:pPr>
      <w:r>
        <w:rPr>
          <w:rFonts w:ascii="Times New Roman" w:hAnsi="Times New Roman"/>
          <w:sz w:val="20"/>
        </w:rPr>
        <w:t xml:space="preserve">Melissa Downs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External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646-975-2533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media@lantheus.com </w:t>
      </w:r>
    </w:p>
    <w:p>
      <w:pPr>
        <w:pStyle w:val="TextBody"/>
        <w:bidi w:val="0"/>
        <w:spacing w:before="360" w:after="0"/>
        <w:jc w:val="left"/>
        <w:rPr>
          <w:rFonts w:ascii="Times New Roman" w:hAnsi="Times New Roman"/>
          <w:b/>
          <w:sz w:val="20"/>
        </w:rPr>
      </w:pPr>
      <w:r>
        <w:rPr>
          <w:rFonts w:ascii="Times New Roman" w:hAnsi="Times New Roman"/>
          <w:b/>
          <w:sz w:val="20"/>
        </w:rPr>
        <w:t xml:space="preserve">CapVest </w:t>
      </w:r>
    </w:p>
    <w:p>
      <w:pPr>
        <w:pStyle w:val="TextBody"/>
        <w:bidi w:val="0"/>
        <w:spacing w:before="0" w:after="0"/>
        <w:jc w:val="left"/>
        <w:rPr>
          <w:rFonts w:ascii="Times New Roman" w:hAnsi="Times New Roman"/>
          <w:sz w:val="20"/>
        </w:rPr>
      </w:pPr>
      <w:r>
        <w:rPr>
          <w:rFonts w:ascii="Times New Roman" w:hAnsi="Times New Roman"/>
          <w:sz w:val="20"/>
        </w:rPr>
        <w:t xml:space="preserve">Ben Valdimarsson </w:t>
      </w:r>
    </w:p>
    <w:p>
      <w:pPr>
        <w:pStyle w:val="TextBody"/>
        <w:bidi w:val="0"/>
        <w:spacing w:before="0" w:after="0"/>
        <w:jc w:val="left"/>
        <w:rPr>
          <w:rFonts w:ascii="Times New Roman" w:hAnsi="Times New Roman"/>
          <w:sz w:val="20"/>
        </w:rPr>
      </w:pPr>
      <w:r>
        <w:rPr>
          <w:rFonts w:ascii="Times New Roman" w:hAnsi="Times New Roman"/>
          <w:sz w:val="20"/>
        </w:rPr>
        <w:t xml:space="preserve">+447889805930 </w:t>
      </w:r>
    </w:p>
    <w:p>
      <w:pPr>
        <w:pStyle w:val="TextBody"/>
        <w:bidi w:val="0"/>
        <w:spacing w:before="0" w:after="0"/>
        <w:jc w:val="left"/>
        <w:rPr>
          <w:rFonts w:ascii="Times New Roman" w:hAnsi="Times New Roman"/>
          <w:sz w:val="20"/>
        </w:rPr>
      </w:pPr>
      <w:r>
        <w:rPr>
          <w:rFonts w:ascii="Times New Roman" w:hAnsi="Times New Roman"/>
          <w:sz w:val="20"/>
          <w:u w:val="single"/>
        </w:rPr>
        <w:t>bvaldimarsson@reputation-inc.com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jc w:val="center"/>
        <w:rPr/>
      </w:pPr>
      <w:bookmarkStart w:id="4" w:name="d148563dex992.htm"/>
      <w:bookmarkStart w:id="5" w:name="ksd148563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Exhibit 99.2 Lantheus Announces Definitive Agreement to Merge with Curium Combined company would span full radiopharmaceutical value chain delivering nuclear medicine solutions to patients and healthcare systems across more than 70 countries August 3, 2026 © 2026 Lantheus. All rights reserved.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Safe Harbor Statements Additional Information and Where to Find it In connection with the proposed acquisition of Lantheus Holdings, Inc. (the “Company”) by Curium US Holdings LLC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Participants in the Solicitation 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Forward-Looking Statements 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The Company undertakes no obligation to publicly update any forward-looking statement, whether as a result of new information, future developments or otherwise, except as may be required by law. No Offer or Solicitation 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 2026 Lantheus. All rights reserved.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Transaction Highlights Certain Near-Term Value Validates 70 Years of Combines Board Conducted with Future Potential Innovation Complementary Comprehensive Upside Preserved Strengths Evaluation • All-cash deal delivers • Reflects Lantheus’ decades • Unites Curium's theranostics • Thoroughly evaluated wide compelling, certain value of radiopharmaceutical portfolio and global range of strategic options, to Lantheus shareholders leadership and innovation manufacturing platform with including outreach to multiple at closing at a premium Lantheus’ radiodiagnostics third parties and remaining as • Unlocks the value of the business a standalone company • Contingent Value Rights platform and portfolio our (CVRs) provide meaningful employees have built • Combined company would • After concluding this robust additional potential upside serve oncology, neurology process, the Board participation in the and cardiology patients unanimously determined that commercial performance across more than 70 countries this transaction is in the best of Lantheus’ products interests of Lantheus and its shareholders as the value maximizing path relative to the other strategic options Transaction maximizes the value of combined company's assets across a global footprint © 2026 Lantheus. All rights reserved.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Summary of Transaction Terms Acquirer Curium $102.50 per share in cash at close, plus non-transferable CVRs providing potential for up to $12.00 per share in additional cash payments Transaction Value Up to $114.50 per share in total consideration; up to ~$8 billion total transaction value Up to $8.00 per share in cash based on Global Prostate Cancer Diagnostics achieving total aggregate sales milestones between $950M and $1,750M in the fiscal year ending December 31, 2030 Up to $3.00 per share in cash based on Global Neurology Diagnostics achieving total aggregate sales CVRs milestones of $300M or $350M in any of the fiscal years ending December 31, 2028, 2029, or 2030 ® $1.00 per share in cash based on Global DEFINITY Business achieving total aggregate sales in excess of $400M in the fiscal year ending December 31, 2030 38% to Lantheus’ unaffected 60-day VWAP 29% to Lantheus’ unaffected 30-day VWAP 1 Premium 21% to Lantheus’ closing price on May 21, 2026 2 17% to Lantheus’ unaffected 52-week intraday high price 2 142% to Lantheus’ unaffected 52-week intraday low price Customary closing conditions, including receipt of Lantheus shareholder approval and required regulatory Closing Conditions approvals Timing of Close Currently expected to close in 1H 2027 1. May 21, 2026 represents the last trading day prior to the first media report of a potential sale transaction; 2. The 52-week period ending May 21, 2026, the last trading day prior to the first media report of a potential sale transaction © 2026 Lantheus. All rights reserved.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CVR Structure and Timelines Total Aggregate CVR Payment Contingent Value Right (CVR) 1 Franchise Sales Milestone (in cash) Measurement Period Non-transferable rights entitling shareholders to additional cash payments upon achievement of ≥ $950 M $1.00/share specified commercial milestones ≥ $1,100 M $1.00/share Global Prostate Cancer Fiscal year ending ≥ $1,200 M $2.00/share 2 Diagnostics Dec. 31, 2030 Rationale ≥ $1,500 M $2.00/share Provides potential additional upside future value for shareholders driven by continued execution of ≥ $1,750 M $2.00/share commercial portfolio and potential late-stage prostate and neurology pipeline contributions ≥ $300 M $2.00/share Any of three fiscal Global Neurology years ending Dec. 31, 3 Diagnostics Allows shareholders to benefit from the combined 2028, 2029, or 2030 ≥ $350 M $1.00/share company’s access and resources to drive those milestones ® Global DEFINITY Fiscal year ending ≥ $400 M $1.00/share 4 Business Dec. 31, 2030 1. Refers to “Aggregate Adjusted Sales” which consists of, for a given period, the sum of (a) the total gross amounts accrued or recognized during such period by or on behalf of any selling entity (as defined in the form of CVR Agreement) in respect of sales of product (including any associated freight, services and other revenue), and net only of discounts, credits, rebates and allowances (which, for the avoidance of doubt, do not include any reductions for any internal or external sales commissions) (other than clinical collaboration revenue), (b) royalties accrued or recognized by or on behalf of any selling entity, (c) sublicense income accrued or recognized by or on behalf of any selling entity, (d) clinical collaboration revenue accrued or recognized by or on behalf of any selling entity and (e) DEFINITY kit revenue (as defined in the CVR agreement) accrued or recognized by or on behalf of any selling entity, in each case of (a) through (e), net of sales tax, VAT, pharmaceutical or similar taxes, in each case, as more fully set forth in the form of CVR Agreement. 2. “Global Prostate Cancer Diagnostics” consists of PYLARIFY, PYLARIFY TruVu,and LNTH-2401; any radiodiagnostic containing piflufolastat or RM2; and any future PSMA-targeted radiodiagnostic derived from any of the foregoing. 3. “Global Neurology Diagnostics” consists of Neuraceq, MK-6240, NAV-4694, LNTH-2620; any radiodiagnostic containing florbetaben, florquinitau, flutafuranol, or PI-2620; and any future radiodiagnostic derived from any of the foregoing. 4. ”Global DEFINITY Business” consists of DEFINITY and microbubble technology products containing perflutren; and any future microbubble technology products derived from any of the foregoing. © 2026 Lantheus. All rights reserved.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About Curium • A leading global radiopharmaceutical company with proven expertise in the development, manufacturing and supply of radiopharmaceuticals that improve the way cancer is diagnosed and treated • Proven track record of expanding access across 70+ countries in 6 continents • Significant global infrastructure, capital, and operational depth • Current European partner for PYLARIFY (marketed as Pylclari) and Neuraceq Founded in 2017 (Merger of IBA Molecular &amp; Mallinckrodt Nuclear Medicine) 17 ~3.8K+ 80 50+ ~14M 70+ Headquarters Offices Skilled Manufacturing Nuclear Patients Markets Across in Boston, MA worldwide Employees Sites Medicine Annually 6 Continents Products © 2026 Lantheus. All rights reserved.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Combining Complementary Strengths to Expand Global Reach Offer reflects value created by Lantheus More NDA approvals than any other radiopharmaceutical company including: through decades of leadership and innovation Lantheus led the renaissance in radiopharmaceuticals and brought radiodiagnostics into the mainstream Second most utilized beta- Leader in Most successful Established PSMA amyloid PET imaging agent cardiac radiodiagnostic PET imaging as 2025 portfolio generated $1.5B+ in revenue for Alzheimer’s disease in the ultrasound of its era the SOC in across oncology, neurology, and cardiology US enhancement prostate cancer for 25 years Proudly served ~7M patients Transaction combines complementary strengths of two radiopharmaceutical pioneers Creates platform to drive global access that COMBINED POSITIONING neither company achieves alone Provide portfolio spanning Accelerate and deepen patient Operate across full Lantheus' radiodiagnostics business and Curium’s oncology, neurology, and radiopharmaceutical access to innovative diagnostics and theranostics portfolio and global manufacturing cardiology – across diagnostics value chain theranostics worldwide supported by platform are highly complementary and therapeutics supported by shared passion to expand reach of global manufacturing platform nuclear medicine to more patients © 2026 Lantheus. All rights reserved.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Board Process Overview Board conducted a comprehensive Unanimously determined evaluation of its strategic options this transaction is in the best interests with the assistance from its financial of the company and its shareholders advisors • The Board approved a transaction structure • The Board's comprehensive review included: that includes: ✓ Outreach to multiple third parties ✓ Aggregate transaction value of up to $8.0 billion ✓ Evaluation of remaining as a standalone company ✓ Compelling, certain value of $102.50 per share in cash at close ✓ The determination that the transaction is in the best interest of Lantheus and its shareholders as the ✓ CVRs to potentially deliver ~$1 billion in value maximizing path relative to the other shareholder value strategic options © 2026 Lantheus. All rights reserved.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Two Pioneers In Radiopharmaceuticals Are Joining Forces Combining decades of achievement to bring innovative treatments to more patients around the world Value For Shareholders Complementary Strengths A natural fit, spanning the full spectrum All-cash CVRs provide Transaction of radiopharmaceutical capabilities across global markets transaction shareholders with maximizes the delivers near-term additional potential value of the value at a upside tied to the combined assets compelling combined company's on a global 1 38% premium performance access Diagnostics Leadership Complementary Theranostics Portfolio &amp; After carefully considered strategic alternatives, including Global Scale remaining as a standalone, the Board has unanimously determined that the transaction is in the best interests of • More NDA approvals than any other • Complementary global theranostics Lantheus and its shareholders as the value maximizing path radiopharmaceutical company portfolio relative to the other strategic options • PYLARIFY helped establish PSMA PET as • Global manufacturing footprint standard of care in prostate cancer • Long history in the space Transaction Validates Lantheus’ imaging 70 Years Of Leadership And Innovation • Proven track record of expanding • Established DEFINITY as a 25-year leader access across 70+ markets in 6 Pioneered the renaissance of radiopharmaceuticals and in cardiac ultrasound enhancing continents brought radiodiagnostics into the mainstream, driven by its agents dedication to Find, Fight and Follow disease to deliver better • Current European partner for PYLARIFY • Turned Neuraceq into one of the patient outcomes (marketed as Pylclari) and Neuraceq fastest-growing beta-amyloid PET agent • 7M patients served Offer reflects the on the market value created by • $1.5B+ in 2025 revenue across Lantheus’ employees oncology, neurology and through seven cardiology decades of Better Outcomes For Patients Globally innovation Accelerates access to innovative diagnostics and theranostics across the U.S., Europe and 1. The total transaction value represents a premium of 38% to Lantheus’ unaffected 60-day worldwide, creating a global platform neither company could achieve alone and advancing volume-weighted average price as of May 21, 2026, the last trading day prior to the first their shared commitment to bring nuclear medicine to more patients media report of a potential sale transaction. 9 © 2026 Lantheus. All rights reserved.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Lantheus Announces Definitive Agreement to Merge with Curium Combined company would span full radiopharmaceutical value chain delivering nuclear medicine solutions to patients and healthcare systems across more than 70 countries August 3, 2026 © 2026 Lantheus. All rights reserved.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9640</Words>
  <Characters>56253</Characters>
  <CharactersWithSpaces>65904</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