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 Treble Cove Road, North Billerica, MA 01862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(978) 671-8001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320" w:right="88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previously announced, on July 25, 2018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Lantheus Medical Imaging, Inc., the operating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LMI</w:t>
      </w:r>
      <w:r>
        <w:rPr>
          <w:rFonts w:ascii="Arial" w:cs="Arial" w:eastAsia="Arial" w:hAnsi="Arial"/>
          <w:sz w:val="16"/>
          <w:szCs w:val="16"/>
          <w:color w:val="auto"/>
        </w:rPr>
        <w:t>”), separated from Timothy Healey, its Senior Vice President, Commercial. In connection with his termination of employment, Mr. Healey entered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a separation agreement, effective September 20, 2018, with LMI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21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Pursuant to the Separation Agreement, subject to his satisfaction of certain obligations, Mr. Healey will receive (i) a cash severance payment of $635,589.04, representing his annual base salary and pro rata amount of his target annual bonus and (ii) reimbursement for COBRA premiums for up to twelve months following the Separation Date, in addition to any amounts required by law or the terms of LMI’s policies and benefit plans. The Separation Agreement includes a confirmation of the restrictive covenants to which Mr. Healey is currently subject, including confidentiality, non-competition, non-solicitation, no-hire, and invention assignment covenants, and a release of claims in favor of LMI, its affiliates and certain other persons.</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foregoing description of the Separation Agreement is qualified in its entirety by reference to the Separation Agreement, which will be filed as an exhibit to a future filing by the Company with the Securities and Exchange Commission pursuant to the Securities Exchange Act of 1934, as amended.</w:t>
      </w:r>
    </w:p>
    <w:p>
      <w:pPr>
        <w:sectPr>
          <w:pgSz w:w="11900" w:h="16838" w:orient="portrait"/>
          <w:cols w:equalWidth="0" w:num="1">
            <w:col w:w="11000"/>
          </w:cols>
          <w:pgMar w:left="440" w:top="270" w:right="45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 Duffy</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Law and Public Policy,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2018</w:t>
      </w:r>
    </w:p>
    <w:sectPr>
      <w:pgSz w:w="11900" w:h="16838" w:orient="portrait"/>
      <w:cols w:equalWidth="0" w:num="1">
        <w:col w:w="10520"/>
      </w:cols>
      <w:pgMar w:left="440" w:top="27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2019-12-07T23:23:50Z</dcterms:created>
  <dcterms:modified xsi:type="dcterms:W3CDTF">2019-12-07T23:23:50Z</dcterms:modified>
</cp:coreProperties>
</file>