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2727d8k.htm"/>
      <w:bookmarkStart w:id="1" w:name="ksd9272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November 6,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LANTHEUS HOLDINGS,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001-36569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35-2318913</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201 Burlington Road</w:t>
            </w:r>
          </w:p>
          <w:p>
            <w:pPr>
              <w:pStyle w:val="TableContents"/>
              <w:bidi w:val="0"/>
              <w:spacing w:before="0" w:after="20"/>
              <w:jc w:val="center"/>
              <w:rPr>
                <w:rFonts w:ascii="Times New Roman" w:hAnsi="Times New Roman"/>
                <w:b/>
                <w:sz w:val="20"/>
              </w:rPr>
            </w:pPr>
            <w:r>
              <w:rPr>
                <w:rFonts w:ascii="Times New Roman" w:hAnsi="Times New Roman"/>
                <w:b/>
                <w:sz w:val="20"/>
              </w:rPr>
              <w:t>South Building</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Bedford, Massachusetts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01730</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(978) 671-8001</w:t>
      </w:r>
    </w:p>
    <w:p>
      <w:pPr>
        <w:pStyle w:val="TextBody"/>
        <w:bidi w:val="0"/>
        <w:spacing w:before="24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470" w:type="dxa"/>
        <w:jc w:val="left"/>
        <w:tblInd w:w="0" w:type="dxa"/>
        <w:tblLayout w:type="fixed"/>
        <w:tblCellMar>
          <w:top w:w="0" w:type="dxa"/>
          <w:left w:w="0" w:type="dxa"/>
          <w:bottom w:w="0" w:type="dxa"/>
          <w:right w:w="0" w:type="dxa"/>
        </w:tblCellMar>
      </w:tblPr>
      <w:tblGrid>
        <w:gridCol w:w="3980"/>
        <w:gridCol w:w="60"/>
        <w:gridCol w:w="740"/>
        <w:gridCol w:w="60"/>
        <w:gridCol w:w="2630"/>
      </w:tblGrid>
      <w:tr>
        <w:trPr/>
        <w:tc>
          <w:tcPr>
            <w:tcW w:w="3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39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980"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LNTH</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6"/>
        <w:gridCol w:w="9359"/>
      </w:tblGrid>
      <w:tr>
        <w:trPr/>
        <w:tc>
          <w:tcPr>
            <w:tcW w:w="846" w:type="dxa"/>
            <w:tcBorders/>
            <w:vAlign w:val="center"/>
          </w:tcPr>
          <w:p>
            <w:pPr>
              <w:pStyle w:val="TableContents"/>
              <w:bidi w:val="0"/>
              <w:spacing w:before="0" w:after="283"/>
              <w:jc w:val="left"/>
              <w:rPr>
                <w:b/>
              </w:rPr>
            </w:pPr>
            <w:r>
              <w:rPr>
                <w:b/>
              </w:rPr>
              <w:t>Item 5.02</w:t>
            </w:r>
          </w:p>
        </w:tc>
        <w:tc>
          <w:tcPr>
            <w:tcW w:w="935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Effective as of November 6, 2025 and in connection with his previously announced retirement, Lantheus Holdings, Inc. (the “Company”) entered into a consulting agreement with Brian Markison, the Company’s Chief Executive Officer (the “Consulting Agreement”), for consulting services that will commence on January 1, 2026, pursuant to which he will serve as an advisor to the Company from January 1, 2026 through March 31, 2026, with the parties having the option to extend the consulting period. Effective as of November 6, 2025, Mr. Markison also entered into a retirement and separation agreement (the “Retirement Agreement”) with the Company. Pursuant to the Retirement Agreement, the Company will continue payment of Mr. Markison’s base salary through December 31, 2025 (the “Retirement Date”) and within 60 days of the Retirement Date will pay him a lump sum amount equal to his earned annual cash bonus in respect of 2025, if any, based on actual Company performance as determined in the ordinary course and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Consulting Agreement, subject to continued compliance with customary restrictive covenants in favor of the Company, Mr. Markinson will receive an advisory fee in an amount equal to $83,333 per month. Pursuant to the Retirement Agreement, his outstanding equity awards will continue to vest through the Retirement Date and, thereafter, will be subject to the retirement features as set forth in each such award, as described in the Company’s definitive proxy statement on Schedule 14A filed with the United States Securities and Exchange Commission on March 21, 2025.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terms of the Consulting Agreement and the Retirement Agreement does not purport to be complete and is qualified in its entirety by reference to the text of the Consulting Agreement and the Retirement Agreement, copies of which will be filed as an exhibit to the Company’s Annual Report on Form 10-K for the fiscal year ending December 31, 2025.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530" w:type="dxa"/>
        <w:jc w:val="left"/>
        <w:tblInd w:w="0" w:type="dxa"/>
        <w:tblLayout w:type="fixed"/>
        <w:tblCellMar>
          <w:top w:w="0" w:type="dxa"/>
          <w:left w:w="0" w:type="dxa"/>
          <w:bottom w:w="0" w:type="dxa"/>
          <w:right w:w="0" w:type="dxa"/>
        </w:tblCellMar>
      </w:tblPr>
      <w:tblGrid>
        <w:gridCol w:w="665"/>
        <w:gridCol w:w="60"/>
        <w:gridCol w:w="480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5" w:type="dxa"/>
            <w:tcBorders/>
            <w:vAlign w:val="center"/>
          </w:tcPr>
          <w:p>
            <w:pPr>
              <w:pStyle w:val="TableContents"/>
              <w:bidi w:val="0"/>
              <w:spacing w:before="0" w:after="283"/>
              <w:jc w:val="left"/>
              <w:rPr>
                <w:sz w:val="4"/>
                <w:szCs w:val="4"/>
              </w:rPr>
            </w:pPr>
            <w:r>
              <w:rPr>
                <w:sz w:val="4"/>
                <w:szCs w:val="4"/>
              </w:rPr>
            </w:r>
          </w:p>
        </w:tc>
      </w:tr>
      <w:tr>
        <w:trPr/>
        <w:tc>
          <w:tcPr>
            <w:tcW w:w="5530" w:type="dxa"/>
            <w:gridSpan w:val="3"/>
            <w:tcBorders/>
            <w:vAlign w:val="center"/>
          </w:tcPr>
          <w:p>
            <w:pPr>
              <w:pStyle w:val="TableContents"/>
              <w:bidi w:val="0"/>
              <w:spacing w:before="0" w:after="283"/>
              <w:jc w:val="left"/>
              <w:rPr>
                <w:b/>
              </w:rPr>
            </w:pPr>
            <w:r>
              <w:rPr>
                <w:b/>
              </w:rPr>
              <w:t>LANTHEUS HOLDINGS, INC.</w:t>
            </w:r>
          </w:p>
        </w:tc>
      </w:tr>
      <w:tr>
        <w:trPr/>
        <w:tc>
          <w:tcPr>
            <w:tcW w:w="665" w:type="dxa"/>
            <w:tcBorders/>
            <w:vAlign w:val="center"/>
          </w:tcPr>
          <w:p>
            <w:pPr>
              <w:pStyle w:val="TableContents"/>
              <w:bidi w:val="0"/>
              <w:spacing w:before="0" w:after="283"/>
              <w:jc w:val="left"/>
              <w:rPr>
                <w:sz w:val="4"/>
                <w:szCs w:val="4"/>
              </w:rPr>
            </w:pPr>
            <w:r>
              <w:rPr>
                <w:sz w:val="4"/>
                <w:szCs w:val="4"/>
              </w:rPr>
            </w:r>
          </w:p>
        </w:tc>
        <w:tc>
          <w:tcPr>
            <w:tcW w:w="486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80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M. Niedzwiecki</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4805" w:type="dxa"/>
            <w:tcBorders/>
            <w:vAlign w:val="center"/>
          </w:tcPr>
          <w:p>
            <w:pPr>
              <w:pStyle w:val="TableContents"/>
              <w:bidi w:val="0"/>
              <w:spacing w:before="0" w:after="283"/>
              <w:jc w:val="left"/>
              <w:rPr/>
            </w:pPr>
            <w:r>
              <w:rPr/>
              <w:t>Daniel M. Niedzwiecki</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4805" w:type="dxa"/>
            <w:tcBorders/>
            <w:vAlign w:val="center"/>
          </w:tcPr>
          <w:p>
            <w:pPr>
              <w:pStyle w:val="TableContents"/>
              <w:bidi w:val="0"/>
              <w:spacing w:before="0" w:after="283"/>
              <w:jc w:val="left"/>
              <w:rPr/>
            </w:pPr>
            <w:r>
              <w:rPr/>
              <w:t>Chief Administrative Officer and General Counsel</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November 12, 2025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695</Words>
  <Characters>3806</Characters>
  <CharactersWithSpaces>4484</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