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August 21,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Lantheus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340" w:type="dxa"/>
        <w:tblCellMar>
          <w:top w:w="0" w:type="dxa"/>
          <w:left w:w="0" w:type="dxa"/>
          <w:bottom w:w="0" w:type="dxa"/>
          <w:right w:w="0" w:type="dxa"/>
        </w:tblCellMar>
      </w:tblPr>
      <w:tr>
        <w:trPr>
          <w:trHeight w:val="214"/>
        </w:trPr>
        <w:tc>
          <w:tcPr>
            <w:tcW w:w="6280" w:type="dxa"/>
            <w:vAlign w:val="bottom"/>
          </w:tcPr>
          <w:p>
            <w:pPr>
              <w:jc w:val="center"/>
              <w:ind w:right="331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35-2318913</w:t>
            </w:r>
          </w:p>
        </w:tc>
      </w:tr>
      <w:tr>
        <w:trPr>
          <w:trHeight w:val="148"/>
        </w:trPr>
        <w:tc>
          <w:tcPr>
            <w:tcW w:w="6280" w:type="dxa"/>
            <w:vAlign w:val="bottom"/>
          </w:tcPr>
          <w:p>
            <w:pPr>
              <w:jc w:val="center"/>
              <w:ind w:right="3317"/>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80" w:type="dxa"/>
            <w:vAlign w:val="bottom"/>
          </w:tcPr>
          <w:p>
            <w:pPr>
              <w:jc w:val="center"/>
              <w:ind w:left="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280" w:type="dxa"/>
            <w:vAlign w:val="bottom"/>
          </w:tcPr>
          <w:p>
            <w:pPr>
              <w:jc w:val="center"/>
              <w:ind w:right="331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6280" w:type="dxa"/>
            <w:vAlign w:val="bottom"/>
          </w:tcPr>
          <w:p>
            <w:pPr>
              <w:jc w:val="center"/>
              <w:ind w:right="3337"/>
              <w:spacing w:after="0"/>
              <w:rPr>
                <w:sz w:val="20"/>
                <w:szCs w:val="20"/>
                <w:color w:val="auto"/>
              </w:rPr>
            </w:pPr>
            <w:r>
              <w:rPr>
                <w:rFonts w:ascii="Times New Roman" w:cs="Times New Roman" w:eastAsia="Times New Roman" w:hAnsi="Times New Roman"/>
                <w:sz w:val="18"/>
                <w:szCs w:val="18"/>
                <w:b w:val="1"/>
                <w:bCs w:val="1"/>
                <w:color w:val="auto"/>
              </w:rPr>
              <w:t>201 Burlington Road, South Building</w:t>
            </w:r>
          </w:p>
        </w:tc>
        <w:tc>
          <w:tcPr>
            <w:tcW w:w="1280" w:type="dxa"/>
            <w:vAlign w:val="bottom"/>
          </w:tcPr>
          <w:p>
            <w:pPr>
              <w:spacing w:after="0"/>
              <w:rPr>
                <w:sz w:val="24"/>
                <w:szCs w:val="24"/>
                <w:color w:val="auto"/>
              </w:rPr>
            </w:pPr>
          </w:p>
        </w:tc>
      </w:tr>
      <w:tr>
        <w:trPr>
          <w:trHeight w:val="227"/>
        </w:trPr>
        <w:tc>
          <w:tcPr>
            <w:tcW w:w="6280" w:type="dxa"/>
            <w:vAlign w:val="bottom"/>
          </w:tcPr>
          <w:p>
            <w:pPr>
              <w:jc w:val="center"/>
              <w:ind w:right="3317"/>
              <w:spacing w:after="0"/>
              <w:rPr>
                <w:sz w:val="20"/>
                <w:szCs w:val="20"/>
                <w:color w:val="auto"/>
              </w:rPr>
            </w:pPr>
            <w:r>
              <w:rPr>
                <w:rFonts w:ascii="Times New Roman" w:cs="Times New Roman" w:eastAsia="Times New Roman" w:hAnsi="Times New Roman"/>
                <w:sz w:val="18"/>
                <w:szCs w:val="18"/>
                <w:b w:val="1"/>
                <w:bCs w:val="1"/>
                <w:color w:val="auto"/>
                <w:w w:val="99"/>
              </w:rPr>
              <w:t>Bedford, Massachusetts 01730</w:t>
            </w:r>
          </w:p>
        </w:tc>
        <w:tc>
          <w:tcPr>
            <w:tcW w:w="12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01862</w:t>
            </w:r>
          </w:p>
        </w:tc>
      </w:tr>
      <w:tr>
        <w:trPr>
          <w:trHeight w:val="190"/>
        </w:trPr>
        <w:tc>
          <w:tcPr>
            <w:tcW w:w="6280" w:type="dxa"/>
            <w:vAlign w:val="bottom"/>
          </w:tcPr>
          <w:p>
            <w:pPr>
              <w:jc w:val="center"/>
              <w:ind w:right="333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6280" w:type="dxa"/>
            <w:vAlign w:val="bottom"/>
          </w:tcPr>
          <w:p>
            <w:pPr>
              <w:jc w:val="center"/>
              <w:ind w:left="1957"/>
              <w:spacing w:after="0"/>
              <w:rPr>
                <w:sz w:val="20"/>
                <w:szCs w:val="20"/>
                <w:color w:val="auto"/>
              </w:rPr>
            </w:pPr>
            <w:r>
              <w:rPr>
                <w:rFonts w:ascii="Times New Roman" w:cs="Times New Roman" w:eastAsia="Times New Roman" w:hAnsi="Times New Roman"/>
                <w:sz w:val="18"/>
                <w:szCs w:val="18"/>
                <w:b w:val="1"/>
                <w:bCs w:val="1"/>
                <w:color w:val="auto"/>
                <w:w w:val="99"/>
              </w:rPr>
              <w:t>Lantheus Holdings, Inc. 2015 Equity Incentive Plan</w:t>
            </w:r>
          </w:p>
        </w:tc>
        <w:tc>
          <w:tcPr>
            <w:tcW w:w="1280" w:type="dxa"/>
            <w:vAlign w:val="bottom"/>
          </w:tcPr>
          <w:p>
            <w:pPr>
              <w:spacing w:after="0"/>
              <w:rPr>
                <w:sz w:val="24"/>
                <w:szCs w:val="24"/>
                <w:color w:val="auto"/>
              </w:rPr>
            </w:pPr>
          </w:p>
        </w:tc>
      </w:tr>
      <w:tr>
        <w:trPr>
          <w:trHeight w:val="190"/>
        </w:trPr>
        <w:tc>
          <w:tcPr>
            <w:tcW w:w="6280" w:type="dxa"/>
            <w:vAlign w:val="bottom"/>
          </w:tcPr>
          <w:p>
            <w:pPr>
              <w:jc w:val="center"/>
              <w:ind w:left="1977"/>
              <w:spacing w:after="0"/>
              <w:rPr>
                <w:sz w:val="20"/>
                <w:szCs w:val="20"/>
                <w:color w:val="auto"/>
              </w:rPr>
            </w:pPr>
            <w:r>
              <w:rPr>
                <w:rFonts w:ascii="Times New Roman" w:cs="Times New Roman" w:eastAsia="Times New Roman" w:hAnsi="Times New Roman"/>
                <w:sz w:val="14"/>
                <w:szCs w:val="14"/>
                <w:b w:val="1"/>
                <w:bCs w:val="1"/>
                <w:color w:val="auto"/>
              </w:rPr>
              <w:t>(Full Title of Plan)</w:t>
            </w:r>
          </w:p>
        </w:tc>
        <w:tc>
          <w:tcPr>
            <w:tcW w:w="1280" w:type="dxa"/>
            <w:vAlign w:val="bottom"/>
          </w:tcPr>
          <w:p>
            <w:pPr>
              <w:spacing w:after="0"/>
              <w:rPr>
                <w:sz w:val="16"/>
                <w:szCs w:val="16"/>
                <w:color w:val="auto"/>
              </w:rPr>
            </w:pPr>
          </w:p>
        </w:tc>
      </w:tr>
      <w:tr>
        <w:trPr>
          <w:trHeight w:val="393"/>
        </w:trPr>
        <w:tc>
          <w:tcPr>
            <w:tcW w:w="6280" w:type="dxa"/>
            <w:vAlign w:val="bottom"/>
          </w:tcPr>
          <w:p>
            <w:pPr>
              <w:jc w:val="center"/>
              <w:ind w:left="1957"/>
              <w:spacing w:after="0"/>
              <w:rPr>
                <w:sz w:val="20"/>
                <w:szCs w:val="20"/>
                <w:color w:val="auto"/>
              </w:rPr>
            </w:pPr>
            <w:r>
              <w:rPr>
                <w:rFonts w:ascii="Times New Roman" w:cs="Times New Roman" w:eastAsia="Times New Roman" w:hAnsi="Times New Roman"/>
                <w:sz w:val="18"/>
                <w:szCs w:val="18"/>
                <w:b w:val="1"/>
                <w:bCs w:val="1"/>
                <w:color w:val="auto"/>
              </w:rPr>
              <w:t>Daniel Niedzwiecki</w:t>
            </w:r>
          </w:p>
        </w:tc>
        <w:tc>
          <w:tcPr>
            <w:tcW w:w="1280" w:type="dxa"/>
            <w:vAlign w:val="bottom"/>
          </w:tcPr>
          <w:p>
            <w:pPr>
              <w:spacing w:after="0"/>
              <w:rPr>
                <w:sz w:val="24"/>
                <w:szCs w:val="24"/>
                <w:color w:val="auto"/>
              </w:rPr>
            </w:pPr>
          </w:p>
        </w:tc>
      </w:tr>
      <w:tr>
        <w:trPr>
          <w:trHeight w:val="216"/>
        </w:trPr>
        <w:tc>
          <w:tcPr>
            <w:tcW w:w="6280" w:type="dxa"/>
            <w:vAlign w:val="bottom"/>
          </w:tcPr>
          <w:p>
            <w:pPr>
              <w:jc w:val="center"/>
              <w:ind w:left="1957"/>
              <w:spacing w:after="0"/>
              <w:rPr>
                <w:sz w:val="20"/>
                <w:szCs w:val="20"/>
                <w:color w:val="auto"/>
              </w:rPr>
            </w:pPr>
            <w:r>
              <w:rPr>
                <w:rFonts w:ascii="Times New Roman" w:cs="Times New Roman" w:eastAsia="Times New Roman" w:hAnsi="Times New Roman"/>
                <w:sz w:val="18"/>
                <w:szCs w:val="18"/>
                <w:b w:val="1"/>
                <w:bCs w:val="1"/>
                <w:color w:val="auto"/>
              </w:rPr>
              <w:t>Chief Administrative Officer and</w:t>
            </w:r>
          </w:p>
        </w:tc>
        <w:tc>
          <w:tcPr>
            <w:tcW w:w="1280" w:type="dxa"/>
            <w:vAlign w:val="bottom"/>
          </w:tcPr>
          <w:p>
            <w:pPr>
              <w:spacing w:after="0"/>
              <w:rPr>
                <w:sz w:val="18"/>
                <w:szCs w:val="18"/>
                <w:color w:val="auto"/>
              </w:rPr>
            </w:pPr>
          </w:p>
        </w:tc>
      </w:tr>
      <w:tr>
        <w:trPr>
          <w:trHeight w:val="216"/>
        </w:trPr>
        <w:tc>
          <w:tcPr>
            <w:tcW w:w="6280" w:type="dxa"/>
            <w:vAlign w:val="bottom"/>
          </w:tcPr>
          <w:p>
            <w:pPr>
              <w:jc w:val="center"/>
              <w:ind w:left="1957"/>
              <w:spacing w:after="0"/>
              <w:rPr>
                <w:sz w:val="20"/>
                <w:szCs w:val="20"/>
                <w:color w:val="auto"/>
              </w:rPr>
            </w:pPr>
            <w:r>
              <w:rPr>
                <w:rFonts w:ascii="Times New Roman" w:cs="Times New Roman" w:eastAsia="Times New Roman" w:hAnsi="Times New Roman"/>
                <w:sz w:val="18"/>
                <w:szCs w:val="18"/>
                <w:b w:val="1"/>
                <w:bCs w:val="1"/>
                <w:color w:val="auto"/>
                <w:w w:val="99"/>
              </w:rPr>
              <w:t>General Counsel</w:t>
            </w:r>
          </w:p>
        </w:tc>
        <w:tc>
          <w:tcPr>
            <w:tcW w:w="1280" w:type="dxa"/>
            <w:vAlign w:val="bottom"/>
          </w:tcPr>
          <w:p>
            <w:pPr>
              <w:spacing w:after="0"/>
              <w:rPr>
                <w:sz w:val="18"/>
                <w:szCs w:val="18"/>
                <w:color w:val="auto"/>
              </w:rPr>
            </w:pPr>
          </w:p>
        </w:tc>
      </w:tr>
      <w:tr>
        <w:trPr>
          <w:trHeight w:val="216"/>
        </w:trPr>
        <w:tc>
          <w:tcPr>
            <w:tcW w:w="6280" w:type="dxa"/>
            <w:vAlign w:val="bottom"/>
          </w:tcPr>
          <w:p>
            <w:pPr>
              <w:jc w:val="center"/>
              <w:ind w:left="1977"/>
              <w:spacing w:after="0"/>
              <w:rPr>
                <w:sz w:val="20"/>
                <w:szCs w:val="20"/>
                <w:color w:val="auto"/>
              </w:rPr>
            </w:pPr>
            <w:r>
              <w:rPr>
                <w:rFonts w:ascii="Times New Roman" w:cs="Times New Roman" w:eastAsia="Times New Roman" w:hAnsi="Times New Roman"/>
                <w:sz w:val="18"/>
                <w:szCs w:val="18"/>
                <w:b w:val="1"/>
                <w:bCs w:val="1"/>
                <w:color w:val="auto"/>
              </w:rPr>
              <w:t>201 Burlington Road, South Building</w:t>
            </w:r>
          </w:p>
        </w:tc>
        <w:tc>
          <w:tcPr>
            <w:tcW w:w="1280" w:type="dxa"/>
            <w:vAlign w:val="bottom"/>
          </w:tcPr>
          <w:p>
            <w:pPr>
              <w:spacing w:after="0"/>
              <w:rPr>
                <w:sz w:val="18"/>
                <w:szCs w:val="18"/>
                <w:color w:val="auto"/>
              </w:rPr>
            </w:pPr>
          </w:p>
        </w:tc>
      </w:tr>
      <w:tr>
        <w:trPr>
          <w:trHeight w:val="214"/>
        </w:trPr>
        <w:tc>
          <w:tcPr>
            <w:tcW w:w="6280" w:type="dxa"/>
            <w:vAlign w:val="bottom"/>
          </w:tcPr>
          <w:p>
            <w:pPr>
              <w:jc w:val="center"/>
              <w:ind w:left="1957"/>
              <w:spacing w:after="0"/>
              <w:rPr>
                <w:sz w:val="20"/>
                <w:szCs w:val="20"/>
                <w:color w:val="auto"/>
              </w:rPr>
            </w:pPr>
            <w:r>
              <w:rPr>
                <w:rFonts w:ascii="Times New Roman" w:cs="Times New Roman" w:eastAsia="Times New Roman" w:hAnsi="Times New Roman"/>
                <w:sz w:val="18"/>
                <w:szCs w:val="18"/>
                <w:b w:val="1"/>
                <w:bCs w:val="1"/>
                <w:color w:val="auto"/>
                <w:w w:val="99"/>
              </w:rPr>
              <w:t>Bedford, Massachusetts 01730</w:t>
            </w:r>
          </w:p>
        </w:tc>
        <w:tc>
          <w:tcPr>
            <w:tcW w:w="1280" w:type="dxa"/>
            <w:vAlign w:val="bottom"/>
          </w:tcPr>
          <w:p>
            <w:pPr>
              <w:spacing w:after="0"/>
              <w:rPr>
                <w:sz w:val="18"/>
                <w:szCs w:val="18"/>
                <w:color w:val="auto"/>
              </w:rPr>
            </w:pPr>
          </w:p>
        </w:tc>
      </w:tr>
      <w:tr>
        <w:trPr>
          <w:trHeight w:val="190"/>
        </w:trPr>
        <w:tc>
          <w:tcPr>
            <w:tcW w:w="6280" w:type="dxa"/>
            <w:vAlign w:val="bottom"/>
          </w:tcPr>
          <w:p>
            <w:pPr>
              <w:jc w:val="center"/>
              <w:ind w:left="1957"/>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tc>
        <w:tc>
          <w:tcPr>
            <w:tcW w:w="1280" w:type="dxa"/>
            <w:vAlign w:val="bottom"/>
          </w:tcPr>
          <w:p>
            <w:pPr>
              <w:spacing w:after="0"/>
              <w:rPr>
                <w:sz w:val="16"/>
                <w:szCs w:val="16"/>
                <w:color w:val="auto"/>
              </w:rPr>
            </w:pPr>
          </w:p>
        </w:tc>
      </w:tr>
      <w:tr>
        <w:trPr>
          <w:trHeight w:val="390"/>
        </w:trPr>
        <w:tc>
          <w:tcPr>
            <w:tcW w:w="6280" w:type="dxa"/>
            <w:vAlign w:val="bottom"/>
          </w:tcPr>
          <w:p>
            <w:pPr>
              <w:jc w:val="center"/>
              <w:ind w:left="1957"/>
              <w:spacing w:after="0"/>
              <w:rPr>
                <w:sz w:val="20"/>
                <w:szCs w:val="20"/>
                <w:color w:val="auto"/>
              </w:rPr>
            </w:pPr>
            <w:r>
              <w:rPr>
                <w:rFonts w:ascii="Times New Roman" w:cs="Times New Roman" w:eastAsia="Times New Roman" w:hAnsi="Times New Roman"/>
                <w:sz w:val="18"/>
                <w:szCs w:val="18"/>
                <w:b w:val="1"/>
                <w:bCs w:val="1"/>
                <w:color w:val="auto"/>
                <w:w w:val="99"/>
              </w:rPr>
              <w:t>(978) 671-8648</w:t>
            </w:r>
          </w:p>
        </w:tc>
        <w:tc>
          <w:tcPr>
            <w:tcW w:w="1280" w:type="dxa"/>
            <w:vAlign w:val="bottom"/>
          </w:tcPr>
          <w:p>
            <w:pPr>
              <w:spacing w:after="0"/>
              <w:rPr>
                <w:sz w:val="24"/>
                <w:szCs w:val="24"/>
                <w:color w:val="auto"/>
              </w:rPr>
            </w:pPr>
          </w:p>
        </w:tc>
      </w:tr>
      <w:tr>
        <w:trPr>
          <w:trHeight w:val="190"/>
        </w:trPr>
        <w:tc>
          <w:tcPr>
            <w:tcW w:w="6280" w:type="dxa"/>
            <w:vAlign w:val="bottom"/>
          </w:tcPr>
          <w:p>
            <w:pPr>
              <w:jc w:val="center"/>
              <w:ind w:left="1977"/>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tc>
        <w:tc>
          <w:tcPr>
            <w:tcW w:w="12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220345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Lantheus Holdings, Inc. (the “Registrant”) is filing this Registration Statement on Form S-8 (this “Registration Statement”) to register an additional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4,000,000 shares of its common stock, par value $0.01 per share, that may be issued and sold under the Lantheus Holdings, Inc. 2015 Equity Incentive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as amended (the “Plan”), following the amendment to the Plan that was approved by the Registrant’s stockholders at its annual meeting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25, 2024. This Registration Statement is submitted in accordance with General Instruction E to the Registration Statement on Form S-8 regarding</w:t>
      </w:r>
    </w:p>
    <w:p>
      <w:pPr>
        <w:spacing w:after="0" w:line="9"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of additional securities, and pursuant to that instruction, the contents of the Registration Statements on Form S-8 (File No. </w:t>
      </w:r>
      <w:hyperlink r:id="rId17">
        <w:r>
          <w:rPr>
            <w:rFonts w:ascii="Times New Roman" w:cs="Times New Roman" w:eastAsia="Times New Roman" w:hAnsi="Times New Roman"/>
            <w:sz w:val="18"/>
            <w:szCs w:val="18"/>
            <w:u w:val="single" w:color="auto"/>
            <w:color w:val="0000EE"/>
          </w:rPr>
          <w:t>333-205211</w:t>
        </w:r>
      </w:hyperlink>
      <w:r>
        <w:rPr>
          <w:rFonts w:ascii="Times New Roman" w:cs="Times New Roman" w:eastAsia="Times New Roman" w:hAnsi="Times New Roman"/>
          <w:sz w:val="18"/>
          <w:szCs w:val="18"/>
          <w:color w:val="auto"/>
        </w:rPr>
        <w:t>, File</w:t>
      </w:r>
    </w:p>
    <w:p>
      <w:pPr>
        <w:spacing w:after="0" w:line="9"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w:t>
      </w:r>
      <w:hyperlink r:id="rId18">
        <w:r>
          <w:rPr>
            <w:rFonts w:ascii="Times New Roman" w:cs="Times New Roman" w:eastAsia="Times New Roman" w:hAnsi="Times New Roman"/>
            <w:sz w:val="18"/>
            <w:szCs w:val="18"/>
            <w:u w:val="single" w:color="auto"/>
            <w:color w:val="0000EE"/>
          </w:rPr>
          <w:t>333-214343</w:t>
        </w:r>
      </w:hyperlink>
      <w:r>
        <w:rPr>
          <w:rFonts w:ascii="Times New Roman" w:cs="Times New Roman" w:eastAsia="Times New Roman" w:hAnsi="Times New Roman"/>
          <w:sz w:val="18"/>
          <w:szCs w:val="18"/>
          <w:color w:val="auto"/>
        </w:rPr>
        <w:t xml:space="preserve">, File No. </w:t>
      </w:r>
      <w:hyperlink r:id="rId19">
        <w:r>
          <w:rPr>
            <w:rFonts w:ascii="Times New Roman" w:cs="Times New Roman" w:eastAsia="Times New Roman" w:hAnsi="Times New Roman"/>
            <w:sz w:val="18"/>
            <w:szCs w:val="18"/>
            <w:u w:val="single" w:color="auto"/>
            <w:color w:val="0000EE"/>
          </w:rPr>
          <w:t>333-220049</w:t>
        </w:r>
      </w:hyperlink>
      <w:r>
        <w:rPr>
          <w:rFonts w:ascii="Times New Roman" w:cs="Times New Roman" w:eastAsia="Times New Roman" w:hAnsi="Times New Roman"/>
          <w:sz w:val="18"/>
          <w:szCs w:val="18"/>
          <w:color w:val="auto"/>
        </w:rPr>
        <w:t xml:space="preserve">, File No. </w:t>
      </w:r>
      <w:hyperlink r:id="rId20">
        <w:r>
          <w:rPr>
            <w:rFonts w:ascii="Times New Roman" w:cs="Times New Roman" w:eastAsia="Times New Roman" w:hAnsi="Times New Roman"/>
            <w:sz w:val="18"/>
            <w:szCs w:val="18"/>
            <w:u w:val="single" w:color="auto"/>
            <w:color w:val="0000EE"/>
          </w:rPr>
          <w:t>333-232919</w:t>
        </w:r>
      </w:hyperlink>
      <w:r>
        <w:rPr>
          <w:rFonts w:ascii="Times New Roman" w:cs="Times New Roman" w:eastAsia="Times New Roman" w:hAnsi="Times New Roman"/>
          <w:sz w:val="18"/>
          <w:szCs w:val="18"/>
          <w:color w:val="auto"/>
        </w:rPr>
        <w:t xml:space="preserve">, File No. </w:t>
      </w:r>
      <w:hyperlink r:id="rId21">
        <w:r>
          <w:rPr>
            <w:rFonts w:ascii="Times New Roman" w:cs="Times New Roman" w:eastAsia="Times New Roman" w:hAnsi="Times New Roman"/>
            <w:sz w:val="18"/>
            <w:szCs w:val="18"/>
            <w:u w:val="single" w:color="auto"/>
            <w:color w:val="0000EE"/>
          </w:rPr>
          <w:t>333-258454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File No. </w:t>
      </w:r>
      <w:hyperlink r:id="rId22">
        <w:r>
          <w:rPr>
            <w:rFonts w:ascii="Times New Roman" w:cs="Times New Roman" w:eastAsia="Times New Roman" w:hAnsi="Times New Roman"/>
            <w:sz w:val="18"/>
            <w:szCs w:val="18"/>
            <w:color w:val="0000EE"/>
          </w:rPr>
          <w:t>333-264890</w:t>
        </w:r>
      </w:hyperlink>
      <w:r>
        <w:rPr>
          <w:rFonts w:ascii="Times New Roman" w:cs="Times New Roman" w:eastAsia="Times New Roman" w:hAnsi="Times New Roman"/>
          <w:sz w:val="18"/>
          <w:szCs w:val="18"/>
          <w:color w:val="auto"/>
        </w:rPr>
        <w:t>) filed with the Securities and Exchange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4493895</wp:posOffset>
            </wp:positionH>
            <wp:positionV relativeFrom="paragraph">
              <wp:posOffset>-19050</wp:posOffset>
            </wp:positionV>
            <wp:extent cx="5803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58039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Commission on June 25, 2015, October 31, 2016, August 18, 2017, July 31, 2019, August 4, 2021 and May 12, 2022, respectively, are incorporated</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herein by reference.</w:t>
      </w: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52" w:lineRule="exact"/>
        <w:rPr>
          <w:rFonts w:ascii="Times New Roman" w:cs="Times New Roman" w:eastAsia="Times New Roman" w:hAnsi="Times New Roman"/>
          <w:sz w:val="18"/>
          <w:szCs w:val="18"/>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See Exhibit Index below.</w:t>
      </w:r>
    </w:p>
    <w:p>
      <w:pPr>
        <w:sectPr>
          <w:pgSz w:w="11900" w:h="16838" w:orient="portrait"/>
          <w:cols w:equalWidth="0" w:num="1">
            <w:col w:w="10980"/>
          </w:cols>
          <w:pgMar w:left="440" w:top="266" w:right="47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56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gridSpan w:val="7"/>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1400" w:type="dxa"/>
            <w:vAlign w:val="bottom"/>
            <w:tcBorders>
              <w:top w:val="single" w:sz="8" w:color="auto"/>
            </w:tcBorders>
            <w:gridSpan w:val="11"/>
            <w:vMerge w:val="restart"/>
          </w:tcPr>
          <w:p>
            <w:pPr>
              <w:spacing w:after="0"/>
              <w:rPr>
                <w:sz w:val="24"/>
                <w:szCs w:val="24"/>
                <w:color w:val="auto"/>
              </w:rPr>
            </w:pPr>
          </w:p>
        </w:tc>
        <w:tc>
          <w:tcPr>
            <w:tcW w:w="120" w:type="dxa"/>
            <w:vAlign w:val="bottom"/>
            <w:gridSpan w:val="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gridSpan w:val="7"/>
            <w:vMerge w:val="continue"/>
          </w:tcPr>
          <w:p>
            <w:pPr>
              <w:spacing w:after="0"/>
              <w:rPr>
                <w:sz w:val="15"/>
                <w:szCs w:val="15"/>
                <w:color w:val="auto"/>
              </w:rPr>
            </w:pPr>
          </w:p>
        </w:tc>
        <w:tc>
          <w:tcPr>
            <w:tcW w:w="1400" w:type="dxa"/>
            <w:vAlign w:val="bottom"/>
            <w:gridSpan w:val="11"/>
            <w:vMerge w:val="continue"/>
          </w:tcPr>
          <w:p>
            <w:pPr>
              <w:spacing w:after="0"/>
              <w:rPr>
                <w:sz w:val="15"/>
                <w:szCs w:val="15"/>
                <w:color w:val="auto"/>
              </w:rPr>
            </w:pPr>
          </w:p>
        </w:tc>
        <w:tc>
          <w:tcPr>
            <w:tcW w:w="1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spacing w:after="0"/>
              <w:rPr>
                <w:sz w:val="22"/>
                <w:szCs w:val="22"/>
                <w:color w:val="auto"/>
              </w:rPr>
            </w:pPr>
          </w:p>
        </w:tc>
        <w:tc>
          <w:tcPr>
            <w:tcW w:w="5380" w:type="dxa"/>
            <w:vAlign w:val="bottom"/>
            <w:tcBorders>
              <w:top w:val="single" w:sz="8" w:color="auto"/>
            </w:tcBorders>
            <w:gridSpan w:val="28"/>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Amended and Restated Certificate of Incorporation of Lantheus Holdings,</w:t>
              </w:r>
            </w:hyperlink>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24">
              <w:r>
                <w:rPr>
                  <w:rFonts w:ascii="Times New Roman" w:cs="Times New Roman" w:eastAsia="Times New Roman" w:hAnsi="Times New Roman"/>
                  <w:sz w:val="18"/>
                  <w:szCs w:val="18"/>
                  <w:color w:val="0000EE"/>
                  <w:w w:val="94"/>
                </w:rPr>
                <w:t>Inc.</w:t>
              </w:r>
            </w:hyperlink>
          </w:p>
        </w:tc>
        <w:tc>
          <w:tcPr>
            <w:tcW w:w="5060" w:type="dxa"/>
            <w:vAlign w:val="bottom"/>
            <w:tcBorders>
              <w:top w:val="single" w:sz="8" w:color="0000EE"/>
            </w:tcBorders>
            <w:gridSpan w:val="26"/>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tcPr>
          <w:p>
            <w:pPr>
              <w:spacing w:after="0"/>
              <w:rPr>
                <w:sz w:val="24"/>
                <w:szCs w:val="24"/>
                <w:color w:val="auto"/>
              </w:rPr>
            </w:pPr>
          </w:p>
        </w:tc>
        <w:tc>
          <w:tcPr>
            <w:tcW w:w="5380" w:type="dxa"/>
            <w:vAlign w:val="bottom"/>
            <w:gridSpan w:val="28"/>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Amended and Restated Bylaws of Lantheus Holdings, Inc.</w:t>
              </w:r>
            </w:hyperlink>
          </w:p>
        </w:tc>
        <w:tc>
          <w:tcPr>
            <w:tcW w:w="0" w:type="dxa"/>
            <w:vAlign w:val="bottom"/>
          </w:tcPr>
          <w:p>
            <w:pPr>
              <w:spacing w:after="0"/>
              <w:rPr>
                <w:sz w:val="1"/>
                <w:szCs w:val="1"/>
                <w:color w:val="auto"/>
              </w:rPr>
            </w:pPr>
          </w:p>
        </w:tc>
      </w:tr>
      <w:tr>
        <w:trPr>
          <w:trHeight w:val="30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tcPr>
          <w:p>
            <w:pPr>
              <w:spacing w:after="0"/>
              <w:rPr>
                <w:sz w:val="24"/>
                <w:szCs w:val="24"/>
                <w:color w:val="auto"/>
              </w:rPr>
            </w:pPr>
          </w:p>
        </w:tc>
        <w:tc>
          <w:tcPr>
            <w:tcW w:w="198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Common Stock Certificate.</w:t>
              </w:r>
            </w:hyperlink>
          </w:p>
        </w:tc>
        <w:tc>
          <w:tcPr>
            <w:tcW w:w="2240" w:type="dxa"/>
            <w:vAlign w:val="bottom"/>
            <w:tcBorders>
              <w:top w:val="single" w:sz="8" w:color="0000EE"/>
            </w:tcBorders>
            <w:gridSpan w:val="8"/>
          </w:tcPr>
          <w:p>
            <w:pPr>
              <w:spacing w:after="0"/>
              <w:rPr>
                <w:sz w:val="24"/>
                <w:szCs w:val="24"/>
                <w:color w:val="auto"/>
              </w:rPr>
            </w:pPr>
          </w:p>
        </w:tc>
        <w:tc>
          <w:tcPr>
            <w:tcW w:w="11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Pr>
          <w:p>
            <w:pPr>
              <w:spacing w:after="0"/>
              <w:rPr>
                <w:sz w:val="24"/>
                <w:szCs w:val="24"/>
                <w:color w:val="auto"/>
              </w:rPr>
            </w:pPr>
          </w:p>
        </w:tc>
        <w:tc>
          <w:tcPr>
            <w:tcW w:w="5380" w:type="dxa"/>
            <w:vAlign w:val="bottom"/>
            <w:gridSpan w:val="28"/>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Lantheus Holdings, Inc. 2015 Equity Incentive Plan.</w:t>
              </w:r>
            </w:hyperlink>
          </w:p>
        </w:tc>
        <w:tc>
          <w:tcPr>
            <w:tcW w:w="0" w:type="dxa"/>
            <w:vAlign w:val="bottom"/>
          </w:tcPr>
          <w:p>
            <w:pPr>
              <w:spacing w:after="0"/>
              <w:rPr>
                <w:sz w:val="1"/>
                <w:szCs w:val="1"/>
                <w:color w:val="auto"/>
              </w:rPr>
            </w:pPr>
          </w:p>
        </w:tc>
      </w:tr>
      <w:tr>
        <w:trPr>
          <w:trHeight w:val="30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Pr>
          <w:p>
            <w:pPr>
              <w:spacing w:after="0"/>
              <w:rPr>
                <w:sz w:val="24"/>
                <w:szCs w:val="24"/>
                <w:color w:val="auto"/>
              </w:rPr>
            </w:pPr>
          </w:p>
        </w:tc>
        <w:tc>
          <w:tcPr>
            <w:tcW w:w="3780" w:type="dxa"/>
            <w:vAlign w:val="bottom"/>
            <w:tcBorders>
              <w:top w:val="single" w:sz="8" w:color="0000EE"/>
            </w:tcBorders>
            <w:gridSpan w:val="12"/>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Form of 2015 Restricted Stock Agreement.</w:t>
              </w:r>
            </w:hyperlink>
          </w:p>
        </w:tc>
        <w:tc>
          <w:tcPr>
            <w:tcW w:w="16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tcPr>
          <w:p>
            <w:pPr>
              <w:spacing w:after="0"/>
              <w:rPr>
                <w:sz w:val="24"/>
                <w:szCs w:val="24"/>
                <w:color w:val="auto"/>
              </w:rPr>
            </w:pPr>
          </w:p>
        </w:tc>
        <w:tc>
          <w:tcPr>
            <w:tcW w:w="310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Form of 2015 Option Award Agreement.</w:t>
              </w:r>
            </w:hyperlink>
          </w:p>
        </w:tc>
        <w:tc>
          <w:tcPr>
            <w:tcW w:w="228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Pr>
          <w:p>
            <w:pPr>
              <w:spacing w:after="0"/>
              <w:rPr>
                <w:sz w:val="24"/>
                <w:szCs w:val="24"/>
                <w:color w:val="auto"/>
              </w:rPr>
            </w:pPr>
          </w:p>
        </w:tc>
        <w:tc>
          <w:tcPr>
            <w:tcW w:w="530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Form of Restricted Stock Unit Award Agreement (Employee Time-Based</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380" w:type="dxa"/>
            <w:vAlign w:val="bottom"/>
            <w:gridSpan w:val="28"/>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Vesting).</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tcPr>
          <w:p>
            <w:pPr>
              <w:spacing w:after="0"/>
              <w:rPr>
                <w:sz w:val="24"/>
                <w:szCs w:val="24"/>
                <w:color w:val="auto"/>
              </w:rPr>
            </w:pPr>
          </w:p>
        </w:tc>
        <w:tc>
          <w:tcPr>
            <w:tcW w:w="46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8"/>
              </w:rPr>
            </w:pPr>
            <w:hyperlink r:id="rId31">
              <w:r>
                <w:rPr>
                  <w:rFonts w:ascii="Times New Roman" w:cs="Times New Roman" w:eastAsia="Times New Roman" w:hAnsi="Times New Roman"/>
                  <w:sz w:val="18"/>
                  <w:szCs w:val="18"/>
                  <w:color w:val="0000EE"/>
                  <w:w w:val="98"/>
                </w:rPr>
                <w:t>Form of Restricted Stock Unit Award Agreement (Relative Total</w:t>
              </w:r>
            </w:hyperlink>
          </w:p>
        </w:tc>
        <w:tc>
          <w:tcPr>
            <w:tcW w:w="7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5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31">
              <w:r>
                <w:rPr>
                  <w:rFonts w:ascii="Times New Roman" w:cs="Times New Roman" w:eastAsia="Times New Roman" w:hAnsi="Times New Roman"/>
                  <w:sz w:val="18"/>
                  <w:szCs w:val="18"/>
                  <w:color w:val="0000EE"/>
                  <w:w w:val="98"/>
                </w:rPr>
                <w:t>Shareholder Return Performance-Based Vesting).</w:t>
              </w:r>
            </w:hyperlink>
          </w:p>
        </w:tc>
        <w:tc>
          <w:tcPr>
            <w:tcW w:w="18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tcPr>
          <w:p>
            <w:pPr>
              <w:spacing w:after="0"/>
              <w:rPr>
                <w:sz w:val="24"/>
                <w:szCs w:val="24"/>
                <w:color w:val="auto"/>
              </w:rPr>
            </w:pPr>
          </w:p>
        </w:tc>
        <w:tc>
          <w:tcPr>
            <w:tcW w:w="41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8"/>
              </w:rPr>
            </w:pPr>
            <w:hyperlink r:id="rId32">
              <w:r>
                <w:rPr>
                  <w:rFonts w:ascii="Times New Roman" w:cs="Times New Roman" w:eastAsia="Times New Roman" w:hAnsi="Times New Roman"/>
                  <w:sz w:val="18"/>
                  <w:szCs w:val="18"/>
                  <w:color w:val="0000EE"/>
                  <w:w w:val="98"/>
                </w:rPr>
                <w:t>Form of Stock Option Award Agreement (Time Vesting).</w:t>
              </w:r>
            </w:hyperlink>
          </w:p>
        </w:tc>
        <w:tc>
          <w:tcPr>
            <w:tcW w:w="12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300" w:type="dxa"/>
            <w:vAlign w:val="bottom"/>
          </w:tcPr>
          <w:p>
            <w:pPr>
              <w:spacing w:after="0"/>
              <w:rPr>
                <w:sz w:val="24"/>
                <w:szCs w:val="24"/>
                <w:color w:val="auto"/>
              </w:rPr>
            </w:pPr>
          </w:p>
        </w:tc>
        <w:tc>
          <w:tcPr>
            <w:tcW w:w="5380" w:type="dxa"/>
            <w:vAlign w:val="bottom"/>
            <w:gridSpan w:val="28"/>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Amendment to Lantheus Holdings, Inc. 2015 Equity Incentive Plan.</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900" w:type="dxa"/>
            <w:vAlign w:val="bottom"/>
            <w:gridSpan w:val="8"/>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300" w:type="dxa"/>
            <w:vAlign w:val="bottom"/>
          </w:tcPr>
          <w:p>
            <w:pPr>
              <w:spacing w:after="0"/>
              <w:rPr>
                <w:sz w:val="24"/>
                <w:szCs w:val="24"/>
                <w:color w:val="auto"/>
              </w:rPr>
            </w:pPr>
          </w:p>
        </w:tc>
        <w:tc>
          <w:tcPr>
            <w:tcW w:w="5380" w:type="dxa"/>
            <w:vAlign w:val="bottom"/>
            <w:gridSpan w:val="28"/>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Second Amendment to Lantheus Holdings, Inc. 2015 Equity Incentive</w:t>
              </w:r>
            </w:hyperlink>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34">
              <w:r>
                <w:rPr>
                  <w:rFonts w:ascii="Times New Roman" w:cs="Times New Roman" w:eastAsia="Times New Roman" w:hAnsi="Times New Roman"/>
                  <w:sz w:val="18"/>
                  <w:szCs w:val="18"/>
                  <w:color w:val="0000EE"/>
                  <w:w w:val="98"/>
                </w:rPr>
                <w:t>Plan.</w:t>
              </w:r>
            </w:hyperlink>
          </w:p>
        </w:tc>
        <w:tc>
          <w:tcPr>
            <w:tcW w:w="4680" w:type="dxa"/>
            <w:vAlign w:val="bottom"/>
            <w:tcBorders>
              <w:top w:val="single" w:sz="8" w:color="0000EE"/>
            </w:tcBorders>
            <w:gridSpan w:val="18"/>
          </w:tcPr>
          <w:p>
            <w:pPr>
              <w:spacing w:after="0"/>
              <w:rPr>
                <w:sz w:val="17"/>
                <w:szCs w:val="17"/>
                <w:color w:val="auto"/>
              </w:rPr>
            </w:pPr>
          </w:p>
        </w:tc>
        <w:tc>
          <w:tcPr>
            <w:tcW w:w="3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300" w:type="dxa"/>
            <w:vAlign w:val="bottom"/>
          </w:tcPr>
          <w:p>
            <w:pPr>
              <w:spacing w:after="0"/>
              <w:rPr>
                <w:sz w:val="24"/>
                <w:szCs w:val="24"/>
                <w:color w:val="auto"/>
              </w:rPr>
            </w:pPr>
          </w:p>
        </w:tc>
        <w:tc>
          <w:tcPr>
            <w:tcW w:w="5380" w:type="dxa"/>
            <w:vAlign w:val="bottom"/>
            <w:gridSpan w:val="28"/>
          </w:tcPr>
          <w:p>
            <w:pPr>
              <w:spacing w:after="0"/>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Third Amendment to Lantheus Holdings, Inc. 2015 Equity Incentive Plan.</w:t>
              </w:r>
            </w:hyperlink>
          </w:p>
        </w:tc>
        <w:tc>
          <w:tcPr>
            <w:tcW w:w="0" w:type="dxa"/>
            <w:vAlign w:val="bottom"/>
          </w:tcPr>
          <w:p>
            <w:pPr>
              <w:spacing w:after="0"/>
              <w:rPr>
                <w:sz w:val="1"/>
                <w:szCs w:val="1"/>
                <w:color w:val="auto"/>
              </w:rPr>
            </w:pPr>
          </w:p>
        </w:tc>
      </w:tr>
      <w:tr>
        <w:trPr>
          <w:trHeight w:val="30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300" w:type="dxa"/>
            <w:vAlign w:val="bottom"/>
          </w:tcPr>
          <w:p>
            <w:pPr>
              <w:spacing w:after="0"/>
              <w:rPr>
                <w:sz w:val="24"/>
                <w:szCs w:val="24"/>
                <w:color w:val="auto"/>
              </w:rPr>
            </w:pPr>
          </w:p>
        </w:tc>
        <w:tc>
          <w:tcPr>
            <w:tcW w:w="5020" w:type="dxa"/>
            <w:vAlign w:val="bottom"/>
            <w:tcBorders>
              <w:top w:val="single" w:sz="8" w:color="0000EE"/>
              <w:bottom w:val="single" w:sz="8" w:color="0000EE"/>
            </w:tcBorders>
            <w:gridSpan w:val="20"/>
          </w:tcPr>
          <w:p>
            <w:pPr>
              <w:spacing w:after="0"/>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Fourth Amendment to Lantheus Holdings, Inc. 2015 Equity Incentive</w:t>
              </w:r>
            </w:hyperlink>
          </w:p>
        </w:tc>
        <w:tc>
          <w:tcPr>
            <w:tcW w:w="320" w:type="dxa"/>
            <w:vAlign w:val="bottom"/>
            <w:tcBorders>
              <w:top w:val="single" w:sz="8" w:color="0000EE"/>
            </w:tcBorders>
            <w:gridSpan w:val="7"/>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380" w:type="dxa"/>
            <w:vAlign w:val="bottom"/>
            <w:gridSpan w:val="28"/>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Plan.</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900" w:type="dxa"/>
            <w:vAlign w:val="bottom"/>
            <w:gridSpan w:val="8"/>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300" w:type="dxa"/>
            <w:vAlign w:val="bottom"/>
          </w:tcPr>
          <w:p>
            <w:pPr>
              <w:spacing w:after="0"/>
              <w:rPr>
                <w:sz w:val="24"/>
                <w:szCs w:val="24"/>
                <w:color w:val="auto"/>
              </w:rPr>
            </w:pPr>
          </w:p>
        </w:tc>
        <w:tc>
          <w:tcPr>
            <w:tcW w:w="530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Fifth Amendment to Lantheus Holdings, Inc. 2015 Equity Incentive Plan.</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300" w:type="dxa"/>
            <w:vAlign w:val="bottom"/>
          </w:tcPr>
          <w:p>
            <w:pPr>
              <w:spacing w:after="0"/>
              <w:rPr>
                <w:sz w:val="24"/>
                <w:szCs w:val="24"/>
                <w:color w:val="auto"/>
              </w:rPr>
            </w:pPr>
          </w:p>
        </w:tc>
        <w:tc>
          <w:tcPr>
            <w:tcW w:w="5380" w:type="dxa"/>
            <w:vAlign w:val="bottom"/>
            <w:gridSpan w:val="28"/>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Sixth Amendment to Lantheus Holdings, Inc. 2015 Equity Incentive Plan.</w:t>
              </w:r>
            </w:hyperlink>
          </w:p>
        </w:tc>
        <w:tc>
          <w:tcPr>
            <w:tcW w:w="0" w:type="dxa"/>
            <w:vAlign w:val="bottom"/>
          </w:tcPr>
          <w:p>
            <w:pPr>
              <w:spacing w:after="0"/>
              <w:rPr>
                <w:sz w:val="1"/>
                <w:szCs w:val="1"/>
                <w:color w:val="auto"/>
              </w:rPr>
            </w:pPr>
          </w:p>
        </w:tc>
      </w:tr>
      <w:tr>
        <w:trPr>
          <w:trHeight w:val="30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300" w:type="dxa"/>
            <w:vAlign w:val="bottom"/>
          </w:tcPr>
          <w:p>
            <w:pPr>
              <w:spacing w:after="0"/>
              <w:rPr>
                <w:sz w:val="24"/>
                <w:szCs w:val="24"/>
                <w:color w:val="auto"/>
              </w:rPr>
            </w:pPr>
          </w:p>
        </w:tc>
        <w:tc>
          <w:tcPr>
            <w:tcW w:w="5120" w:type="dxa"/>
            <w:vAlign w:val="bottom"/>
            <w:tcBorders>
              <w:top w:val="single" w:sz="8" w:color="0000EE"/>
              <w:bottom w:val="single" w:sz="8" w:color="0000EE"/>
            </w:tcBorders>
            <w:gridSpan w:val="22"/>
          </w:tcPr>
          <w:p>
            <w:pPr>
              <w:spacing w:after="0"/>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Seventh Amendment to Lantheus Holdings, Inc. 2015 Equity Incentive</w:t>
              </w:r>
            </w:hyperlink>
          </w:p>
        </w:tc>
        <w:tc>
          <w:tcPr>
            <w:tcW w:w="200" w:type="dxa"/>
            <w:vAlign w:val="bottom"/>
            <w:tcBorders>
              <w:top w:val="single" w:sz="8" w:color="0000EE"/>
            </w:tcBorders>
            <w:gridSpan w:val="4"/>
          </w:tcPr>
          <w:p>
            <w:pPr>
              <w:spacing w:after="0"/>
              <w:rPr>
                <w:sz w:val="24"/>
                <w:szCs w:val="24"/>
                <w:color w:val="auto"/>
              </w:rPr>
            </w:pPr>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380" w:type="dxa"/>
            <w:vAlign w:val="bottom"/>
            <w:gridSpan w:val="28"/>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Plan</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900" w:type="dxa"/>
            <w:vAlign w:val="bottom"/>
            <w:gridSpan w:val="8"/>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Pr>
          <w:p>
            <w:pPr>
              <w:spacing w:after="0"/>
              <w:rPr>
                <w:sz w:val="24"/>
                <w:szCs w:val="24"/>
                <w:color w:val="auto"/>
              </w:rPr>
            </w:pPr>
          </w:p>
        </w:tc>
        <w:tc>
          <w:tcPr>
            <w:tcW w:w="25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Legal Opinion of Foley Hoag LLP.</w:t>
            </w:r>
          </w:p>
        </w:tc>
        <w:tc>
          <w:tcPr>
            <w:tcW w:w="286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00" w:type="dxa"/>
            <w:vAlign w:val="bottom"/>
          </w:tcPr>
          <w:p>
            <w:pPr>
              <w:spacing w:after="0"/>
              <w:rPr>
                <w:sz w:val="24"/>
                <w:szCs w:val="24"/>
                <w:color w:val="auto"/>
              </w:rPr>
            </w:pPr>
          </w:p>
        </w:tc>
        <w:tc>
          <w:tcPr>
            <w:tcW w:w="518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Consent of Independent Registered Public Accounting Firm, Deloitte &amp;</w:t>
            </w:r>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4"/>
              </w:rPr>
              <w:t>Touche LLP.</w:t>
            </w:r>
          </w:p>
        </w:tc>
        <w:tc>
          <w:tcPr>
            <w:tcW w:w="446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300" w:type="dxa"/>
            <w:vAlign w:val="bottom"/>
          </w:tcPr>
          <w:p>
            <w:pPr>
              <w:spacing w:after="0"/>
              <w:rPr>
                <w:sz w:val="24"/>
                <w:szCs w:val="24"/>
                <w:color w:val="auto"/>
              </w:rPr>
            </w:pPr>
          </w:p>
        </w:tc>
        <w:tc>
          <w:tcPr>
            <w:tcW w:w="538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Consent of Foley Hoag LLP (included as part of Exhibit 5.1).</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3240" w:type="dxa"/>
            <w:vAlign w:val="bottom"/>
            <w:gridSpan w:val="10"/>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300" w:type="dxa"/>
            <w:vAlign w:val="bottom"/>
          </w:tcPr>
          <w:p>
            <w:pPr>
              <w:spacing w:after="0"/>
              <w:rPr>
                <w:sz w:val="24"/>
                <w:szCs w:val="24"/>
                <w:color w:val="auto"/>
              </w:rPr>
            </w:pPr>
          </w:p>
        </w:tc>
        <w:tc>
          <w:tcPr>
            <w:tcW w:w="47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Power of Attorney (included as part of the signature page hereto).</w:t>
            </w:r>
          </w:p>
        </w:tc>
        <w:tc>
          <w:tcPr>
            <w:tcW w:w="6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tcPr>
          <w:p>
            <w:pPr>
              <w:spacing w:after="0"/>
              <w:rPr>
                <w:sz w:val="24"/>
                <w:szCs w:val="24"/>
                <w:color w:val="auto"/>
              </w:rPr>
            </w:pPr>
          </w:p>
        </w:tc>
        <w:tc>
          <w:tcPr>
            <w:tcW w:w="11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420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tabs>
          <w:tab w:leader="none" w:pos="424" w:val="left"/>
        </w:tabs>
        <w:numPr>
          <w:ilvl w:val="0"/>
          <w:numId w:val="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FORM</w:t>
            </w:r>
          </w:p>
        </w:tc>
        <w:tc>
          <w:tcPr>
            <w:tcW w:w="260" w:type="dxa"/>
            <w:vAlign w:val="bottom"/>
            <w:tcBorders>
              <w:top w:val="single" w:sz="8" w:color="auto"/>
            </w:tcBorders>
            <w:vMerge w:val="restart"/>
          </w:tcPr>
          <w:p>
            <w:pPr>
              <w:spacing w:after="0"/>
              <w:rPr>
                <w:sz w:val="11"/>
                <w:szCs w:val="11"/>
                <w:color w:val="auto"/>
              </w:rPr>
            </w:pPr>
          </w:p>
        </w:tc>
        <w:tc>
          <w:tcPr>
            <w:tcW w:w="1200" w:type="dxa"/>
            <w:vAlign w:val="bottom"/>
            <w:tcBorders>
              <w:top w:val="single" w:sz="8" w:color="auto"/>
            </w:tcBorders>
            <w:gridSpan w:val="2"/>
          </w:tcPr>
          <w:p>
            <w:pPr>
              <w:ind w:left="300"/>
              <w:spacing w:after="0" w:line="129" w:lineRule="exact"/>
              <w:rPr>
                <w:sz w:val="20"/>
                <w:szCs w:val="20"/>
                <w:color w:val="auto"/>
              </w:rPr>
            </w:pPr>
            <w:r>
              <w:rPr>
                <w:rFonts w:ascii="Times New Roman" w:cs="Times New Roman" w:eastAsia="Times New Roman" w:hAnsi="Times New Roman"/>
                <w:sz w:val="14"/>
                <w:szCs w:val="14"/>
                <w:b w:val="1"/>
                <w:bCs w:val="1"/>
                <w:color w:val="auto"/>
              </w:rPr>
              <w:t>FILE</w:t>
            </w:r>
          </w:p>
        </w:tc>
        <w:tc>
          <w:tcPr>
            <w:tcW w:w="900" w:type="dxa"/>
            <w:vAlign w:val="bottom"/>
            <w:tcBorders>
              <w:top w:val="single" w:sz="8" w:color="auto"/>
            </w:tcBorders>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FILING</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0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6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DATE</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8-K</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001-36569</w:t>
            </w:r>
          </w:p>
        </w:tc>
        <w:tc>
          <w:tcPr>
            <w:tcW w:w="260" w:type="dxa"/>
            <w:vAlign w:val="bottom"/>
          </w:tcPr>
          <w:p>
            <w:pPr>
              <w:spacing w:after="0"/>
              <w:rPr>
                <w:sz w:val="24"/>
                <w:szCs w:val="2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April 27, 2018</w:t>
            </w:r>
          </w:p>
        </w:tc>
        <w:tc>
          <w:tcPr>
            <w:tcW w:w="0" w:type="dxa"/>
            <w:vAlign w:val="bottom"/>
          </w:tcPr>
          <w:p>
            <w:pPr>
              <w:spacing w:after="0"/>
              <w:rPr>
                <w:sz w:val="1"/>
                <w:szCs w:val="1"/>
                <w:color w:val="auto"/>
              </w:rPr>
            </w:pPr>
          </w:p>
        </w:tc>
      </w:tr>
      <w:tr>
        <w:trPr>
          <w:trHeight w:val="324"/>
        </w:trPr>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001-36569</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December 27, 2021</w:t>
            </w:r>
          </w:p>
        </w:tc>
        <w:tc>
          <w:tcPr>
            <w:tcW w:w="0" w:type="dxa"/>
            <w:vAlign w:val="bottom"/>
          </w:tcPr>
          <w:p>
            <w:pPr>
              <w:spacing w:after="0"/>
              <w:rPr>
                <w:sz w:val="1"/>
                <w:szCs w:val="1"/>
                <w:color w:val="auto"/>
              </w:rPr>
            </w:pPr>
          </w:p>
        </w:tc>
      </w:tr>
      <w:tr>
        <w:trPr>
          <w:trHeight w:val="324"/>
        </w:trPr>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001-36569</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June 30, 2015</w:t>
            </w:r>
          </w:p>
        </w:tc>
        <w:tc>
          <w:tcPr>
            <w:tcW w:w="0" w:type="dxa"/>
            <w:vAlign w:val="bottom"/>
          </w:tcPr>
          <w:p>
            <w:pPr>
              <w:spacing w:after="0"/>
              <w:rPr>
                <w:sz w:val="1"/>
                <w:szCs w:val="1"/>
                <w:color w:val="auto"/>
              </w:rPr>
            </w:pPr>
          </w:p>
        </w:tc>
      </w:tr>
      <w:tr>
        <w:trPr>
          <w:trHeight w:val="324"/>
        </w:trPr>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333-196998</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10.37</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June 16, 2015</w:t>
            </w:r>
          </w:p>
        </w:tc>
        <w:tc>
          <w:tcPr>
            <w:tcW w:w="0" w:type="dxa"/>
            <w:vAlign w:val="bottom"/>
          </w:tcPr>
          <w:p>
            <w:pPr>
              <w:spacing w:after="0"/>
              <w:rPr>
                <w:sz w:val="1"/>
                <w:szCs w:val="1"/>
                <w:color w:val="auto"/>
              </w:rPr>
            </w:pPr>
          </w:p>
        </w:tc>
      </w:tr>
      <w:tr>
        <w:trPr>
          <w:trHeight w:val="324"/>
        </w:trPr>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333-196998</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10.38</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June 16, 2015</w:t>
            </w:r>
          </w:p>
        </w:tc>
        <w:tc>
          <w:tcPr>
            <w:tcW w:w="0" w:type="dxa"/>
            <w:vAlign w:val="bottom"/>
          </w:tcPr>
          <w:p>
            <w:pPr>
              <w:spacing w:after="0"/>
              <w:rPr>
                <w:sz w:val="1"/>
                <w:szCs w:val="1"/>
                <w:color w:val="auto"/>
              </w:rPr>
            </w:pPr>
          </w:p>
        </w:tc>
      </w:tr>
      <w:tr>
        <w:trPr>
          <w:trHeight w:val="324"/>
        </w:trPr>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333-196998</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10.39</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June 16, 2015</w:t>
            </w:r>
          </w:p>
        </w:tc>
        <w:tc>
          <w:tcPr>
            <w:tcW w:w="0" w:type="dxa"/>
            <w:vAlign w:val="bottom"/>
          </w:tcPr>
          <w:p>
            <w:pPr>
              <w:spacing w:after="0"/>
              <w:rPr>
                <w:sz w:val="1"/>
                <w:szCs w:val="1"/>
                <w:color w:val="auto"/>
              </w:rPr>
            </w:pPr>
          </w:p>
        </w:tc>
      </w:tr>
      <w:tr>
        <w:trPr>
          <w:trHeight w:val="540"/>
        </w:trPr>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10-Q</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001-36569</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April 29, 2022</w:t>
            </w:r>
          </w:p>
        </w:tc>
        <w:tc>
          <w:tcPr>
            <w:tcW w:w="0" w:type="dxa"/>
            <w:vAlign w:val="bottom"/>
          </w:tcPr>
          <w:p>
            <w:pPr>
              <w:spacing w:after="0"/>
              <w:rPr>
                <w:sz w:val="1"/>
                <w:szCs w:val="1"/>
                <w:color w:val="auto"/>
              </w:rPr>
            </w:pPr>
          </w:p>
        </w:tc>
      </w:tr>
      <w:tr>
        <w:trPr>
          <w:trHeight w:val="540"/>
        </w:trPr>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10-Q</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001-36569</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April 29, 2022</w:t>
            </w:r>
          </w:p>
        </w:tc>
        <w:tc>
          <w:tcPr>
            <w:tcW w:w="0" w:type="dxa"/>
            <w:vAlign w:val="bottom"/>
          </w:tcPr>
          <w:p>
            <w:pPr>
              <w:spacing w:after="0"/>
              <w:rPr>
                <w:sz w:val="1"/>
                <w:szCs w:val="1"/>
                <w:color w:val="auto"/>
              </w:rPr>
            </w:pPr>
          </w:p>
        </w:tc>
      </w:tr>
      <w:tr>
        <w:trPr>
          <w:trHeight w:val="324"/>
        </w:trPr>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10-Q</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001-36569</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10.4</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April 29, 2022</w:t>
            </w:r>
          </w:p>
        </w:tc>
        <w:tc>
          <w:tcPr>
            <w:tcW w:w="0" w:type="dxa"/>
            <w:vAlign w:val="bottom"/>
          </w:tcPr>
          <w:p>
            <w:pPr>
              <w:spacing w:after="0"/>
              <w:rPr>
                <w:sz w:val="1"/>
                <w:szCs w:val="1"/>
                <w:color w:val="auto"/>
              </w:rPr>
            </w:pPr>
          </w:p>
        </w:tc>
      </w:tr>
      <w:tr>
        <w:trPr>
          <w:trHeight w:val="324"/>
        </w:trPr>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001-36569</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April 28, 2016</w:t>
            </w:r>
          </w:p>
        </w:tc>
        <w:tc>
          <w:tcPr>
            <w:tcW w:w="0" w:type="dxa"/>
            <w:vAlign w:val="bottom"/>
          </w:tcPr>
          <w:p>
            <w:pPr>
              <w:spacing w:after="0"/>
              <w:rPr>
                <w:sz w:val="1"/>
                <w:szCs w:val="1"/>
                <w:color w:val="auto"/>
              </w:rPr>
            </w:pPr>
          </w:p>
        </w:tc>
      </w:tr>
      <w:tr>
        <w:trPr>
          <w:trHeight w:val="540"/>
        </w:trPr>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001-36569</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April 28, 2017</w:t>
            </w:r>
          </w:p>
        </w:tc>
        <w:tc>
          <w:tcPr>
            <w:tcW w:w="0" w:type="dxa"/>
            <w:vAlign w:val="bottom"/>
          </w:tcPr>
          <w:p>
            <w:pPr>
              <w:spacing w:after="0"/>
              <w:rPr>
                <w:sz w:val="1"/>
                <w:szCs w:val="1"/>
                <w:color w:val="auto"/>
              </w:rPr>
            </w:pPr>
          </w:p>
        </w:tc>
      </w:tr>
      <w:tr>
        <w:trPr>
          <w:trHeight w:val="324"/>
        </w:trPr>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10-Q</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001-36569</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April 30, 2019</w:t>
            </w:r>
          </w:p>
        </w:tc>
        <w:tc>
          <w:tcPr>
            <w:tcW w:w="0" w:type="dxa"/>
            <w:vAlign w:val="bottom"/>
          </w:tcPr>
          <w:p>
            <w:pPr>
              <w:spacing w:after="0"/>
              <w:rPr>
                <w:sz w:val="1"/>
                <w:szCs w:val="1"/>
                <w:color w:val="auto"/>
              </w:rPr>
            </w:pPr>
          </w:p>
        </w:tc>
      </w:tr>
      <w:tr>
        <w:trPr>
          <w:trHeight w:val="540"/>
        </w:trPr>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001-36569</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April 26, 2019</w:t>
            </w:r>
          </w:p>
        </w:tc>
        <w:tc>
          <w:tcPr>
            <w:tcW w:w="0" w:type="dxa"/>
            <w:vAlign w:val="bottom"/>
          </w:tcPr>
          <w:p>
            <w:pPr>
              <w:spacing w:after="0"/>
              <w:rPr>
                <w:sz w:val="1"/>
                <w:szCs w:val="1"/>
                <w:color w:val="auto"/>
              </w:rPr>
            </w:pPr>
          </w:p>
        </w:tc>
      </w:tr>
      <w:tr>
        <w:trPr>
          <w:trHeight w:val="324"/>
        </w:trPr>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001-36569</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April 29, 2021</w:t>
            </w:r>
          </w:p>
        </w:tc>
        <w:tc>
          <w:tcPr>
            <w:tcW w:w="0" w:type="dxa"/>
            <w:vAlign w:val="bottom"/>
          </w:tcPr>
          <w:p>
            <w:pPr>
              <w:spacing w:after="0"/>
              <w:rPr>
                <w:sz w:val="1"/>
                <w:szCs w:val="1"/>
                <w:color w:val="auto"/>
              </w:rPr>
            </w:pPr>
          </w:p>
        </w:tc>
      </w:tr>
      <w:tr>
        <w:trPr>
          <w:trHeight w:val="324"/>
        </w:trPr>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001-36569</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May 2, 2022</w:t>
            </w:r>
          </w:p>
        </w:tc>
        <w:tc>
          <w:tcPr>
            <w:tcW w:w="0" w:type="dxa"/>
            <w:vAlign w:val="bottom"/>
          </w:tcPr>
          <w:p>
            <w:pPr>
              <w:spacing w:after="0"/>
              <w:rPr>
                <w:sz w:val="1"/>
                <w:szCs w:val="1"/>
                <w:color w:val="auto"/>
              </w:rPr>
            </w:pPr>
          </w:p>
        </w:tc>
      </w:tr>
      <w:tr>
        <w:trPr>
          <w:trHeight w:val="540"/>
        </w:trPr>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001-36569</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April 29, 2024</w:t>
            </w:r>
          </w:p>
        </w:tc>
        <w:tc>
          <w:tcPr>
            <w:tcW w:w="0" w:type="dxa"/>
            <w:vAlign w:val="bottom"/>
          </w:tcPr>
          <w:p>
            <w:pPr>
              <w:spacing w:after="0"/>
              <w:rPr>
                <w:sz w:val="1"/>
                <w:szCs w:val="1"/>
                <w:color w:val="auto"/>
              </w:rPr>
            </w:pPr>
          </w:p>
        </w:tc>
      </w:tr>
    </w:tbl>
    <w:p>
      <w:pPr>
        <w:sectPr>
          <w:pgSz w:w="11900" w:h="16838" w:orient="portrait"/>
          <w:cols w:equalWidth="0" w:num="2">
            <w:col w:w="6324" w:space="200"/>
            <w:col w:w="4500"/>
          </w:cols>
          <w:pgMar w:left="436" w:top="257"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Bedford, Commonwealth of Massachusetts, on August 21, 2024.</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Markison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Brian Markison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KNOW ALL PERSONS BY THESE PRESENTS, that each of the undersigned constitutes and appoints each of Brian Markison, Robert J. Marshall, Jr. and Daniel Niedzwiecki, each acting alone, her or his true and lawful attorney-in-fact and agent, with full power of substitution and resubstitution, for such person and in her or his name, place and stead, in any and all capacities, to sign this Registration Statement on Form S-8 (including</w:t>
      </w:r>
    </w:p>
    <w:p>
      <w:pPr>
        <w:spacing w:after="0" w:line="1"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all pre-effective and post-effective amendments and registration statements filed pursuant to Rule 462(b) under the Securities Act of 1933), and to file the same, with all exhibits thereto, and other documents in connection therewith, with the Securities and Exchange Commission, granting unto</w:t>
      </w:r>
    </w:p>
    <w:p>
      <w:pPr>
        <w:spacing w:after="0" w:line="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her or his substitute or substitutes, may lawfully do or cause to be done by virtue hereof.</w:t>
      </w:r>
    </w:p>
    <w:p>
      <w:pPr>
        <w:spacing w:after="0" w:line="18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020"/>
          </w:cols>
          <w:pgMar w:left="440" w:top="266" w:right="439" w:bottom="1440" w:gutter="0" w:footer="0" w:header="0"/>
        </w:sectPr>
      </w:pPr>
    </w:p>
    <w:p>
      <w:pPr>
        <w:spacing w:after="0" w:line="182"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24517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0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Brian Markison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4517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3">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Brian Markison</w:t>
      </w:r>
    </w:p>
    <w:p>
      <w:pPr>
        <w:spacing w:after="0" w:line="234"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color w:val="auto"/>
        </w:rPr>
        <w:t>/s/ Robert J. Marshall,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24765</wp:posOffset>
            </wp:positionV>
            <wp:extent cx="24517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4">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9"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Robert J. Marshall, Jr.</w:t>
      </w:r>
    </w:p>
    <w:p>
      <w:pPr>
        <w:spacing w:after="0" w:line="234"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Kimberly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4517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5">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Kimberly Brown</w:t>
      </w:r>
    </w:p>
    <w:p>
      <w:pPr>
        <w:spacing w:after="0" w:line="234"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Mary Anne Heino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4517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6">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Mary Anne Heino</w:t>
      </w:r>
    </w:p>
    <w:p>
      <w:pPr>
        <w:spacing w:after="0" w:line="234"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Minnie Baylor-Henry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4517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Minnie Baylor-Henry</w:t>
      </w:r>
    </w:p>
    <w:p>
      <w:pPr>
        <w:spacing w:after="0" w:line="234"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Dr. Gérard 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4517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Dr. Gérard Ber</w:t>
      </w:r>
    </w:p>
    <w:p>
      <w:pPr>
        <w:spacing w:after="0" w:line="234"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Samuel Leno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4517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9">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Samuel Leno</w:t>
      </w:r>
    </w:p>
    <w:p>
      <w:pPr>
        <w:spacing w:after="0" w:line="234"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Heinz Mäusli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4517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0">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Heinz Mäusli</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00" w:type="dxa"/>
            <w:vAlign w:val="bottom"/>
          </w:tcPr>
          <w:p>
            <w:pPr>
              <w:spacing w:after="0"/>
              <w:rPr>
                <w:sz w:val="16"/>
                <w:szCs w:val="16"/>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94"/>
        </w:trPr>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3420" w:type="dxa"/>
            <w:vAlign w:val="bottom"/>
          </w:tcPr>
          <w:p>
            <w:pPr>
              <w:spacing w:after="0"/>
              <w:rPr>
                <w:sz w:val="24"/>
                <w:szCs w:val="24"/>
                <w:color w:val="auto"/>
              </w:rPr>
            </w:pPr>
          </w:p>
        </w:tc>
      </w:tr>
      <w:tr>
        <w:trPr>
          <w:trHeight w:val="261"/>
        </w:trPr>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21, 2024</w:t>
            </w:r>
          </w:p>
        </w:tc>
      </w:tr>
      <w:tr>
        <w:trPr>
          <w:trHeight w:val="414"/>
        </w:trPr>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3420" w:type="dxa"/>
            <w:vAlign w:val="bottom"/>
          </w:tcPr>
          <w:p>
            <w:pPr>
              <w:spacing w:after="0"/>
              <w:rPr>
                <w:sz w:val="24"/>
                <w:szCs w:val="24"/>
                <w:color w:val="auto"/>
              </w:rPr>
            </w:pPr>
          </w:p>
        </w:tc>
      </w:tr>
      <w:tr>
        <w:trPr>
          <w:trHeight w:val="261"/>
        </w:trPr>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21, 2024</w:t>
            </w:r>
          </w:p>
        </w:tc>
      </w:tr>
      <w:tr>
        <w:trPr>
          <w:trHeight w:val="414"/>
        </w:trPr>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3420" w:type="dxa"/>
            <w:vAlign w:val="bottom"/>
          </w:tcPr>
          <w:p>
            <w:pPr>
              <w:spacing w:after="0"/>
              <w:rPr>
                <w:sz w:val="24"/>
                <w:szCs w:val="24"/>
                <w:color w:val="auto"/>
              </w:rPr>
            </w:pPr>
          </w:p>
        </w:tc>
      </w:tr>
      <w:tr>
        <w:trPr>
          <w:trHeight w:val="261"/>
        </w:trPr>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21, 2024</w:t>
            </w:r>
          </w:p>
        </w:tc>
      </w:tr>
      <w:tr>
        <w:trPr>
          <w:trHeight w:val="675"/>
        </w:trPr>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 of the Board of Directors</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21, 2024</w:t>
            </w:r>
          </w:p>
        </w:tc>
      </w:tr>
      <w:tr>
        <w:trPr>
          <w:trHeight w:val="675"/>
        </w:trPr>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21, 2024</w:t>
            </w:r>
          </w:p>
        </w:tc>
      </w:tr>
      <w:tr>
        <w:trPr>
          <w:trHeight w:val="675"/>
        </w:trPr>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21, 2024</w:t>
            </w:r>
          </w:p>
        </w:tc>
      </w:tr>
      <w:tr>
        <w:trPr>
          <w:trHeight w:val="675"/>
        </w:trPr>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21, 2024</w:t>
            </w:r>
          </w:p>
        </w:tc>
      </w:tr>
      <w:tr>
        <w:trPr>
          <w:trHeight w:val="675"/>
        </w:trPr>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21, 2024</w:t>
            </w:r>
          </w:p>
        </w:tc>
      </w:tr>
    </w:tbl>
    <w:p>
      <w:pPr>
        <w:sectPr>
          <w:pgSz w:w="11900" w:h="16838" w:orient="portrait"/>
          <w:cols w:equalWidth="0" w:num="2">
            <w:col w:w="3260" w:space="720"/>
            <w:col w:w="7040"/>
          </w:cols>
          <w:pgMar w:left="440" w:top="266" w:right="439" w:bottom="1440" w:gutter="0" w:footer="0" w:header="0"/>
          <w:type w:val="continuous"/>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Julie McHugh</w:t>
            </w:r>
          </w:p>
        </w:tc>
        <w:tc>
          <w:tcPr>
            <w:tcW w:w="352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Julie McHugh</w:t>
            </w:r>
          </w:p>
        </w:tc>
        <w:tc>
          <w:tcPr>
            <w:tcW w:w="35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7"/>
              </w:rPr>
              <w:t>August 21, 2024</w:t>
            </w: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Gary Pruden</w:t>
            </w:r>
          </w:p>
        </w:tc>
        <w:tc>
          <w:tcPr>
            <w:tcW w:w="35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Gary Pruden</w:t>
            </w:r>
          </w:p>
        </w:tc>
        <w:tc>
          <w:tcPr>
            <w:tcW w:w="35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7"/>
              </w:rPr>
              <w:t>August 21, 2024</w:t>
            </w: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Dr. James Thrall</w:t>
            </w:r>
          </w:p>
        </w:tc>
        <w:tc>
          <w:tcPr>
            <w:tcW w:w="35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Dr. James Thrall</w:t>
            </w:r>
          </w:p>
        </w:tc>
        <w:tc>
          <w:tcPr>
            <w:tcW w:w="35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7"/>
              </w:rPr>
              <w:t>August 21, 2024</w:t>
            </w:r>
          </w:p>
        </w:tc>
      </w:tr>
    </w:tbl>
    <w:p>
      <w:pPr>
        <w:sectPr>
          <w:pgSz w:w="11900" w:h="16838" w:orient="portrait"/>
          <w:cols w:equalWidth="0" w:num="1">
            <w:col w:w="10019"/>
          </w:cols>
          <w:pgMar w:left="440" w:top="270"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Seaport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-102235</wp:posOffset>
            </wp:positionV>
            <wp:extent cx="2134235" cy="8312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2">
                      <a:extLst>
                        <a:ext uri="{28A0092B-C50C-407E-A947-70E740481C1C}"/>
                      </a:extLst>
                    </a:blip>
                    <a:srcRect/>
                    <a:stretch>
                      <a:fillRect/>
                    </a:stretch>
                  </pic:blipFill>
                  <pic:spPr bwMode="auto">
                    <a:xfrm>
                      <a:off x="0" y="0"/>
                      <a:ext cx="2134235" cy="831215"/>
                    </a:xfrm>
                    <a:prstGeom prst="rect">
                      <a:avLst/>
                    </a:prstGeom>
                    <a:noFill/>
                  </pic:spPr>
                </pic:pic>
              </a:graphicData>
            </a:graphic>
          </wp:anchor>
        </w:drawing>
      </w:r>
    </w:p>
    <w:p>
      <w:pPr>
        <w:spacing w:after="0" w:line="7"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155 Seaport Boulevard</w:t>
      </w:r>
    </w:p>
    <w:p>
      <w:pPr>
        <w:spacing w:after="0" w:line="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Boston, MA 02210-2600</w:t>
      </w:r>
    </w:p>
    <w:p>
      <w:pPr>
        <w:spacing w:after="0" w:line="232"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 xml:space="preserve">617 832 1000 </w:t>
      </w:r>
      <w:r>
        <w:rPr>
          <w:rFonts w:ascii="Times New Roman" w:cs="Times New Roman" w:eastAsia="Times New Roman" w:hAnsi="Times New Roman"/>
          <w:sz w:val="18"/>
          <w:szCs w:val="18"/>
          <w:i w:val="1"/>
          <w:iCs w:val="1"/>
          <w:color w:val="auto"/>
        </w:rPr>
        <w:t>main</w:t>
      </w:r>
    </w:p>
    <w:p>
      <w:pPr>
        <w:spacing w:after="0" w:line="2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 xml:space="preserve">617 832 7000 </w:t>
      </w:r>
      <w:r>
        <w:rPr>
          <w:rFonts w:ascii="Times New Roman" w:cs="Times New Roman" w:eastAsia="Times New Roman" w:hAnsi="Times New Roman"/>
          <w:sz w:val="18"/>
          <w:szCs w:val="18"/>
          <w:i w:val="1"/>
          <w:iCs w:val="1"/>
          <w:color w:val="auto"/>
        </w:rPr>
        <w:t>fax</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Lantheus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 Burlington Road, South Building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Bedford, Massachusetts 01730</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We are familiar with the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being filed by Lantheus Holdings,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on the date hereof. The Registration Statement relates to the offer and sale by the Company of up to 4,000,000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its common stock, par value $0.01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issuable under the Lantheus Holdings, Inc. 2015 Equity Incentive Plan (as amended through the date hereof, the “</w:t>
      </w:r>
      <w:r>
        <w:rPr>
          <w:rFonts w:ascii="Times New Roman" w:cs="Times New Roman" w:eastAsia="Times New Roman" w:hAnsi="Times New Roman"/>
          <w:sz w:val="18"/>
          <w:szCs w:val="18"/>
          <w:b w:val="1"/>
          <w:bCs w:val="1"/>
          <w:color w:val="auto"/>
        </w:rPr>
        <w:t>2015 Plan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In arriving at the opinions expressed below, we have examined the Certificate of Incorporation and Bylaws of the Company, each as amended and restated to date, the records of meetings and consents of the Company’s Board of Directors, or committees thereof, records of the proceedings of its stockholders deemed to be relevant to this opinion letter, and the 2015 Plan, each as provided to us by the Company, and the Registration Statement.</w:t>
      </w:r>
    </w:p>
    <w:p>
      <w:pPr>
        <w:spacing w:after="0" w:line="176" w:lineRule="exact"/>
        <w:rPr>
          <w:sz w:val="20"/>
          <w:szCs w:val="20"/>
          <w:color w:val="auto"/>
        </w:rPr>
      </w:pPr>
    </w:p>
    <w:p>
      <w:pPr>
        <w:ind w:right="280" w:firstLine="440"/>
        <w:spacing w:after="0" w:line="256" w:lineRule="auto"/>
        <w:rPr>
          <w:sz w:val="20"/>
          <w:szCs w:val="20"/>
          <w:color w:val="auto"/>
        </w:rPr>
      </w:pPr>
      <w:r>
        <w:rPr>
          <w:rFonts w:ascii="Times New Roman" w:cs="Times New Roman" w:eastAsia="Times New Roman" w:hAnsi="Times New Roman"/>
          <w:sz w:val="18"/>
          <w:szCs w:val="18"/>
          <w:color w:val="auto"/>
        </w:rPr>
        <w:t>In addition, we have relied upon certificates and other assurances of officers of the Company and others as to factual matters without having independently verified such factual matters. In our examination, we have assumed the genuineness of all signatures, the authenticity of all documents submitted to us as originals, the conformity to authentic original documents of all documents submitted to us as copies and the due authorization, execution and delivery of all documents by all persons other than the Company, where authorization, execution and delivery are prerequisites to the effectiveness of such documents. We have also made such investigations of law, as we have deemed appropriate as a basis for the opinions expressed below.</w:t>
      </w:r>
    </w:p>
    <w:p>
      <w:pPr>
        <w:spacing w:after="0" w:line="18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We have assumed that the purchase price or other consideration to be received by the Company for the Shares will be valid consideration equal to or in excess of the par value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rendering the opinion expressed below, we express no opinion other than as to the Delaware General Corporation Law.</w:t>
      </w:r>
    </w:p>
    <w:p>
      <w:pPr>
        <w:spacing w:after="0" w:line="225"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On the basis of the foregoing, it is our opinion that the Shares, when issued and delivered in accordance with the terms of the 2015 Plan and the awards thereunder against the Company’s receipt of the purchase price or other consideration therefor, will be validly issued, fully paid and non-assessable.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opinion is to be used only in connection with the offer and sale of the Shares while the Registration Statement is in effect.</w:t>
      </w:r>
    </w:p>
    <w:p>
      <w:pPr>
        <w:spacing w:after="0" w:line="225"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This opinion is being delivered solely for the benefit of the Company and such other persons as are entitled to rely upon it pursuant to the applicable provisions of the Securities Act. This opinion may not be used, quoted, relied upon or referred to for any other purpose, nor may it be used, quoted, relied upon or referred to by any other person, for any purpose, without our prior written consent.</w:t>
      </w:r>
    </w:p>
    <w:p>
      <w:pPr>
        <w:sectPr>
          <w:pgSz w:w="11900" w:h="16838" w:orient="portrait"/>
          <w:cols w:equalWidth="0" w:num="1">
            <w:col w:w="11020"/>
          </w:cols>
          <w:pgMar w:left="440" w:top="117" w:right="439" w:bottom="1440" w:gutter="0" w:footer="0" w:header="0"/>
        </w:sectPr>
      </w:pPr>
    </w:p>
    <w:bookmarkStart w:id="6" w:name="page7"/>
    <w:bookmarkEnd w:id="6"/>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opinion is based upon currently existing statutes, rules and regulations and judicial decisions and is rendered as of the date hereof, and we disclaim any obligation to advise you of any change in any of the foregoing sources of law or subsequent developments in law or changes in facts or circumstances which might affect any matters or opinions set forth herein.</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In giving such consent, we do not admit that we are within the category of persons whose consent is required under Section 7 of the Securities Act or the rules and regulations of the Commission promulgated thereunder.</w:t>
      </w:r>
    </w:p>
    <w:p>
      <w:pPr>
        <w:spacing w:after="0" w:line="176"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This opinion letter shall be interpreted in accordance with the Core Opinion Principles jointly issued by the Committee on Legal Opinions of the American Bar Association’s Business Law Section and the Working Group on Legal Opinions Foundation as published in 74 Business Lawyer 815 (2019).</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FOLEY HOAG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Stacie S. Aarestad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 Partner</w:t>
      </w:r>
    </w:p>
    <w:p>
      <w:pPr>
        <w:sectPr>
          <w:pgSz w:w="11900" w:h="16838" w:orient="portrait"/>
          <w:cols w:equalWidth="0" w:num="1">
            <w:col w:w="10920"/>
          </w:cols>
          <w:pgMar w:left="440" w:top="270" w:right="5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reports dated February 22, 2024, relating to the financial statements of Lantheus Holdings, Inc. and the effectiveness of Lantheus Holdings, Inc.’s internal control over financial reporting, appearing in the Annual Report on Form 10-K of Lantheus Holdings, Inc. for the year ended 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21, 2024</w:t>
      </w:r>
    </w:p>
    <w:p>
      <w:pPr>
        <w:sectPr>
          <w:pgSz w:w="11900" w:h="16838" w:orient="portrait"/>
          <w:cols w:equalWidth="0" w:num="1">
            <w:col w:w="11020"/>
          </w:cols>
          <w:pgMar w:left="440" w:top="117"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S-8</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Lantheus Holdings, Inc.</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Table 1: Newly Registered Securities</w:t>
      </w:r>
    </w:p>
    <w:p>
      <w:pPr>
        <w:spacing w:after="0" w:line="250" w:lineRule="exact"/>
        <w:rPr>
          <w:sz w:val="20"/>
          <w:szCs w:val="20"/>
          <w:color w:val="auto"/>
        </w:rPr>
      </w:pPr>
    </w:p>
    <w:tbl>
      <w:tblPr>
        <w:tblLayout w:type="fixed"/>
        <w:tblInd w:w="1334" w:type="dxa"/>
        <w:tblCellMar>
          <w:top w:w="0" w:type="dxa"/>
          <w:left w:w="0" w:type="dxa"/>
          <w:bottom w:w="0" w:type="dxa"/>
          <w:right w:w="0" w:type="dxa"/>
        </w:tblCellMar>
      </w:tblPr>
      <w:tr>
        <w:trPr>
          <w:trHeight w:val="144"/>
        </w:trPr>
        <w:tc>
          <w:tcPr>
            <w:tcW w:w="920" w:type="dxa"/>
            <w:vAlign w:val="bottom"/>
            <w:tcBorders>
              <w:top w:val="single" w:sz="8" w:color="auto"/>
              <w:left w:val="single" w:sz="8" w:color="auto"/>
              <w:right w:val="single" w:sz="8" w:color="auto"/>
            </w:tcBorders>
          </w:tcPr>
          <w:p>
            <w:pPr>
              <w:spacing w:after="0"/>
              <w:rPr>
                <w:sz w:val="12"/>
                <w:szCs w:val="12"/>
                <w:color w:val="auto"/>
              </w:rPr>
            </w:pPr>
          </w:p>
        </w:tc>
        <w:tc>
          <w:tcPr>
            <w:tcW w:w="132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Proposed</w:t>
            </w:r>
          </w:p>
        </w:tc>
        <w:tc>
          <w:tcPr>
            <w:tcW w:w="116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r>
      <w:tr>
        <w:trPr>
          <w:trHeight w:val="135"/>
        </w:trPr>
        <w:tc>
          <w:tcPr>
            <w:tcW w:w="920" w:type="dxa"/>
            <w:vAlign w:val="bottom"/>
            <w:tcBorders>
              <w:left w:val="single" w:sz="8" w:color="auto"/>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1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Maximum</w:t>
            </w:r>
          </w:p>
        </w:tc>
        <w:tc>
          <w:tcPr>
            <w:tcW w:w="10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r>
      <w:tr>
        <w:trPr>
          <w:trHeight w:val="135"/>
        </w:trPr>
        <w:tc>
          <w:tcPr>
            <w:tcW w:w="920" w:type="dxa"/>
            <w:vAlign w:val="bottom"/>
            <w:tcBorders>
              <w:left w:val="single" w:sz="8" w:color="auto"/>
              <w:right w:val="single" w:sz="8" w:color="auto"/>
            </w:tcBorders>
          </w:tcPr>
          <w:p>
            <w:pPr>
              <w:spacing w:after="0"/>
              <w:rPr>
                <w:sz w:val="11"/>
                <w:szCs w:val="11"/>
                <w:color w:val="auto"/>
              </w:rPr>
            </w:pP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08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1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Aggregate</w:t>
            </w:r>
          </w:p>
        </w:tc>
        <w:tc>
          <w:tcPr>
            <w:tcW w:w="10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r>
      <w:tr>
        <w:trPr>
          <w:trHeight w:val="135"/>
        </w:trPr>
        <w:tc>
          <w:tcPr>
            <w:tcW w:w="920" w:type="dxa"/>
            <w:vAlign w:val="bottom"/>
            <w:tcBorders>
              <w:left w:val="single" w:sz="8" w:color="auto"/>
              <w:right w:val="single" w:sz="8" w:color="auto"/>
            </w:tcBorders>
          </w:tcPr>
          <w:p>
            <w:pPr>
              <w:spacing w:after="0"/>
              <w:rPr>
                <w:sz w:val="11"/>
                <w:szCs w:val="11"/>
                <w:color w:val="auto"/>
              </w:rPr>
            </w:pP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Class</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080" w:type="dxa"/>
            <w:vAlign w:val="bottom"/>
            <w:tcBorders>
              <w:right w:val="single" w:sz="8" w:color="auto"/>
            </w:tcBorders>
          </w:tcPr>
          <w:p>
            <w:pPr>
              <w:ind w:left="360"/>
              <w:spacing w:after="0" w:line="135" w:lineRule="exact"/>
              <w:rPr>
                <w:sz w:val="20"/>
                <w:szCs w:val="20"/>
                <w:color w:val="auto"/>
              </w:rPr>
            </w:pPr>
            <w:r>
              <w:rPr>
                <w:rFonts w:ascii="Times New Roman" w:cs="Times New Roman" w:eastAsia="Times New Roman" w:hAnsi="Times New Roman"/>
                <w:sz w:val="13"/>
                <w:szCs w:val="13"/>
                <w:color w:val="auto"/>
              </w:rPr>
              <w:t>Amount</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1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r>
      <w:tr>
        <w:trPr>
          <w:trHeight w:val="179"/>
        </w:trPr>
        <w:tc>
          <w:tcPr>
            <w:tcW w:w="920" w:type="dxa"/>
            <w:vAlign w:val="bottom"/>
            <w:tcBorders>
              <w:left w:val="single" w:sz="8" w:color="auto"/>
              <w:bottom w:val="single" w:sz="8" w:color="auto"/>
              <w:right w:val="single" w:sz="8" w:color="auto"/>
            </w:tcBorders>
          </w:tcPr>
          <w:p>
            <w:pPr>
              <w:jc w:val="center"/>
              <w:ind w:left="64"/>
              <w:spacing w:after="0"/>
              <w:rPr>
                <w:sz w:val="20"/>
                <w:szCs w:val="20"/>
                <w:color w:val="auto"/>
              </w:rPr>
            </w:pPr>
            <w:r>
              <w:rPr>
                <w:rFonts w:ascii="Times New Roman" w:cs="Times New Roman" w:eastAsia="Times New Roman" w:hAnsi="Times New Roman"/>
                <w:sz w:val="13"/>
                <w:szCs w:val="13"/>
                <w:color w:val="auto"/>
                <w:w w:val="97"/>
              </w:rPr>
              <w:t>Security Type </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Registered(1)</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Share</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Rate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r>
      <w:tr>
        <w:trPr>
          <w:trHeight w:val="206"/>
        </w:trPr>
        <w:tc>
          <w:tcPr>
            <w:tcW w:w="920" w:type="dxa"/>
            <w:vAlign w:val="bottom"/>
            <w:tcBorders>
              <w:left w:val="single" w:sz="8" w:color="auto"/>
              <w:right w:val="single" w:sz="8" w:color="auto"/>
            </w:tcBorders>
          </w:tcPr>
          <w:p>
            <w:pPr>
              <w:jc w:val="center"/>
              <w:ind w:left="44"/>
              <w:spacing w:after="0" w:line="206" w:lineRule="exact"/>
              <w:rPr>
                <w:sz w:val="20"/>
                <w:szCs w:val="20"/>
                <w:color w:val="auto"/>
              </w:rPr>
            </w:pPr>
            <w:r>
              <w:rPr>
                <w:rFonts w:ascii="Times New Roman" w:cs="Times New Roman" w:eastAsia="Times New Roman" w:hAnsi="Times New Roman"/>
                <w:sz w:val="18"/>
                <w:szCs w:val="18"/>
                <w:color w:val="auto"/>
                <w:w w:val="99"/>
              </w:rPr>
              <w:t>Equity</w:t>
            </w:r>
          </w:p>
        </w:tc>
        <w:tc>
          <w:tcPr>
            <w:tcW w:w="132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Common stock,</w:t>
            </w:r>
          </w:p>
        </w:tc>
        <w:tc>
          <w:tcPr>
            <w:tcW w:w="100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rPr>
              <w:t>Rule 457(c)</w:t>
            </w:r>
          </w:p>
        </w:tc>
        <w:tc>
          <w:tcPr>
            <w:tcW w:w="10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16"/>
        </w:trPr>
        <w:tc>
          <w:tcPr>
            <w:tcW w:w="92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$0.01 par value</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Rule</w:t>
            </w:r>
          </w:p>
        </w:tc>
        <w:tc>
          <w:tcPr>
            <w:tcW w:w="108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41"/>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4,000,000(2)</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$95.03(3)</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$380,120,000</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$0.00014760</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$56,105.71</w:t>
            </w:r>
          </w:p>
        </w:tc>
      </w:tr>
      <w:tr>
        <w:trPr>
          <w:trHeight w:val="239"/>
        </w:trPr>
        <w:tc>
          <w:tcPr>
            <w:tcW w:w="920" w:type="dxa"/>
            <w:vAlign w:val="bottom"/>
            <w:tcBorders>
              <w:left w:val="single" w:sz="8" w:color="auto"/>
              <w:bottom w:val="single" w:sz="8" w:color="auto"/>
            </w:tcBorders>
          </w:tcPr>
          <w:p>
            <w:pPr>
              <w:spacing w:after="0"/>
              <w:rPr>
                <w:sz w:val="20"/>
                <w:szCs w:val="20"/>
                <w:color w:val="auto"/>
              </w:rPr>
            </w:pPr>
          </w:p>
        </w:tc>
        <w:tc>
          <w:tcPr>
            <w:tcW w:w="2320" w:type="dxa"/>
            <w:vAlign w:val="bottom"/>
            <w:tcBorders>
              <w:bottom w:val="single" w:sz="8" w:color="auto"/>
            </w:tcBorders>
            <w:gridSpan w:val="2"/>
          </w:tcPr>
          <w:p>
            <w:pPr>
              <w:jc w:val="center"/>
              <w:ind w:left="219"/>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08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$380,120,000</w:t>
            </w:r>
          </w:p>
        </w:tc>
        <w:tc>
          <w:tcPr>
            <w:tcW w:w="10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$56,105.71</w:t>
            </w:r>
          </w:p>
        </w:tc>
      </w:tr>
      <w:tr>
        <w:trPr>
          <w:trHeight w:val="237"/>
        </w:trPr>
        <w:tc>
          <w:tcPr>
            <w:tcW w:w="920" w:type="dxa"/>
            <w:vAlign w:val="bottom"/>
            <w:tcBorders>
              <w:left w:val="single" w:sz="8" w:color="auto"/>
              <w:bottom w:val="single" w:sz="8" w:color="auto"/>
            </w:tcBorders>
          </w:tcPr>
          <w:p>
            <w:pPr>
              <w:spacing w:after="0"/>
              <w:rPr>
                <w:sz w:val="20"/>
                <w:szCs w:val="20"/>
                <w:color w:val="auto"/>
              </w:rPr>
            </w:pPr>
          </w:p>
        </w:tc>
        <w:tc>
          <w:tcPr>
            <w:tcW w:w="2320" w:type="dxa"/>
            <w:vAlign w:val="bottom"/>
            <w:tcBorders>
              <w:bottom w:val="single" w:sz="8" w:color="auto"/>
            </w:tcBorders>
            <w:gridSpan w:val="2"/>
          </w:tcPr>
          <w:p>
            <w:pPr>
              <w:jc w:val="center"/>
              <w:ind w:left="219"/>
              <w:spacing w:after="0"/>
              <w:rPr>
                <w:sz w:val="20"/>
                <w:szCs w:val="20"/>
                <w:color w:val="auto"/>
              </w:rPr>
            </w:pPr>
            <w:r>
              <w:rPr>
                <w:rFonts w:ascii="Times New Roman" w:cs="Times New Roman" w:eastAsia="Times New Roman" w:hAnsi="Times New Roman"/>
                <w:sz w:val="18"/>
                <w:szCs w:val="18"/>
                <w:color w:val="auto"/>
                <w:w w:val="97"/>
              </w:rPr>
              <w:t>Total Fee Offsets</w:t>
            </w:r>
          </w:p>
        </w:tc>
        <w:tc>
          <w:tcPr>
            <w:tcW w:w="108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— </w:t>
            </w:r>
          </w:p>
        </w:tc>
      </w:tr>
      <w:tr>
        <w:trPr>
          <w:trHeight w:val="236"/>
        </w:trPr>
        <w:tc>
          <w:tcPr>
            <w:tcW w:w="920" w:type="dxa"/>
            <w:vAlign w:val="bottom"/>
            <w:tcBorders>
              <w:left w:val="single" w:sz="8" w:color="auto"/>
              <w:bottom w:val="single" w:sz="8" w:color="auto"/>
            </w:tcBorders>
          </w:tcPr>
          <w:p>
            <w:pPr>
              <w:spacing w:after="0"/>
              <w:rPr>
                <w:sz w:val="20"/>
                <w:szCs w:val="20"/>
                <w:color w:val="auto"/>
              </w:rPr>
            </w:pPr>
          </w:p>
        </w:tc>
        <w:tc>
          <w:tcPr>
            <w:tcW w:w="2320" w:type="dxa"/>
            <w:vAlign w:val="bottom"/>
            <w:tcBorders>
              <w:bottom w:val="single" w:sz="8" w:color="auto"/>
            </w:tcBorders>
            <w:gridSpan w:val="2"/>
          </w:tcPr>
          <w:p>
            <w:pPr>
              <w:jc w:val="center"/>
              <w:ind w:left="219"/>
              <w:spacing w:after="0"/>
              <w:rPr>
                <w:sz w:val="20"/>
                <w:szCs w:val="20"/>
                <w:color w:val="auto"/>
              </w:rPr>
            </w:pPr>
            <w:r>
              <w:rPr>
                <w:rFonts w:ascii="Times New Roman" w:cs="Times New Roman" w:eastAsia="Times New Roman" w:hAnsi="Times New Roman"/>
                <w:sz w:val="18"/>
                <w:szCs w:val="18"/>
                <w:color w:val="auto"/>
                <w:w w:val="98"/>
              </w:rPr>
              <w:t>Net Fee Due</w:t>
            </w:r>
          </w:p>
        </w:tc>
        <w:tc>
          <w:tcPr>
            <w:tcW w:w="108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$56,105.71</w:t>
            </w:r>
          </w:p>
        </w:tc>
      </w:tr>
    </w:tbl>
    <w:p>
      <w:pPr>
        <w:spacing w:after="0" w:line="225" w:lineRule="exact"/>
        <w:rPr>
          <w:sz w:val="20"/>
          <w:szCs w:val="20"/>
          <w:color w:val="auto"/>
        </w:rPr>
      </w:pPr>
    </w:p>
    <w:p>
      <w:pPr>
        <w:ind w:left="424" w:right="380" w:hanging="424"/>
        <w:spacing w:after="0" w:line="254"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on Form S-8 (the “Registration Statement”) shall also cover any additional shares of the Registrant’s common stock, $0.01 par value per share (the “Common Stock”) that becomes issuable under the Lantheus Holdings, Inc. 2015 Equity Incentive Plan (as amended, the “Plan”) by reason of any stock dividend, stock split, recapitalization or other similar transaction effected without the receipt of consideration that increases the number of the Registrant’s outstanding shares of Common Stock.</w:t>
      </w:r>
    </w:p>
    <w:p>
      <w:pPr>
        <w:spacing w:after="0" w:line="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Registration Statement covers 4,000,000 shares of the Registrant’s Common Stock, which are issuable pursuant to the Plan.</w:t>
      </w:r>
    </w:p>
    <w:p>
      <w:pPr>
        <w:spacing w:after="0" w:line="9" w:lineRule="exact"/>
        <w:rPr>
          <w:rFonts w:ascii="Times New Roman" w:cs="Times New Roman" w:eastAsia="Times New Roman" w:hAnsi="Times New Roman"/>
          <w:sz w:val="18"/>
          <w:szCs w:val="18"/>
          <w:color w:val="auto"/>
        </w:rPr>
      </w:pPr>
    </w:p>
    <w:p>
      <w:pPr>
        <w:ind w:left="424" w:right="100" w:hanging="424"/>
        <w:spacing w:after="0" w:line="255"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 457(c) and (h) under the Securities Act solely for the purpose of calculating the registration fee on the basis of $95.03, the average of the high and low prices of the Registrant’s common stock as reported on The Nasdaq Global Market on August 16, 2024, which date is within five business days prior to the filing of this registration statement.</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3" Type="http://schemas.openxmlformats.org/officeDocument/2006/relationships/image" Target="media/image10.png"/><Relationship Id="rId40" Type="http://schemas.openxmlformats.org/officeDocument/2006/relationships/image" Target="media/image11.png"/><Relationship Id="rId41" Type="http://schemas.openxmlformats.org/officeDocument/2006/relationships/image" Target="media/image12.png"/><Relationship Id="rId42" Type="http://schemas.openxmlformats.org/officeDocument/2006/relationships/image" Target="media/image13.png"/><Relationship Id="rId43" Type="http://schemas.openxmlformats.org/officeDocument/2006/relationships/image" Target="media/image14.png"/><Relationship Id="rId44" Type="http://schemas.openxmlformats.org/officeDocument/2006/relationships/image" Target="media/image15.png"/><Relationship Id="rId45" Type="http://schemas.openxmlformats.org/officeDocument/2006/relationships/image" Target="media/image16.png"/><Relationship Id="rId46" Type="http://schemas.openxmlformats.org/officeDocument/2006/relationships/image" Target="media/image17.png"/><Relationship Id="rId47" Type="http://schemas.openxmlformats.org/officeDocument/2006/relationships/image" Target="media/image18.png"/><Relationship Id="rId48" Type="http://schemas.openxmlformats.org/officeDocument/2006/relationships/image" Target="media/image19.png"/><Relationship Id="rId49" Type="http://schemas.openxmlformats.org/officeDocument/2006/relationships/image" Target="media/image20.png"/><Relationship Id="rId50" Type="http://schemas.openxmlformats.org/officeDocument/2006/relationships/image" Target="media/image21.png"/><Relationship Id="rId51" Type="http://schemas.openxmlformats.org/officeDocument/2006/relationships/image" Target="media/image22.png"/><Relationship Id="rId52" Type="http://schemas.openxmlformats.org/officeDocument/2006/relationships/image" Target="media/image23.jpeg"/><Relationship Id="rId53" Type="http://schemas.openxmlformats.org/officeDocument/2006/relationships/image" Target="media/image24.png"/><Relationship Id="rId54" Type="http://schemas.openxmlformats.org/officeDocument/2006/relationships/image" Target="media/image25.png"/><Relationship Id="rId17" Type="http://schemas.openxmlformats.org/officeDocument/2006/relationships/hyperlink" Target="http://www.sec.gov/Archives/edgar/data/1521036/000119312515233801/d946596ds8.htm" TargetMode="External"/><Relationship Id="rId18" Type="http://schemas.openxmlformats.org/officeDocument/2006/relationships/hyperlink" Target="http://www.sec.gov/Archives/edgar/data/1521036/000119312516753495/d124645ds8.htm" TargetMode="External"/><Relationship Id="rId19" Type="http://schemas.openxmlformats.org/officeDocument/2006/relationships/hyperlink" Target="http://www.sec.gov/Archives/edgar/data/1521036/000119312517262221/d434102ds8.htm" TargetMode="External"/><Relationship Id="rId20" Type="http://schemas.openxmlformats.org/officeDocument/2006/relationships/hyperlink" Target="http://www.sec.gov/Archives/edgar/data/1521036/000119312519208748/d747381ds8.htm" TargetMode="External"/><Relationship Id="rId21" Type="http://schemas.openxmlformats.org/officeDocument/2006/relationships/hyperlink" Target="http://www.sec.gov/Archives/edgar/data/1521036/000119312521236337/d213751ds8.htm" TargetMode="External"/><Relationship Id="rId22" Type="http://schemas.openxmlformats.org/officeDocument/2006/relationships/hyperlink" Target="http://www.sec.gov/Archives/edgar/data/1521036/000119312522148760/d348069ds8.htm" TargetMode="External"/><Relationship Id="rId24" Type="http://schemas.openxmlformats.org/officeDocument/2006/relationships/hyperlink" Target="http://www.sec.gov/Archives/edgar/data/1521036/000119312518139044/d653114dex31.htm" TargetMode="External"/><Relationship Id="rId25" Type="http://schemas.openxmlformats.org/officeDocument/2006/relationships/hyperlink" Target="http://www.sec.gov/Archives/edgar/data/1521036/000119312518139044/d653114dex32.htm" TargetMode="External"/><Relationship Id="rId26" Type="http://schemas.openxmlformats.org/officeDocument/2006/relationships/hyperlink" Target="http://www.sec.gov/Archives/edgar/data/1521036/000119312515241429/d38431dex41.htm" TargetMode="External"/><Relationship Id="rId27" Type="http://schemas.openxmlformats.org/officeDocument/2006/relationships/hyperlink" Target="http://www.sec.gov/Archives/edgar/data/1521036/000119312515223914/d819826dex1037.htm" TargetMode="External"/><Relationship Id="rId28" Type="http://schemas.openxmlformats.org/officeDocument/2006/relationships/hyperlink" Target="http://www.sec.gov/Archives/edgar/data/1521036/000119312515223914/d819826dex1038.htm" TargetMode="External"/><Relationship Id="rId29" Type="http://schemas.openxmlformats.org/officeDocument/2006/relationships/hyperlink" Target="http://www.sec.gov/Archives/edgar/data/1521036/000119312515223914/d819826dex1039.htm" TargetMode="External"/><Relationship Id="rId30" Type="http://schemas.openxmlformats.org/officeDocument/2006/relationships/hyperlink" Target="http://www.sec.gov/Archives/edgar/data/1521036/000162828022011291/lnth10q-033122ex102.htm" TargetMode="External"/><Relationship Id="rId31" Type="http://schemas.openxmlformats.org/officeDocument/2006/relationships/hyperlink" Target="http://www.sec.gov/Archives/edgar/data/1521036/000162828022011291/lnth10q-033122ex103.htm" TargetMode="External"/><Relationship Id="rId32" Type="http://schemas.openxmlformats.org/officeDocument/2006/relationships/hyperlink" Target="http://www.sec.gov/Archives/edgar/data/1521036/000162828022011291/lnth10q-033122ex104.htm" TargetMode="External"/><Relationship Id="rId33" Type="http://schemas.openxmlformats.org/officeDocument/2006/relationships/hyperlink" Target="http://www.sec.gov/Archives/edgar/data/1521036/000119312516563659/d159370dex101.htm" TargetMode="External"/><Relationship Id="rId34" Type="http://schemas.openxmlformats.org/officeDocument/2006/relationships/hyperlink" Target="http://www.sec.gov/Archives/edgar/data/1521036/000119312517148200/d356566dex101.htm" TargetMode="External"/><Relationship Id="rId35" Type="http://schemas.openxmlformats.org/officeDocument/2006/relationships/hyperlink" Target="http://www.sec.gov/Archives/edgar/data/1521036/000152103619000007/lnth10q-033119ex101.htm" TargetMode="External"/><Relationship Id="rId36" Type="http://schemas.openxmlformats.org/officeDocument/2006/relationships/hyperlink" Target="http://www.sec.gov/Archives/edgar/data/1521036/000119312519122459/d736490dex101.htm" TargetMode="External"/><Relationship Id="rId37" Type="http://schemas.openxmlformats.org/officeDocument/2006/relationships/hyperlink" Target="http://www.sec.gov/Archives/edgar/data/1521036/000119312521140557/d183259dex101.htm" TargetMode="External"/><Relationship Id="rId38" Type="http://schemas.openxmlformats.org/officeDocument/2006/relationships/hyperlink" Target="http://www.sec.gov/Archives/edgar/data/1521036/000119312522136860/d600777dex101.htm" TargetMode="External"/><Relationship Id="rId39" Type="http://schemas.openxmlformats.org/officeDocument/2006/relationships/hyperlink" Target="http://www.sec.gov/Archives/edgar/data/1521036/000119312524122683/d82192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2024-08-21T15:42:08Z</dcterms:created>
  <dcterms:modified xsi:type="dcterms:W3CDTF">2024-08-21T15:42:08Z</dcterms:modified>
</cp:coreProperties>
</file>