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5002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00253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50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Bailey Jeffrey Allen</w:t>
        </w:r>
      </w:hyperlink>
    </w:p>
    <w:p>
      <w:pPr>
        <w:spacing w:after="0" w:line="30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06/25/2015</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9" w:right="740" w:firstLine="9"/>
        <w:spacing w:after="0" w:line="238"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1"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11"/>
        <w:spacing w:after="0"/>
        <w:rPr>
          <w:sz w:val="20"/>
          <w:szCs w:val="20"/>
          <w:color w:val="auto"/>
        </w:rPr>
      </w:pPr>
      <w:r>
        <w:rPr>
          <w:rFonts w:ascii="Arial" w:cs="Arial" w:eastAsia="Arial" w:hAnsi="Arial"/>
          <w:sz w:val="17"/>
          <w:szCs w:val="17"/>
          <w:color w:val="0000FF"/>
        </w:rPr>
        <w:t>CEO and President</w:t>
      </w:r>
    </w:p>
    <w:p>
      <w:pPr>
        <w:spacing w:after="0" w:line="523" w:lineRule="exact"/>
        <w:rPr>
          <w:sz w:val="24"/>
          <w:szCs w:val="24"/>
          <w:color w:val="auto"/>
        </w:rPr>
      </w:pPr>
    </w:p>
    <w:p>
      <w:pPr>
        <w:sectPr>
          <w:pgSz w:w="11900" w:h="16838" w:orient="portrait"/>
          <w:cols w:equalWidth="0" w:num="3">
            <w:col w:w="3340" w:space="720"/>
            <w:col w:w="3269" w:space="720"/>
            <w:col w:w="3471"/>
          </w:cols>
          <w:pgMar w:left="240" w:top="222" w:right="139" w:bottom="1440"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58"/>
        </w:trPr>
        <w:tc>
          <w:tcPr>
            <w:tcW w:w="20" w:type="dxa"/>
            <w:vAlign w:val="bottom"/>
            <w:vMerge w:val="restart"/>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80" w:type="dxa"/>
            <w:vAlign w:val="bottom"/>
            <w:gridSpan w:val="6"/>
            <w:vMerge w:val="restart"/>
          </w:tcPr>
          <w:p>
            <w:pPr>
              <w:jc w:val="center"/>
              <w:ind w:right="323"/>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9"/>
              </w:rPr>
              <w:t>NORTH</w:t>
            </w:r>
          </w:p>
        </w:tc>
        <w:tc>
          <w:tcPr>
            <w:tcW w:w="6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140"/>
              <w:spacing w:after="0"/>
              <w:rPr>
                <w:sz w:val="20"/>
                <w:szCs w:val="20"/>
                <w:color w:val="auto"/>
              </w:rPr>
            </w:pPr>
            <w:r>
              <w:rPr>
                <w:rFonts w:ascii="Arial" w:cs="Arial" w:eastAsia="Arial" w:hAnsi="Arial"/>
                <w:sz w:val="17"/>
                <w:szCs w:val="17"/>
                <w:color w:val="0000FF"/>
              </w:rPr>
              <w:t>01862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gridSpan w:val="6"/>
            <w:vMerge w:val="continue"/>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gridSpan w:val="2"/>
            <w:vMerge w:val="restart"/>
          </w:tcPr>
          <w:p>
            <w:pPr>
              <w:ind w:left="480"/>
              <w:spacing w:after="0"/>
              <w:rPr>
                <w:sz w:val="20"/>
                <w:szCs w:val="20"/>
                <w:color w:val="auto"/>
              </w:rPr>
            </w:pPr>
            <w:r>
              <w:rPr>
                <w:rFonts w:ascii="Arial" w:cs="Arial" w:eastAsia="Arial" w:hAnsi="Arial"/>
                <w:sz w:val="17"/>
                <w:szCs w:val="17"/>
                <w:color w:val="0000FF"/>
              </w:rPr>
              <w:t>X</w:t>
            </w:r>
          </w:p>
        </w:tc>
        <w:tc>
          <w:tcPr>
            <w:tcW w:w="2240" w:type="dxa"/>
            <w:vAlign w:val="bottom"/>
            <w:gridSpan w:val="4"/>
            <w:vMerge w:val="restart"/>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BILLERICA</w:t>
            </w:r>
          </w:p>
        </w:tc>
        <w:tc>
          <w:tcPr>
            <w:tcW w:w="11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40" w:type="dxa"/>
            <w:vAlign w:val="bottom"/>
            <w:gridSpan w:val="4"/>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2"/>
          </w:tcPr>
          <w:p>
            <w:pPr>
              <w:jc w:val="center"/>
              <w:ind w:right="201"/>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4"/>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4"/>
          </w:tcPr>
          <w:p>
            <w:pPr>
              <w:ind w:left="1000"/>
              <w:spacing w:after="0" w:line="12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jc w:val="center"/>
              <w:ind w:right="4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0"/>
                <w:szCs w:val="10"/>
                <w:color w:val="auto"/>
              </w:rPr>
            </w:pPr>
          </w:p>
        </w:tc>
        <w:tc>
          <w:tcPr>
            <w:tcW w:w="10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4"/>
          </w:tcPr>
          <w:p>
            <w:pPr>
              <w:ind w:left="10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900" w:type="dxa"/>
            <w:vAlign w:val="bottom"/>
            <w:tcBorders>
              <w:bottom w:val="single" w:sz="8" w:color="2C2C2C"/>
            </w:tcBorders>
            <w:gridSpan w:val="10"/>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40" w:type="dxa"/>
            <w:vAlign w:val="bottom"/>
            <w:tcBorders>
              <w:top w:val="single" w:sz="8" w:color="2C2C2C"/>
            </w:tcBorders>
            <w:gridSpan w:val="12"/>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52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52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19.11</w:t>
            </w:r>
          </w:p>
        </w:tc>
        <w:tc>
          <w:tcPr>
            <w:tcW w:w="1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06/25/2015</w:t>
            </w:r>
          </w:p>
        </w:tc>
        <w:tc>
          <w:tcPr>
            <w:tcW w:w="1140" w:type="dxa"/>
            <w:vAlign w:val="bottom"/>
          </w:tcPr>
          <w:p>
            <w:pPr>
              <w:spacing w:after="0"/>
              <w:rPr>
                <w:sz w:val="17"/>
                <w:szCs w:val="17"/>
                <w:color w:val="auto"/>
              </w:rPr>
            </w:pPr>
          </w:p>
        </w:tc>
        <w:tc>
          <w:tcPr>
            <w:tcW w:w="840" w:type="dxa"/>
            <w:vAlign w:val="bottom"/>
            <w:gridSpan w:val="3"/>
          </w:tcPr>
          <w:p>
            <w:pPr>
              <w:ind w:left="100"/>
              <w:spacing w:after="0" w:line="203"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(1)</w:t>
            </w:r>
          </w:p>
        </w:tc>
        <w:tc>
          <w:tcPr>
            <w:tcW w:w="600" w:type="dxa"/>
            <w:vAlign w:val="bottom"/>
          </w:tcPr>
          <w:p>
            <w:pPr>
              <w:spacing w:after="0"/>
              <w:rPr>
                <w:sz w:val="17"/>
                <w:szCs w:val="17"/>
                <w:color w:val="auto"/>
              </w:rPr>
            </w:pPr>
          </w:p>
        </w:tc>
        <w:tc>
          <w:tcPr>
            <w:tcW w:w="520" w:type="dxa"/>
            <w:vAlign w:val="bottom"/>
          </w:tcPr>
          <w:p>
            <w:pPr>
              <w:spacing w:after="0"/>
              <w:rPr>
                <w:sz w:val="20"/>
                <w:szCs w:val="20"/>
                <w:color w:val="auto"/>
              </w:rPr>
            </w:pPr>
            <w:r>
              <w:rPr>
                <w:rFonts w:ascii="Arial" w:cs="Arial" w:eastAsia="Arial" w:hAnsi="Arial"/>
                <w:sz w:val="13"/>
                <w:szCs w:val="13"/>
                <w:color w:val="0000FF"/>
              </w:rPr>
              <w:t>177,936</w:t>
            </w:r>
          </w:p>
        </w:tc>
        <w:tc>
          <w:tcPr>
            <w:tcW w:w="780" w:type="dxa"/>
            <w:vAlign w:val="bottom"/>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05/08/2023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177,936</w:t>
            </w:r>
          </w:p>
        </w:tc>
        <w:tc>
          <w:tcPr>
            <w:tcW w:w="2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20" w:type="dxa"/>
            <w:vAlign w:val="bottom"/>
          </w:tcPr>
          <w:p>
            <w:pPr>
              <w:jc w:val="right"/>
              <w:ind w:right="21"/>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tcPr>
          <w:p>
            <w:pPr>
              <w:ind w:left="60"/>
              <w:spacing w:after="0" w:line="82" w:lineRule="exact"/>
              <w:rPr>
                <w:sz w:val="20"/>
                <w:szCs w:val="20"/>
                <w:color w:val="auto"/>
              </w:rPr>
            </w:pPr>
            <w:r>
              <w:rPr>
                <w:rFonts w:ascii="Arial" w:cs="Arial" w:eastAsia="Arial" w:hAnsi="Arial"/>
                <w:sz w:val="9"/>
                <w:szCs w:val="9"/>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jc w:val="center"/>
              <w:ind w:right="3"/>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19.11</w:t>
            </w:r>
          </w:p>
        </w:tc>
        <w:tc>
          <w:tcPr>
            <w:tcW w:w="12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06/25/2015</w:t>
            </w:r>
          </w:p>
        </w:tc>
        <w:tc>
          <w:tcPr>
            <w:tcW w:w="1140" w:type="dxa"/>
            <w:vAlign w:val="bottom"/>
          </w:tcPr>
          <w:p>
            <w:pPr>
              <w:spacing w:after="0"/>
              <w:rPr>
                <w:sz w:val="17"/>
                <w:szCs w:val="17"/>
                <w:color w:val="auto"/>
              </w:rPr>
            </w:pPr>
          </w:p>
        </w:tc>
        <w:tc>
          <w:tcPr>
            <w:tcW w:w="840" w:type="dxa"/>
            <w:vAlign w:val="bottom"/>
            <w:gridSpan w:val="3"/>
          </w:tcPr>
          <w:p>
            <w:pPr>
              <w:ind w:left="100"/>
              <w:spacing w:after="0" w:line="203"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600" w:type="dxa"/>
            <w:vAlign w:val="bottom"/>
          </w:tcPr>
          <w:p>
            <w:pPr>
              <w:ind w:left="40"/>
              <w:spacing w:after="0"/>
              <w:rPr>
                <w:sz w:val="20"/>
                <w:szCs w:val="20"/>
                <w:color w:val="auto"/>
              </w:rPr>
            </w:pPr>
            <w:r>
              <w:rPr>
                <w:rFonts w:ascii="Arial" w:cs="Arial" w:eastAsia="Arial" w:hAnsi="Arial"/>
                <w:sz w:val="13"/>
                <w:szCs w:val="13"/>
                <w:color w:val="0000FF"/>
              </w:rPr>
              <w:t>177,936</w:t>
            </w:r>
          </w:p>
        </w:tc>
        <w:tc>
          <w:tcPr>
            <w:tcW w:w="52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05/08/2023</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177,936</w:t>
            </w:r>
          </w:p>
        </w:tc>
        <w:tc>
          <w:tcPr>
            <w:tcW w:w="2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tcPr>
          <w:p>
            <w:pPr>
              <w:jc w:val="right"/>
              <w:ind w:right="202"/>
              <w:spacing w:after="0"/>
              <w:rPr>
                <w:sz w:val="20"/>
                <w:szCs w:val="20"/>
                <w:color w:val="auto"/>
              </w:rPr>
            </w:pPr>
            <w:r>
              <w:rPr>
                <w:rFonts w:ascii="Arial" w:cs="Arial" w:eastAsia="Arial" w:hAnsi="Arial"/>
                <w:sz w:val="13"/>
                <w:szCs w:val="13"/>
                <w:color w:val="0000FF"/>
              </w:rPr>
              <w:t>177,936</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jc w:val="center"/>
              <w:ind w:right="3"/>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amendment applicable to outstanding unvested options, resulting in the deemed cancellation of the "old" options and the grant of replacement options. The options were originally granted on May 8, 2013 and provide for vesting in up to four equal annual installments, based on the level of LNTH's satisfaction of certain performance criteria for each of fiscal years 2013, 2014, 2015 and 2016. The amendment provides for additional vesting on the third anniversary of the amendment date (or the day before any earlier expiration) of any options that remain unvested at that time.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5" w:lineRule="auto"/>
        <w:rPr>
          <w:sz w:val="20"/>
          <w:szCs w:val="20"/>
          <w:color w:val="auto"/>
        </w:rPr>
      </w:pPr>
      <w:r>
        <w:rPr>
          <w:rFonts w:ascii="Arial" w:cs="Arial" w:eastAsia="Arial" w:hAnsi="Arial"/>
          <w:sz w:val="17"/>
          <w:szCs w:val="17"/>
          <w:color w:val="0000FF"/>
        </w:rPr>
        <w:t xml:space="preserve">/s/ Michael P. Duffy, attorney-in- </w:t>
      </w:r>
      <w:r>
        <w:rPr>
          <w:rFonts w:ascii="Arial" w:cs="Arial" w:eastAsia="Arial" w:hAnsi="Arial"/>
          <w:sz w:val="33"/>
          <w:szCs w:val="33"/>
          <w:color w:val="0000FF"/>
          <w:vertAlign w:val="subscript"/>
        </w:rPr>
        <w:t>06/25/2015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-26670</wp:posOffset>
            </wp:positionV>
            <wp:extent cx="1408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4355465</wp:posOffset>
            </wp:positionH>
            <wp:positionV relativeFrom="paragraph">
              <wp:posOffset>-20320</wp:posOffset>
            </wp:positionV>
            <wp:extent cx="16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-85725</wp:posOffset>
            </wp:positionV>
            <wp:extent cx="486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2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210"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2019-12-24T03:02:38Z</dcterms:created>
  <dcterms:modified xsi:type="dcterms:W3CDTF">2019-12-24T03:02:38Z</dcterms:modified>
</cp:coreProperties>
</file>