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Montagut Etienne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LANTHEUS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331 TREBLE COVE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Lantheus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LNTH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Business Officer</w:t>
      </w:r>
    </w:p>
    <w:p>
      <w:pPr>
        <w:spacing w:after="0" w:line="5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01862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BILLERICA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10/18/2021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2,364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22.897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85,342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10/19/2021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1,748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22.95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83,594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both"/>
        <w:ind w:left="40" w:right="460" w:firstLine="7"/>
        <w:spacing w:after="0" w:line="25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Company requires certain senior executives to cover tax liabilities resulting from the vesting of their equity awards pursuant to sell-to-cover transactions in compliance with Rule 10b5-1. The transaction reported in this Form 4 was effected in compliance with Rule 10b5-1 to satisfy withholding tax liabilities of the Reporting Person associated with the vesting of restricted stock previously granted and reported on a previously filed Form 4.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440 shares acquired under the LNTH employee stock purchase plan on September 23, 2021.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 reported in this Form 4 was effected pursuant to a Rule 10b5-1 trading plan adopted by the reporting person on May 5, 2021.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Niedzwiecki,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1389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2021-10-20T15:37:45Z</dcterms:created>
  <dcterms:modified xsi:type="dcterms:W3CDTF">2021-10-20T15:37:45Z</dcterms:modified>
</cp:coreProperties>
</file>