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219075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247015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234315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227965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82" w:lineRule="exact"/>
        <w:rPr>
          <w:sz w:val="24"/>
          <w:szCs w:val="24"/>
          <w:color w:val="auto"/>
        </w:rPr>
      </w:pPr>
    </w:p>
    <w:p>
      <w:pPr>
        <w:sectPr>
          <w:pgSz w:w="11900" w:h="16838" w:orient="portrait"/>
          <w:cols w:equalWidth="0" w:num="3">
            <w:col w:w="4680" w:space="720"/>
            <w:col w:w="2980" w:space="720"/>
            <w:col w:w="2260"/>
          </w:cols>
          <w:pgMar w:left="240" w:top="1125" w:right="299" w:bottom="1440" w:gutter="0" w:footer="0" w:header="0"/>
          <w:type w:val="continuous"/>
        </w:sect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640" w:space="720"/>
            <w:col w:w="2900" w:space="720"/>
            <w:col w:w="2380"/>
          </w:cols>
          <w:pgMar w:left="240" w:top="1125" w:right="29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93" w:lineRule="exact"/>
        <w:rPr>
          <w:sz w:val="24"/>
          <w:szCs w:val="24"/>
          <w:color w:val="auto"/>
        </w:rPr>
      </w:pPr>
    </w:p>
    <w:p>
      <w:pPr>
        <w:sectPr>
          <w:pgSz w:w="11900" w:h="16838" w:orient="portrait"/>
          <w:cols w:equalWidth="0" w:num="2">
            <w:col w:w="7520" w:space="720"/>
            <w:col w:w="3120"/>
          </w:cols>
          <w:pgMar w:left="240" w:top="1125" w:right="29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00" w:space="720"/>
            <w:col w:w="3240"/>
          </w:cols>
          <w:pgMar w:left="240" w:top="1125" w:right="299" w:bottom="1440" w:gutter="0" w:footer="0" w:header="0"/>
          <w:type w:val="continuous"/>
        </w:sectPr>
      </w:pP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246380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7160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73660</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 2018, Lantheus Holdings, Inc. (the “Company”) announced via press release its financial results as of and for the three and six months ended, June 30, 2018. A copy of that press release is being furnished as Exhibit 99.1 and is hereby incorporated by reference.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gridSpan w:val="2"/>
          </w:tcPr>
          <w:p>
            <w:pPr>
              <w:ind w:left="37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11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
          </w:tcPr>
          <w:p>
            <w:pPr>
              <w:spacing w:after="0" w:line="196"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Press release of Lantheus Holdings, Inc. dated August 1, 2018, entitled “Lantheus Holdings, Inc. Reports 2018 Second Quarter</w:t>
              </w:r>
            </w:hyperlink>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Results’’</w:t>
              </w:r>
            </w:hyperlink>
          </w:p>
        </w:tc>
        <w:tc>
          <w:tcPr>
            <w:tcW w:w="3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460" w:right="140" w:hanging="438"/>
        <w:spacing w:after="0" w:line="286"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360"/>
          </w:cols>
          <w:pgMar w:left="240" w:top="58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LANTHEUS HOLDINGS, INC.</w:t>
      </w:r>
    </w:p>
    <w:p>
      <w:pPr>
        <w:spacing w:after="0" w:line="33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Pr>
          <w:p>
            <w:pPr>
              <w:ind w:left="40"/>
              <w:spacing w:after="0"/>
              <w:rPr>
                <w:sz w:val="20"/>
                <w:szCs w:val="20"/>
                <w:color w:val="auto"/>
              </w:rPr>
            </w:pPr>
            <w:r>
              <w:rPr>
                <w:rFonts w:ascii="Arial" w:cs="Arial" w:eastAsia="Arial" w:hAnsi="Arial"/>
                <w:sz w:val="18"/>
                <w:szCs w:val="18"/>
                <w:color w:val="auto"/>
              </w:rPr>
              <w:t>/S/ Michael P. Duffy</w:t>
            </w:r>
          </w:p>
        </w:tc>
        <w:tc>
          <w:tcPr>
            <w:tcW w:w="0" w:type="dxa"/>
            <w:vAlign w:val="bottom"/>
          </w:tcPr>
          <w:p>
            <w:pPr>
              <w:spacing w:after="0"/>
              <w:rPr>
                <w:sz w:val="1"/>
                <w:szCs w:val="1"/>
                <w:color w:val="auto"/>
              </w:rPr>
            </w:pPr>
          </w:p>
        </w:tc>
      </w:tr>
      <w:tr>
        <w:trPr>
          <w:trHeight w:val="102"/>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40" w:type="dxa"/>
            <w:vAlign w:val="bottom"/>
            <w:vMerge w:val="continue"/>
          </w:tcPr>
          <w:p>
            <w:pPr>
              <w:spacing w:after="0"/>
              <w:rPr>
                <w:sz w:val="21"/>
                <w:szCs w:val="21"/>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Michael P. Duffy</w:t>
            </w:r>
          </w:p>
        </w:tc>
        <w:tc>
          <w:tcPr>
            <w:tcW w:w="0" w:type="dxa"/>
            <w:vAlign w:val="bottom"/>
          </w:tcPr>
          <w:p>
            <w:pPr>
              <w:spacing w:after="0"/>
              <w:rPr>
                <w:sz w:val="1"/>
                <w:szCs w:val="1"/>
                <w:color w:val="auto"/>
              </w:rPr>
            </w:pP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40"/>
              <w:spacing w:after="0"/>
              <w:rPr>
                <w:sz w:val="20"/>
                <w:szCs w:val="20"/>
                <w:color w:val="auto"/>
              </w:rPr>
            </w:pPr>
            <w:r>
              <w:rPr>
                <w:rFonts w:ascii="Arial" w:cs="Arial" w:eastAsia="Arial" w:hAnsi="Arial"/>
                <w:sz w:val="18"/>
                <w:szCs w:val="18"/>
                <w:color w:val="auto"/>
                <w:w w:val="90"/>
              </w:rPr>
              <w:t>General Counsel, Senior Vice President, Law and Public Policy,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7"/>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
        <w:spacing w:after="0"/>
        <w:tabs>
          <w:tab w:leader="none" w:pos="5578"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61" w:lineRule="exact"/>
        <w:rPr>
          <w:sz w:val="20"/>
          <w:szCs w:val="20"/>
          <w:color w:val="auto"/>
        </w:rPr>
      </w:pPr>
    </w:p>
    <w:p>
      <w:pPr>
        <w:ind w:left="1218" w:right="840" w:hanging="938"/>
        <w:spacing w:after="0" w:line="277" w:lineRule="auto"/>
        <w:tabs>
          <w:tab w:leader="none" w:pos="1198" w:val="left"/>
        </w:tabs>
        <w:rPr>
          <w:rFonts w:ascii="Arial" w:cs="Arial" w:eastAsia="Arial" w:hAnsi="Arial"/>
          <w:sz w:val="18"/>
          <w:szCs w:val="18"/>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8"/>
            <w:szCs w:val="18"/>
            <w:u w:val="single" w:color="auto"/>
            <w:color w:val="0000FF"/>
          </w:rPr>
          <w:t>Press release of Lantheus Holdings, Inc. dated August 1, 2018, entitled “Lantheus Holdings, Inc. Reports 2018 Second Quarter</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Results’’</w:t>
        </w:r>
      </w:hyperlink>
    </w:p>
    <w:p>
      <w:pPr>
        <w:spacing w:after="0" w:line="197" w:lineRule="exact"/>
        <w:rPr>
          <w:sz w:val="20"/>
          <w:szCs w:val="20"/>
          <w:color w:val="auto"/>
        </w:rPr>
      </w:pPr>
    </w:p>
    <w:p>
      <w:pPr>
        <w:jc w:val="both"/>
        <w:ind w:left="438" w:hanging="438"/>
        <w:spacing w:after="0" w:line="286" w:lineRule="auto"/>
        <w:tabs>
          <w:tab w:leader="none" w:pos="438"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198"/>
          </w:cols>
          <w:pgMar w:left="262" w:top="58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91" w:lineRule="exact"/>
        <w:rPr>
          <w:sz w:val="20"/>
          <w:szCs w:val="20"/>
          <w:color w:val="auto"/>
        </w:rPr>
      </w:pPr>
    </w:p>
    <w:p>
      <w:pPr>
        <w:ind w:left="7120"/>
        <w:spacing w:after="0"/>
        <w:tabs>
          <w:tab w:leader="none" w:pos="9720" w:val="left"/>
        </w:tabs>
        <w:rPr>
          <w:sz w:val="20"/>
          <w:szCs w:val="20"/>
          <w:color w:val="auto"/>
        </w:rPr>
      </w:pPr>
      <w:r>
        <w:rPr>
          <w:rFonts w:ascii="Arial" w:cs="Arial" w:eastAsia="Arial" w:hAnsi="Arial"/>
          <w:sz w:val="18"/>
          <w:szCs w:val="18"/>
          <w:color w:val="auto"/>
        </w:rPr>
        <w:t>331 Treble Cove Road</w:t>
      </w:r>
      <w:r>
        <w:rPr>
          <w:sz w:val="20"/>
          <w:szCs w:val="20"/>
          <w:color w:val="auto"/>
        </w:rPr>
        <w:tab/>
      </w:r>
      <w:r>
        <w:rPr>
          <w:rFonts w:ascii="Arial" w:cs="Arial" w:eastAsia="Arial" w:hAnsi="Arial"/>
          <w:sz w:val="16"/>
          <w:szCs w:val="16"/>
          <w:color w:val="auto"/>
        </w:rPr>
        <w:t>800.362.2668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74942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488950"/>
                    </a:xfrm>
                    <a:prstGeom prst="rect">
                      <a:avLst/>
                    </a:prstGeom>
                    <a:noFill/>
                  </pic:spPr>
                </pic:pic>
              </a:graphicData>
            </a:graphic>
          </wp:anchor>
        </w:drawing>
      </w:r>
    </w:p>
    <w:p>
      <w:pPr>
        <w:spacing w:after="0" w:line="3" w:lineRule="exact"/>
        <w:rPr>
          <w:sz w:val="20"/>
          <w:szCs w:val="20"/>
          <w:color w:val="auto"/>
        </w:rPr>
      </w:pPr>
    </w:p>
    <w:p>
      <w:pPr>
        <w:ind w:left="7120"/>
        <w:spacing w:after="0"/>
        <w:tabs>
          <w:tab w:leader="none" w:pos="9720" w:val="left"/>
        </w:tabs>
        <w:rPr>
          <w:sz w:val="20"/>
          <w:szCs w:val="20"/>
          <w:color w:val="auto"/>
        </w:rPr>
      </w:pPr>
      <w:r>
        <w:rPr>
          <w:rFonts w:ascii="Arial" w:cs="Arial" w:eastAsia="Arial" w:hAnsi="Arial"/>
          <w:sz w:val="18"/>
          <w:szCs w:val="18"/>
          <w:color w:val="auto"/>
        </w:rPr>
        <w:t>North Billerica, MA 01862</w:t>
      </w:r>
      <w:r>
        <w:rPr>
          <w:sz w:val="20"/>
          <w:szCs w:val="20"/>
          <w:color w:val="auto"/>
        </w:rPr>
        <w:tab/>
      </w:r>
      <w:r>
        <w:rPr>
          <w:rFonts w:ascii="Arial" w:cs="Arial" w:eastAsia="Arial" w:hAnsi="Arial"/>
          <w:sz w:val="16"/>
          <w:szCs w:val="16"/>
          <w:color w:val="auto"/>
        </w:rPr>
        <w:t>www.lantheus.com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 Reports 2018 Second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DEFINITY® worldwide revenues increase 14.9% year over year</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NORTH BILLERICA, Mass., August 1, 2018 - Lantheus Holdings, Inc. (the “Company”) (NASDAQ: LNTH), parent company of Lantheus Medical Imaging, Inc. (“LMI”), a global leader in the development, manufacture and commercialization of innovative diagnostic imaging agents and products, today reported financial results for its second quarter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Comments</w:t>
      </w:r>
    </w:p>
    <w:p>
      <w:pPr>
        <w:spacing w:after="0" w:line="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posted solid results in the second quarter, with revenue that was in line with expectations and Adjusted EBITDA that exceeded our guidance,” said Mary Anne Heino, President and CEO. “This year continues to be a period of strategic investment in our business as we follow our three-pronged strategy of growing our microbubble franchise, investing in our product pipeline, and pursuing external opportunities that fit our growth and profitability objectives.”</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Heino continued, “Our flagship product DEFINITY is the cornerstone of our microbubble franchise and remains the leading echo contrast agent worldwide. It is also a strong growth business for us, with worldwide sales that grew 14.9% year on year. Amid increased interest in the use of microbubbles in therapeutic and additional diagnostic applications, our research and development efforts are focused on identifying new applications and enhancing current applications to deliver future growth opportunities.”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“Highlights from our busy second quarter include being granted a composition of matter patent for an alternative formulation for DEFINITY that will run through 2035. Also, we are on track to initiate our Phase 3 clinical program for a Left Ventricular Ejection Fraction, or LVEF, indication for DEFINITY by the end of this year. At the same time, our DEFINITY China program completed patient enrollment for its cardiac, kidney, liver and pharmacokinetic studies, and we expect the application to be submitted to the China FDA by the end of this year,” added Ms. Heino.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Update</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previously disclosed, one of the Company’s nuclear product suppliers, NTP, has been offline since early June, resulting in a temporary disruption in the supply of molybdenum-99, the medical isotope used in the Company’s TechneLite® generators. NTP is working with its regulatory authority to resume operations and in the meantime the Company is focused on mitigating the supply disruption through sourcing additional molybdenum-99 from its other suppliers.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worldwide revenues for the second quarter of 2018 totaled $85.6 million, compared with $88.8 million for the second quarter of 2017, which included a $5.0 million up-front payment received from GE Healthcare. DEFINITY had worldwide revenues of $46.1 million for the second quarter, an increase of 14.9% from the year-ago period.</w:t>
      </w:r>
    </w:p>
    <w:p>
      <w:pPr>
        <w:spacing w:after="0" w:line="2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income for the second quarter of 2018 totaled $9.7 million, or $0.25 per diluted share, compared with $13.6 million, or $0.35 per diluted share, for the second quarter of 2017. The Company’s second quarter 2018 Adjusted EBITDA (as outlined in the GAAP to non-GAAP reconciliation provided below) was $23.7 million, or 27.6% of revenues, compared with $27.9 million, or 31.5% of revenues, for the second quarter of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third quarter of 2018, the Company expects worldwide revenues in the range of $82 million to $86 million. The Company expects Adjusted EBITDA, as described in the GAAP to non-GAAP reconciliation provided later in this release, of $18 million to $21 million, representing 20.9% to 25.6% of anticipated worldwide revenues.</w:t>
      </w:r>
    </w:p>
    <w:p>
      <w:pPr>
        <w:spacing w:after="0" w:line="29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maintains its guidance for full year 2018 worldwide revenues of approximately $337 million to $342 million, compared with $326.4 million in 2017 (which excludes the aforementioned $5.0 million payment from GE Healthcare). The Company also maintains its guidance for full year 2018 Adjusted EBITDA of $85 million to $90 million, representing 24.9% to 26.7% of anticipated worldwide revenues.</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 of 10</w:t>
      </w:r>
    </w:p>
    <w:p>
      <w:pPr>
        <w:sectPr>
          <w:pgSz w:w="11900" w:h="16838" w:orient="portrait"/>
          <w:cols w:equalWidth="0" w:num="1">
            <w:col w:w="11420"/>
          </w:cols>
          <w:pgMar w:left="240" w:top="1013" w:right="239" w:bottom="1440" w:gutter="0" w:footer="0" w:header="0"/>
          <w:type w:val="continuous"/>
        </w:sectPr>
      </w:pPr>
    </w:p>
    <w:bookmarkStart w:id="5" w:name="page6"/>
    <w:bookmarkEnd w:id="5"/>
    <w:p>
      <w:pPr>
        <w:ind w:right="120"/>
        <w:spacing w:after="0" w:line="312" w:lineRule="auto"/>
        <w:rPr>
          <w:sz w:val="20"/>
          <w:szCs w:val="20"/>
          <w:color w:val="auto"/>
        </w:rPr>
      </w:pPr>
      <w:r>
        <w:rPr>
          <w:rFonts w:ascii="Arial" w:cs="Arial" w:eastAsia="Arial" w:hAnsi="Arial"/>
          <w:sz w:val="16"/>
          <w:szCs w:val="16"/>
          <w:color w:val="auto"/>
        </w:rPr>
        <w:t>The Company’s guidance for worldwide revenues and Adjusted EBITDA are forward-looking statements. They are subject to various risks and uncertainties that could cause the Company’s actual results to differ materially from guidance. Forward-looking statements are not predictions of the Company’s actual performance. See the cautionary information about forward-looking statements in the “Safe-Harbor Statement” section of this press release.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27"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The Company routinely posts information that may be important to investors in the “Investors” section of its website at http://www.lantheus.com/. The Company encourages investors and potential investors to consult its website regularly for important information about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As previously announced, the Company will host a conference call starting at 4:30 p.m. Eastern Time today. To access the live conference call via telephone, please dial 1-866-498-8390 (U.S. callers) or 1-678-509-7599 (international callers) and provide passcode 8685099. A live audio webcast of the call also will be available in the Investors section of the Company’s website at www.lantheus.com.</w:t>
      </w:r>
    </w:p>
    <w:p>
      <w:pPr>
        <w:spacing w:after="0" w:line="29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 replay of the audio webcast will be available in the Investors section of our website at www.lantheus.com approximately two hours after completion of the call and will be archived for 30 days.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conference call may include forward-looking statements. See the cautionary information about forward-looking statements in the safe-harbor section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 and Lantheus Medical Imaging, Inc.</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 Vial for (Perflutren Lipid Microsphere) Injectable Suspension; TechneLite® (Technetium Tc99m Generator), a technetium-based 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www.lantheus.com.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uses non-GAAP financial measures, such as revenues excluding the impact of foreign currency; adjusted operating income; adjusted net income and its line components; Adjusted EBITDA; adjusted net income per share - diluted; and free cash flow. The Company’s management believes that the presentation of these measures provides useful information to investors. These measures may assist investors in evaluating the Company’s operations, period over period. The measures may exclude such items which may be highly variable, difficult to predict and of a size that could have substantial impact on the Company’s reported results of operations for a period. Management uses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as defined under U.S. federal securities laws, including statements about our 2018 outlook.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 This press release includes forward-looking non-GAAP guidance for 2018 Adjusted EBITDA. No reconciliation of this forward-looking non-GAAP guidance was included in this press release because, due to the high variability and difficulty in making accurate forecasts and projections of some of the excluded information and the fact that some of the excluded</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 of 10</w:t>
      </w:r>
    </w:p>
    <w:p>
      <w:pPr>
        <w:sectPr>
          <w:pgSz w:w="11900" w:h="16838" w:orient="portrait"/>
          <w:cols w:equalWidth="0" w:num="1">
            <w:col w:w="11420"/>
          </w:cols>
          <w:pgMar w:left="240" w:top="1017" w:right="239" w:bottom="1440" w:gutter="0" w:footer="0" w:header="0"/>
          <w:type w:val="continuous"/>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information is not readily ascertainable or accessible, the Company is unable to quantify certain amounts that would be required to be included in the most directly comparable GAAP financial measure without unreasonable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Tables Follow -</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140"/>
          </w:cols>
          <w:pgMar w:left="240" w:top="800" w:right="5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goods sold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Gross profit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General and administrative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700" w:right="360" w:hanging="215"/>
        <w:spacing w:after="0" w:line="385" w:lineRule="auto"/>
        <w:rPr>
          <w:sz w:val="20"/>
          <w:szCs w:val="20"/>
          <w:color w:val="auto"/>
        </w:rPr>
      </w:pPr>
      <w:r>
        <w:rPr>
          <w:rFonts w:ascii="Arial" w:cs="Arial" w:eastAsia="Arial" w:hAnsi="Arial"/>
          <w:sz w:val="15"/>
          <w:szCs w:val="15"/>
          <w:color w:val="auto"/>
        </w:rPr>
        <w:t>Total operating expenses Operating income</w:t>
      </w:r>
    </w:p>
    <w:p>
      <w:pPr>
        <w:ind w:left="2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0" w:right="320"/>
        <w:spacing w:after="0" w:line="305" w:lineRule="auto"/>
        <w:rPr>
          <w:sz w:val="20"/>
          <w:szCs w:val="20"/>
          <w:color w:val="auto"/>
        </w:rPr>
      </w:pPr>
      <w:r>
        <w:rPr>
          <w:rFonts w:ascii="Arial" w:cs="Arial" w:eastAsia="Arial" w:hAnsi="Arial"/>
          <w:sz w:val="18"/>
          <w:szCs w:val="18"/>
          <w:color w:val="auto"/>
        </w:rPr>
        <w:t>Loss on extinguishment of debt Other income</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9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3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60" w:type="dxa"/>
            <w:vAlign w:val="bottom"/>
          </w:tcPr>
          <w:p>
            <w:pPr>
              <w:spacing w:after="0"/>
              <w:rPr>
                <w:sz w:val="20"/>
                <w:szCs w:val="20"/>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85,573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88,837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168,203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170,196</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41,727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82,048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84,487</w:t>
            </w: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45,947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86,155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85,709</w:t>
            </w: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21,817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23,473</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10,595</w:t>
            </w:r>
          </w:p>
        </w:tc>
      </w:tr>
      <w:tr>
        <w:trPr>
          <w:trHeight w:val="27"/>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55,092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55,885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29,824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9,705</w:t>
            </w:r>
          </w:p>
        </w:tc>
      </w:tr>
      <w:tr>
        <w:trPr>
          <w:trHeight w:val="270"/>
        </w:trPr>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0"/>
        </w:trPr>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-2074545</wp:posOffset>
            </wp:positionV>
            <wp:extent cx="647446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18034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-1723390</wp:posOffset>
            </wp:positionV>
            <wp:extent cx="647446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4460" cy="18034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-1362710</wp:posOffset>
            </wp:positionV>
            <wp:extent cx="64744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4460" cy="17145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-1019810</wp:posOffset>
            </wp:positionV>
            <wp:extent cx="64744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4460" cy="17145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-668020</wp:posOffset>
            </wp:positionV>
            <wp:extent cx="64744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4460" cy="17145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-325120</wp:posOffset>
            </wp:positionV>
            <wp:extent cx="64744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4460" cy="17145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620" w:space="720"/>
            <w:col w:w="6860"/>
          </w:cols>
          <w:pgMar w:left="860" w:top="850" w:right="839" w:bottom="1440" w:gutter="0" w:footer="0" w:header="0"/>
        </w:sectPr>
      </w:pPr>
    </w:p>
    <w:tbl>
      <w:tblPr>
        <w:tblLayout w:type="fixed"/>
        <w:tblInd w:w="0" w:type="dxa"/>
        <w:tblCellMar>
          <w:top w:w="0" w:type="dxa"/>
          <w:left w:w="0" w:type="dxa"/>
          <w:bottom w:w="0" w:type="dxa"/>
          <w:right w:w="0" w:type="dxa"/>
        </w:tblCellMar>
      </w:tblPr>
      <w:tr>
        <w:trPr>
          <w:trHeight w:val="265"/>
        </w:trPr>
        <w:tc>
          <w:tcPr>
            <w:tcW w:w="4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19,087</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0200"/>
          </w:cols>
          <w:pgMar w:left="860" w:top="850" w:right="839" w:bottom="1440" w:gutter="0" w:footer="0" w:header="0"/>
          <w:type w:val="continuous"/>
        </w:sectPr>
      </w:pPr>
    </w:p>
    <w:bookmarkStart w:id="8" w:name="page9"/>
    <w:bookmarkEnd w:id="8"/>
    <w:p>
      <w:pPr>
        <w:ind w:left="386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Segment Revenues Analysis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Change</w:t>
            </w: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88"/>
              </w:rPr>
              <w:t>United States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DEFINITY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45,103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39,211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88,609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TechneLite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Xenon</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7"/>
        </w:trPr>
        <w:tc>
          <w:tcPr>
            <w:tcW w:w="2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Total United States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145,574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DEFINITY</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TechneLite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Xenon</w:t>
            </w:r>
          </w:p>
        </w:tc>
        <w:tc>
          <w:tcPr>
            <w:tcW w:w="2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7"/>
        </w:trPr>
        <w:tc>
          <w:tcPr>
            <w:tcW w:w="2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Total International</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Worldwide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DEFINITY</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TechneLite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20" w:type="dxa"/>
            <w:vAlign w:val="bottom"/>
          </w:tcPr>
          <w:p>
            <w:pPr>
              <w:spacing w:after="0"/>
              <w:rPr>
                <w:sz w:val="21"/>
                <w:szCs w:val="21"/>
                <w:color w:val="auto"/>
              </w:rPr>
            </w:pPr>
          </w:p>
        </w:tc>
        <w:tc>
          <w:tcPr>
            <w:tcW w:w="2620" w:type="dxa"/>
            <w:vAlign w:val="bottom"/>
            <w:gridSpan w:val="4"/>
          </w:tcPr>
          <w:p>
            <w:pPr>
              <w:ind w:left="260"/>
              <w:spacing w:after="0"/>
              <w:rPr>
                <w:sz w:val="20"/>
                <w:szCs w:val="20"/>
                <w:color w:val="auto"/>
              </w:rPr>
            </w:pPr>
            <w:r>
              <w:rPr>
                <w:rFonts w:ascii="Arial" w:cs="Arial" w:eastAsia="Arial" w:hAnsi="Arial"/>
                <w:sz w:val="18"/>
                <w:szCs w:val="18"/>
                <w:color w:val="auto"/>
              </w:rPr>
              <w:t>Xenon</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57"/>
        </w:trPr>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88,837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168,203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170,196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9540"/>
          </w:cols>
          <w:pgMar w:left="1180" w:top="850" w:right="1179" w:bottom="1440" w:gutter="0" w:footer="0" w:header="0"/>
        </w:sectPr>
      </w:pPr>
    </w:p>
    <w:bookmarkStart w:id="9" w:name="page10"/>
    <w:bookmarkEnd w:id="9"/>
    <w:p>
      <w:pPr>
        <w:ind w:left="384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32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June 30,</w:t>
            </w:r>
          </w:p>
        </w:tc>
        <w:tc>
          <w:tcPr>
            <w:tcW w:w="9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8"/>
              </w:rPr>
              <w:t>17,897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31,063</w:t>
            </w: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8"/>
              </w:rPr>
              <w:t>29,824</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w w:val="98"/>
              </w:rPr>
              <w:t>Campus consolidation costs including depreciation</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4,982</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Offering and other costs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529</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Non-recurring refinancing related fees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1,721</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8"/>
              </w:rPr>
              <w:t>20,715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32,133</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8"/>
              </w:rPr>
              <w:t>37,056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w w:val="93"/>
              </w:rPr>
              <w:t>Adjusted operating income, as a percentage of revenues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9520"/>
          </w:cols>
          <w:pgMar w:left="1200" w:top="850" w:right="1179" w:bottom="1440" w:gutter="0" w:footer="0" w:header="0"/>
        </w:sectPr>
      </w:pPr>
    </w:p>
    <w:bookmarkStart w:id="10" w:name="page11"/>
    <w:bookmarkEnd w:id="10"/>
    <w:p>
      <w:pPr>
        <w:ind w:left="428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13,595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17,956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Reconciling items impacting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Offering and other costs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Non-recurring refinancing related fees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w w:val="93"/>
              </w:rPr>
              <w:t>Reconciling items impacting non-operating expenses and income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taxes:</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debt extinguishment and retirement costs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Income tax effect of non-GAAP adjustments</w:t>
            </w:r>
            <w:r>
              <w:rPr>
                <w:rFonts w:ascii="Arial" w:cs="Arial" w:eastAsia="Arial" w:hAnsi="Arial"/>
                <w:sz w:val="25"/>
                <w:szCs w:val="25"/>
                <w:color w:val="auto"/>
                <w:vertAlign w:val="superscript"/>
              </w:rPr>
              <w:t>(a) (b)</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18,756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24,754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20"/>
              <w:spacing w:after="0"/>
              <w:rPr>
                <w:sz w:val="20"/>
                <w:szCs w:val="20"/>
                <w:color w:val="auto"/>
              </w:rPr>
            </w:pPr>
            <w:r>
              <w:rPr>
                <w:rFonts w:ascii="Arial" w:cs="Arial" w:eastAsia="Arial" w:hAnsi="Arial"/>
                <w:sz w:val="18"/>
                <w:szCs w:val="18"/>
                <w:color w:val="auto"/>
              </w:rPr>
              <w:t>Adjusted net income, as a percentage of revenues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8"/>
                <w:szCs w:val="18"/>
                <w:color w:val="auto"/>
              </w:rPr>
            </w:pPr>
          </w:p>
        </w:tc>
        <w:tc>
          <w:tcPr>
            <w:tcW w:w="2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Reconciling items impacting operating income: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Campus consolidation costs including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Offering and other costs</w:t>
            </w: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Non-recurring refinancing related fees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i w:val="1"/>
                <w:iCs w:val="1"/>
                <w:color w:val="auto"/>
                <w:w w:val="95"/>
              </w:rPr>
              <w:t>Reconciling items impacting non-operating expenses and income taxes: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 and retirement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5480" w:type="dxa"/>
            <w:vAlign w:val="bottom"/>
          </w:tcPr>
          <w:p>
            <w:pPr>
              <w:ind w:left="280"/>
              <w:spacing w:after="0" w:line="270" w:lineRule="exact"/>
              <w:rPr>
                <w:sz w:val="20"/>
                <w:szCs w:val="20"/>
                <w:color w:val="auto"/>
              </w:rPr>
            </w:pPr>
            <w:r>
              <w:rPr>
                <w:rFonts w:ascii="Arial" w:cs="Arial" w:eastAsia="Arial" w:hAnsi="Arial"/>
                <w:sz w:val="18"/>
                <w:szCs w:val="18"/>
                <w:color w:val="auto"/>
              </w:rPr>
              <w:t>Tax effect of non-GAAP adjustments</w:t>
            </w:r>
            <w:r>
              <w:rPr>
                <w:rFonts w:ascii="Arial" w:cs="Arial" w:eastAsia="Arial" w:hAnsi="Arial"/>
                <w:sz w:val="25"/>
                <w:szCs w:val="25"/>
                <w:color w:val="auto"/>
                <w:vertAlign w:val="superscript"/>
              </w:rPr>
              <w:t>(a) (b)</w:t>
            </w:r>
          </w:p>
        </w:tc>
        <w:tc>
          <w:tcPr>
            <w:tcW w:w="2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 - diluted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39,398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39,468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80" w:right="580" w:hanging="644"/>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income tax effect of the adjustments between GAAP net income and non-GAAP adjusted net income takes into account the tax treatment and related tax rate that apply to each adjustment in the applicable tax jurisdiction.</w:t>
      </w:r>
    </w:p>
    <w:p>
      <w:pPr>
        <w:spacing w:after="0" w:line="278" w:lineRule="exact"/>
        <w:rPr>
          <w:rFonts w:ascii="Arial" w:cs="Arial" w:eastAsia="Arial" w:hAnsi="Arial"/>
          <w:sz w:val="18"/>
          <w:szCs w:val="18"/>
          <w:color w:val="auto"/>
        </w:rPr>
      </w:pPr>
    </w:p>
    <w:p>
      <w:pPr>
        <w:ind w:left="780" w:hanging="644"/>
        <w:spacing w:after="0" w:line="31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fourth quarter of 2017, we released the valuation allowance previously recorded against our domestic net deferred tax assets. As a result, we included the tax effect of non-GAAP adjustments starting in the fourth quarter of 2017. Presentation of 2017 Adjusted Net Income has been modified to allow better go-forward comparability by including the tax effect of non-GAAP reconciling items.</w:t>
      </w:r>
    </w:p>
    <w:p>
      <w:pPr>
        <w:spacing w:after="0" w:line="3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0840"/>
          </w:cols>
          <w:pgMar w:left="760" w:top="850" w:right="299" w:bottom="1440" w:gutter="0" w:footer="0" w:header="0"/>
        </w:sectPr>
      </w:pPr>
    </w:p>
    <w:bookmarkStart w:id="11" w:name="page12"/>
    <w:bookmarkEnd w:id="11"/>
    <w:p>
      <w:pPr>
        <w:ind w:left="4144"/>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804"/>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384"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8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June 30,</w:t>
            </w:r>
          </w:p>
        </w:tc>
        <w:tc>
          <w:tcPr>
            <w:tcW w:w="9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3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17,733</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9,697</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374</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7,964</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3,307</w:t>
            </w: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19,059</w:t>
            </w: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23,064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39,075</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and incentive plan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2,802</w:t>
            </w:r>
          </w:p>
        </w:tc>
      </w:tr>
      <w:tr>
        <w:trPr>
          <w:trHeight w:val="270"/>
        </w:trPr>
        <w:tc>
          <w:tcPr>
            <w:tcW w:w="39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Asset write-off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1,273</w:t>
            </w:r>
          </w:p>
        </w:tc>
      </w:tr>
      <w:tr>
        <w:trPr>
          <w:trHeight w:val="270"/>
        </w:trPr>
        <w:tc>
          <w:tcPr>
            <w:tcW w:w="39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Severance and recruiting costs </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367</w:t>
            </w:r>
          </w:p>
        </w:tc>
      </w:tr>
      <w:tr>
        <w:trPr>
          <w:trHeight w:val="270"/>
        </w:trPr>
        <w:tc>
          <w:tcPr>
            <w:tcW w:w="39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Offering and other costs </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529</w:t>
            </w: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693</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Debt refinancing costs</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1,721</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Extinguishment of debt and debt retirement costs</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2,161</w:t>
            </w:r>
          </w:p>
        </w:tc>
      </w:tr>
      <w:tr>
        <w:trPr>
          <w:trHeight w:val="270"/>
        </w:trPr>
        <w:tc>
          <w:tcPr>
            <w:tcW w:w="398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New manufacturer costs </w:t>
            </w:r>
            <w:r>
              <w:rPr>
                <w:rFonts w:ascii="Arial" w:cs="Arial" w:eastAsia="Arial" w:hAnsi="Arial"/>
                <w:sz w:val="25"/>
                <w:szCs w:val="25"/>
                <w:color w:val="auto"/>
                <w:vertAlign w:val="superscript"/>
              </w:rPr>
              <w:t>(e)</w:t>
            </w: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1,977</w:t>
            </w: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27,947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46,747</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50,598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980" w:type="dxa"/>
            <w:vAlign w:val="bottom"/>
          </w:tcPr>
          <w:p>
            <w:pPr>
              <w:ind w:left="20"/>
              <w:spacing w:after="0"/>
              <w:rPr>
                <w:sz w:val="20"/>
                <w:szCs w:val="20"/>
                <w:color w:val="auto"/>
              </w:rPr>
            </w:pPr>
            <w:r>
              <w:rPr>
                <w:rFonts w:ascii="Arial" w:cs="Arial" w:eastAsia="Arial" w:hAnsi="Arial"/>
                <w:sz w:val="18"/>
                <w:szCs w:val="18"/>
                <w:color w:val="auto"/>
              </w:rPr>
              <w:t>Adjusted EBITDA, as a percentage of revenues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29.7%</w:t>
            </w: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income tax expense, less tax indemnification income associated with BMS.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inventory and other write-offs of long-lived assets.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consist of severance and recruitment costs related to employees, executives and directors.</w:t>
      </w:r>
    </w:p>
    <w:p>
      <w:pPr>
        <w:spacing w:after="0" w:line="225" w:lineRule="exact"/>
        <w:rPr>
          <w:rFonts w:ascii="Arial" w:cs="Arial" w:eastAsia="Arial" w:hAnsi="Arial"/>
          <w:sz w:val="18"/>
          <w:szCs w:val="18"/>
          <w:color w:val="auto"/>
        </w:rPr>
      </w:pPr>
    </w:p>
    <w:p>
      <w:pPr>
        <w:ind w:left="644" w:right="140"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offering costs incurred on behalf of certain shareholders pursuant to a registration rights agreement and other non-recurring costs.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and clinical candidate products.</w:t>
      </w:r>
    </w:p>
    <w:p>
      <w:pPr>
        <w:spacing w:after="0" w:line="200" w:lineRule="exact"/>
        <w:rPr>
          <w:sz w:val="20"/>
          <w:szCs w:val="20"/>
          <w:color w:val="auto"/>
        </w:rPr>
      </w:pPr>
    </w:p>
    <w:p>
      <w:pPr>
        <w:spacing w:after="0" w:line="32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0504"/>
          </w:cols>
          <w:pgMar w:left="896" w:top="850" w:right="499" w:bottom="1440" w:gutter="0" w:footer="0" w:header="0"/>
        </w:sectPr>
      </w:pPr>
    </w:p>
    <w:bookmarkStart w:id="12" w:name="page13"/>
    <w:bookmarkEnd w:id="12"/>
    <w:p>
      <w:pPr>
        <w:ind w:left="416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Reconciliation of Free Cash Flow</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(8,301)</w:t>
            </w:r>
          </w:p>
        </w:tc>
      </w:tr>
      <w:tr>
        <w:trPr>
          <w:trHeight w:val="27"/>
        </w:trPr>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17,790</w:t>
            </w: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0140"/>
          </w:cols>
          <w:pgMar w:left="880" w:top="850" w:right="879" w:bottom="1440" w:gutter="0" w:footer="0" w:header="0"/>
        </w:sectPr>
      </w:pPr>
    </w:p>
    <w:bookmarkStart w:id="13" w:name="page14"/>
    <w:bookmarkEnd w:id="13"/>
    <w:p>
      <w:pPr>
        <w:ind w:left="400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&amp; equipment,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Revolving 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357,270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401,803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10</w:t>
      </w:r>
    </w:p>
    <w:sectPr>
      <w:pgSz w:w="11900" w:h="16838" w:orient="portrait"/>
      <w:cols w:equalWidth="0" w:num="1">
        <w:col w:w="9820"/>
      </w:cols>
      <w:pgMar w:left="1040" w:top="85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2019-12-28T21:12:36Z</dcterms:created>
  <dcterms:modified xsi:type="dcterms:W3CDTF">2019-12-28T21:12:36Z</dcterms:modified>
</cp:coreProperties>
</file>