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Niedzwiecki Daniel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92,226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8,259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83,967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reflects additional shares of common stock issued by Lantheus Holdings, Inc. to the reporting person upon the vesting of relative Total Shareholder Return performance-based restricted stock units ("PSUs") that were previously granted and included in the Form 4 filed on March 6, 2023. The number of shares reported in the Form 4 reflected 100% of the target number of shares underlying the PSUs. The number of shares that actually vested under the PSUs equaled 162.8% of the target number of shares. Accordingly, the number of shares reported in this Form 4 reflects the difference between the number of shares that actually vested under the PSUs and the target number of shares originally included in the Form 4.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Administrative Officer, General Counsel and Corporate Secretary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1113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2026-03-04T15:31:21Z</dcterms:created>
  <dcterms:modified xsi:type="dcterms:W3CDTF">2026-03-04T15:31:21Z</dcterms:modified>
</cp:coreProperties>
</file>