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auto"/>
        </w:rPr>
        <w:t>VIA EDGAR</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July 25, 2014</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51"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Lantheus Holdings, Inc. (the “Company”)</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S-1 (File No. 333-196998)</w:t>
      </w:r>
    </w:p>
    <w:p>
      <w:pPr>
        <w:spacing w:after="0" w:line="15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As representatives of the several underwriters of the Company’s proposed public offering of common stock, we hereby join the Company’s request that the effective date of the above-referenced Registration Statement be accelerated so that the above-referenced Registration Statement will be declared effective at 2:00 p.m. (ET) on July 29, 2014, or as soon thereafter as is practicable.</w:t>
      </w:r>
    </w:p>
    <w:p>
      <w:pPr>
        <w:spacing w:after="0" w:line="127" w:lineRule="exact"/>
        <w:rPr>
          <w:sz w:val="24"/>
          <w:szCs w:val="24"/>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Rule 460 of the General Rules and Regulations of the Securities and Exchange Commission under the Securities Act of 1933, as amended, we wish to advise you that we have effected the following distribution of the Company’s Preliminary Prospectus dated July 16, 2014, through the date hereof:</w:t>
      </w:r>
    </w:p>
    <w:p>
      <w:pPr>
        <w:spacing w:after="0" w:line="72"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Preliminary Prospectus dated July 16, 2014:</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2,001 copies to prospective underwriters, institutional investors, dealers and others</w:t>
      </w:r>
    </w:p>
    <w:p>
      <w:pPr>
        <w:spacing w:after="0" w:line="158" w:lineRule="exact"/>
        <w:rPr>
          <w:sz w:val="24"/>
          <w:szCs w:val="24"/>
          <w:color w:val="auto"/>
        </w:rPr>
      </w:pPr>
    </w:p>
    <w:p>
      <w:pPr>
        <w:ind w:right="60" w:firstLine="456"/>
        <w:spacing w:after="0" w:line="370" w:lineRule="auto"/>
        <w:rPr>
          <w:sz w:val="20"/>
          <w:szCs w:val="20"/>
          <w:color w:val="auto"/>
        </w:rPr>
      </w:pPr>
      <w:r>
        <w:rPr>
          <w:rFonts w:ascii="Arial" w:cs="Arial" w:eastAsia="Arial" w:hAnsi="Arial"/>
          <w:sz w:val="15"/>
          <w:szCs w:val="15"/>
          <w:color w:val="auto"/>
        </w:rPr>
        <w:t>The undersigned advise that they have complied and will continue to comply, and that they have been informed by the participating underwriters and dealers that they have complied with and will continue to comply, with the requirements of Rule 15c2-8 under the Securities Exchange Act of 1934, as amended.</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380"/>
          </w:cols>
          <w:pgMar w:left="240" w:top="239" w:right="27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As Representatives of the several Underwriters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Aradhana Sarin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Aradhana Sarin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Ashley Delp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Ashley Delp</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2019-12-08T02:04:53Z</dcterms:created>
  <dcterms:modified xsi:type="dcterms:W3CDTF">2019-12-08T02:04:53Z</dcterms:modified>
</cp:coreProperties>
</file>