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3, 2012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LANTHEUS MEDICAL IMAGING,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333-169785</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51-0396366</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900" w:orient="portrait"/>
          <w:cols w:equalWidth="0" w:num="3">
            <w:col w:w="4280" w:space="720"/>
            <w:col w:w="2740" w:space="720"/>
            <w:col w:w="2920"/>
          </w:cols>
          <w:pgMar w:left="240" w:top="544" w:right="27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331 Treble Cove Road, North Billerica, MA 01862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ectPr>
          <w:pgSz w:w="11900" w:h="16900" w:orient="portrait"/>
          <w:cols w:equalWidth="0" w:num="1">
            <w:col w:w="11380"/>
          </w:cols>
          <w:pgMar w:left="240" w:top="544" w:right="279" w:bottom="0" w:gutter="0" w:footer="0" w:header="0"/>
          <w:type w:val="continuous"/>
        </w:sect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(978) 671-8001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On March 30, 2012, Lantheus Medical Imaging, Inc. (the “Company”), the registrant, issued its financial results for the year ended December 31, 2011 in its Annual Report on Form 10-K. The Company is furnishing certain supplemental non-GAAP and other financial information relating to the three and twelve months ended December 31, 2010 and 2011 in this Current Report on Form 8-K.</w:t>
      </w:r>
    </w:p>
    <w:p>
      <w:pPr>
        <w:spacing w:after="0" w:line="181" w:lineRule="exact"/>
        <w:rPr>
          <w:sz w:val="24"/>
          <w:szCs w:val="24"/>
          <w:color w:val="auto"/>
        </w:rPr>
      </w:pPr>
    </w:p>
    <w:p>
      <w:pPr>
        <w:ind w:right="320"/>
        <w:spacing w:after="0" w:line="264" w:lineRule="auto"/>
        <w:rPr>
          <w:sz w:val="20"/>
          <w:szCs w:val="20"/>
          <w:color w:val="auto"/>
        </w:rPr>
      </w:pPr>
      <w:r>
        <w:rPr>
          <w:rFonts w:ascii="Arial" w:cs="Arial" w:eastAsia="Arial" w:hAnsi="Arial"/>
          <w:sz w:val="18"/>
          <w:szCs w:val="18"/>
          <w:color w:val="auto"/>
        </w:rPr>
        <w:t>The information in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The following table sets forth summary consolidated financial data for Lantheus MI Intermediate, Inc. and subsidiaries for the three and twelve months ended December 31, 2010 and 2011. The summary consolidated financial data set forth below is not necessarily indicative of future performance. You should read this information together with the Company’s consolidated financial statements included in the Company’s filings with the Securities and Exchange Commission (“SEC”) on Form 10-K for the years ended December 31, 2011 and 2010 (the Company’s “Periodic Reports”).</w:t>
      </w:r>
    </w:p>
    <w:p>
      <w:pPr>
        <w:spacing w:after="0" w:line="151"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28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62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91"/>
              </w:rPr>
              <w:t>Years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9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Income Data:</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81,522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94,799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356,292</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353,956</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67,027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64,415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204,006</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11,546</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45,384</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45,130</w:t>
            </w: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97"/>
        </w:trPr>
        <w:tc>
          <w:tcPr>
            <w:tcW w:w="4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544" w:right="2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93,142</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3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84,098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Cash Flows Data:</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(2,637)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22,420</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EBITDA(1)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(7,489)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10,579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16,832</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12,738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25,153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3,166</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right="80" w:hanging="652"/>
        <w:spacing w:after="0" w:line="291" w:lineRule="auto"/>
        <w:tabs>
          <w:tab w:leader="none" w:pos="667"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is defined as net income plus interest, income taxes, depreciation and amortization. EBITDA is a measure used by management to measure operating performance. Adjusted EBITDA is defined as EBITDA, further adjusted to exclude unusual items and other adjustments required or permitted in calculating Adjusted EBITDA under the indenture governing the Company’s notes and the credit agreement for the Company’s revolving credit facility. Adjusted EBITDA is also used by management to measure operating performance and by investors to measure a company’s ability to service its debt and meet its other cash needs. Management believes that the inclusion of the adjustments to EBITDA applied in presenting Adjusted EBITDA are appropriate to provide additional information to investors about the Company’s performance across reporting periods on a consistent basis by excluding items that it does not believe are indicative of its core operating performance.</w:t>
      </w:r>
    </w:p>
    <w:p>
      <w:pPr>
        <w:spacing w:after="0" w:line="167" w:lineRule="exact"/>
        <w:rPr>
          <w:rFonts w:ascii="Arial" w:cs="Arial" w:eastAsia="Arial" w:hAnsi="Arial"/>
          <w:sz w:val="16"/>
          <w:szCs w:val="16"/>
          <w:color w:val="auto"/>
        </w:rPr>
      </w:pPr>
    </w:p>
    <w:p>
      <w:pPr>
        <w:ind w:left="660" w:right="240"/>
        <w:spacing w:after="0" w:line="259" w:lineRule="auto"/>
        <w:rPr>
          <w:rFonts w:ascii="Arial" w:cs="Arial" w:eastAsia="Arial" w:hAnsi="Arial"/>
          <w:sz w:val="16"/>
          <w:szCs w:val="16"/>
          <w:color w:val="auto"/>
        </w:rPr>
      </w:pPr>
      <w:r>
        <w:rPr>
          <w:rFonts w:ascii="Arial" w:cs="Arial" w:eastAsia="Arial" w:hAnsi="Arial"/>
          <w:sz w:val="18"/>
          <w:szCs w:val="18"/>
          <w:color w:val="auto"/>
        </w:rPr>
        <w:t>EBITDA and Adjusted EBITDA, as presented herein, are supplemental measures of the Company’s performance that are not required by, or presented in accordance with GAAP. They are not measurements of the Company’s financial performance under GAAP and should not be considered as alternatives to net income or any other performance measures derived in accordance with GAAP or as alternatives to cash flow from operating activities as measures of the Company’s liquidity.</w:t>
      </w:r>
    </w:p>
    <w:p>
      <w:pPr>
        <w:spacing w:after="0" w:line="186" w:lineRule="exact"/>
        <w:rPr>
          <w:rFonts w:ascii="Arial" w:cs="Arial" w:eastAsia="Arial" w:hAnsi="Arial"/>
          <w:sz w:val="16"/>
          <w:szCs w:val="16"/>
          <w:color w:val="auto"/>
        </w:rPr>
      </w:pPr>
    </w:p>
    <w:p>
      <w:pPr>
        <w:jc w:val="both"/>
        <w:ind w:left="660" w:right="60"/>
        <w:spacing w:after="0" w:line="312" w:lineRule="auto"/>
        <w:rPr>
          <w:rFonts w:ascii="Arial" w:cs="Arial" w:eastAsia="Arial" w:hAnsi="Arial"/>
          <w:sz w:val="16"/>
          <w:szCs w:val="16"/>
          <w:color w:val="auto"/>
        </w:rPr>
      </w:pPr>
      <w:r>
        <w:rPr>
          <w:rFonts w:ascii="Arial" w:cs="Arial" w:eastAsia="Arial" w:hAnsi="Arial"/>
          <w:sz w:val="16"/>
          <w:szCs w:val="16"/>
          <w:color w:val="auto"/>
        </w:rPr>
        <w:t>The Company’s measurement of EBITDA and Adjusted EBITDA may not be comparable to similarly titled measures of other companies and are not measures of performance calculated in accordance with GAAP. The Company has included information concerning EBITDA and Adjusted EBITDA in this report because it believes that such information is used by certain investors as one measure of a company’s historical performance.</w:t>
      </w:r>
    </w:p>
    <w:p>
      <w:pPr>
        <w:spacing w:after="0" w:line="146" w:lineRule="exact"/>
        <w:rPr>
          <w:rFonts w:ascii="Arial" w:cs="Arial" w:eastAsia="Arial" w:hAnsi="Arial"/>
          <w:sz w:val="16"/>
          <w:szCs w:val="16"/>
          <w:color w:val="auto"/>
        </w:rPr>
      </w:pPr>
    </w:p>
    <w:p>
      <w:pPr>
        <w:ind w:left="660" w:right="160"/>
        <w:spacing w:after="0" w:line="277" w:lineRule="auto"/>
        <w:rPr>
          <w:rFonts w:ascii="Arial" w:cs="Arial" w:eastAsia="Arial" w:hAnsi="Arial"/>
          <w:sz w:val="16"/>
          <w:szCs w:val="16"/>
          <w:color w:val="auto"/>
        </w:rPr>
      </w:pPr>
      <w:r>
        <w:rPr>
          <w:rFonts w:ascii="Arial" w:cs="Arial" w:eastAsia="Arial" w:hAnsi="Arial"/>
          <w:sz w:val="18"/>
          <w:szCs w:val="18"/>
          <w:color w:val="auto"/>
        </w:rPr>
        <w:t>EBITDA and Adjusted EBITDA have limitations as analytical tools, and you should not consider them in isolation, or as a substitute for analysis of the Company’s operating results or cash flows as reported under GAAP. Some of these limitations are:</w:t>
      </w:r>
    </w:p>
    <w:p>
      <w:pPr>
        <w:spacing w:after="0" w:line="170" w:lineRule="exact"/>
        <w:rPr>
          <w:rFonts w:ascii="Arial" w:cs="Arial" w:eastAsia="Arial" w:hAnsi="Arial"/>
          <w:sz w:val="16"/>
          <w:szCs w:val="16"/>
          <w:color w:val="auto"/>
        </w:rPr>
      </w:pPr>
    </w:p>
    <w:p>
      <w:pPr>
        <w:ind w:left="1380" w:hanging="85"/>
        <w:spacing w:after="0"/>
        <w:tabs>
          <w:tab w:leader="none" w:pos="13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they do not reflect the Company’s cash expenditures, or future requirements, for capital expenditures or contractual commitments;</w:t>
      </w:r>
    </w:p>
    <w:p>
      <w:pPr>
        <w:spacing w:after="0" w:line="34" w:lineRule="exact"/>
        <w:rPr>
          <w:rFonts w:ascii="Arial" w:cs="Arial" w:eastAsia="Arial" w:hAnsi="Arial"/>
          <w:sz w:val="17"/>
          <w:szCs w:val="17"/>
          <w:color w:val="auto"/>
        </w:rPr>
      </w:pPr>
    </w:p>
    <w:p>
      <w:pPr>
        <w:ind w:left="1380" w:hanging="85"/>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the Company’s working capital needs;</w:t>
      </w:r>
    </w:p>
    <w:p>
      <w:pPr>
        <w:spacing w:after="0" w:line="9" w:lineRule="exact"/>
        <w:rPr>
          <w:rFonts w:ascii="Arial" w:cs="Arial" w:eastAsia="Arial" w:hAnsi="Arial"/>
          <w:sz w:val="18"/>
          <w:szCs w:val="18"/>
          <w:color w:val="auto"/>
        </w:rPr>
      </w:pPr>
    </w:p>
    <w:p>
      <w:pPr>
        <w:ind w:left="1400" w:right="480" w:hanging="105"/>
        <w:spacing w:after="0" w:line="250" w:lineRule="auto"/>
        <w:tabs>
          <w:tab w:leader="none" w:pos="1391"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they do not reflect the significant interest expense or the cash requirements necessary to service interest or principal payments, on the Company’s debt;</w:t>
      </w:r>
    </w:p>
    <w:p>
      <w:pPr>
        <w:ind w:left="1400" w:right="440" w:hanging="105"/>
        <w:spacing w:after="0" w:line="250" w:lineRule="auto"/>
        <w:tabs>
          <w:tab w:leader="none" w:pos="1391" w:val="left"/>
        </w:tabs>
        <w:numPr>
          <w:ilvl w:val="1"/>
          <w:numId w:val="2"/>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and EBITDA and Adjusted EBITDA do not reflect any cash requirements for such replacements;</w:t>
      </w:r>
    </w:p>
    <w:p>
      <w:pPr>
        <w:ind w:left="1380" w:hanging="85"/>
        <w:spacing w:after="0"/>
        <w:tabs>
          <w:tab w:leader="none" w:pos="13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the Company’s statements of cash flows; and</w:t>
      </w:r>
    </w:p>
    <w:p>
      <w:pPr>
        <w:spacing w:after="0" w:line="20" w:lineRule="exact"/>
        <w:rPr>
          <w:rFonts w:ascii="Arial" w:cs="Arial" w:eastAsia="Arial" w:hAnsi="Arial"/>
          <w:sz w:val="17"/>
          <w:szCs w:val="17"/>
          <w:color w:val="auto"/>
        </w:rPr>
      </w:pPr>
    </w:p>
    <w:p>
      <w:pPr>
        <w:ind w:left="1400" w:right="200" w:hanging="105"/>
        <w:spacing w:after="0" w:line="261" w:lineRule="auto"/>
        <w:tabs>
          <w:tab w:leader="none" w:pos="1391" w:val="left"/>
        </w:tabs>
        <w:numPr>
          <w:ilvl w:val="1"/>
          <w:numId w:val="2"/>
        </w:numPr>
        <w:rPr>
          <w:rFonts w:ascii="Arial" w:cs="Arial" w:eastAsia="Arial" w:hAnsi="Arial"/>
          <w:sz w:val="18"/>
          <w:szCs w:val="18"/>
          <w:color w:val="auto"/>
        </w:rPr>
      </w:pPr>
      <w:r>
        <w:rPr>
          <w:rFonts w:ascii="Arial" w:cs="Arial" w:eastAsia="Arial" w:hAnsi="Arial"/>
          <w:sz w:val="18"/>
          <w:szCs w:val="18"/>
          <w:color w:val="auto"/>
        </w:rPr>
        <w:t>other companies in the Company’s industry may calculate these measures differently than the Company does, limiting their usefulness as comparative measures.</w:t>
      </w:r>
    </w:p>
    <w:p>
      <w:pPr>
        <w:spacing w:after="0" w:line="184"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Because of these limitations, EBITDA and Adjusted EBITDA should not be considered as measures of discretionary cash available to the Company’s to invest in the growth of its business. The Company compensates for these limitations by relying primarily on its GAAP results and using EBITDA and Adjusted EBITDA only for supplemental purposes.</w:t>
      </w:r>
    </w:p>
    <w:p>
      <w:pPr>
        <w:spacing w:after="0" w:line="1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For the Company’s GAAP results, please see the condensed consolidated financial statements and consolidated financial statements included in the Company’s Periodic Reports filed with the SEC.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Company’s net income to EBITDA and Adjusted EBITDA for the periods presented.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center"/>
              <w:ind w:left="454"/>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1"/>
              </w:rPr>
              <w:t>Years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(118,509)</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(136,469)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9,438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37,325</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taxes(a)</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92,922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82,718</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33,258</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(969)</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Legal fees(b)</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2" w:name="page3"/>
    <w:bookmarkEnd w:id="2"/>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Asset write-off(d)</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13,703</w:t>
            </w: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11,803</w:t>
            </w:r>
          </w:p>
        </w:tc>
        <w:tc>
          <w:tcPr>
            <w:tcW w:w="4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52,973</w:t>
            </w: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14,084</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Sponsor fee and other(f)</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1,020</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New manufacturer costs(g)</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Ablavar launch costs(h)</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0"/>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900" w:hanging="644"/>
        <w:spacing w:after="0" w:line="277" w:lineRule="auto"/>
        <w:tabs>
          <w:tab w:leader="none" w:pos="1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Bristol-Myers Squibb and the establishment of a full valuation allowance against the net deferred tax assets in 2011.</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legal services incurred in connection with our business interruption claim associated with the NRU reactor shutdown.</w:t>
      </w:r>
    </w:p>
    <w:p>
      <w:pPr>
        <w:spacing w:after="0" w:line="236" w:lineRule="exact"/>
        <w:rPr>
          <w:rFonts w:ascii="Arial" w:cs="Arial" w:eastAsia="Arial" w:hAnsi="Arial"/>
          <w:sz w:val="17"/>
          <w:szCs w:val="17"/>
          <w:color w:val="auto"/>
        </w:rPr>
      </w:pPr>
    </w:p>
    <w:p>
      <w:pPr>
        <w:ind w:left="1300" w:right="120" w:hanging="644"/>
        <w:spacing w:after="0" w:line="277" w:lineRule="auto"/>
        <w:tabs>
          <w:tab w:leader="none" w:pos="131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associated with a portion of the committed purchases of Ablavar that the Company does not believe it will be able to sell prior to expiration.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the write-down of inventory and write-off of long-lived assets.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severance costs relating to Board approved actions and severance of certain executives.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costs associated with establishing second manufacturing sources for our commercial products.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costs associated with the launch of Ablavar.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LANTHEUS MEDICAL IMAGING, INC.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Duffy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P. Duffy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2019-12-09T20:40:10Z</dcterms:created>
  <dcterms:modified xsi:type="dcterms:W3CDTF">2019-12-09T20:40:10Z</dcterms:modified>
</cp:coreProperties>
</file>