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26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2660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Dawes William C. Jr.</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06/25/2015</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2"/>
        <w:spacing w:after="0"/>
        <w:rPr>
          <w:sz w:val="20"/>
          <w:szCs w:val="20"/>
          <w:color w:val="auto"/>
        </w:rPr>
      </w:pPr>
      <w:r>
        <w:rPr>
          <w:rFonts w:ascii="Arial" w:cs="Arial" w:eastAsia="Arial" w:hAnsi="Arial"/>
          <w:sz w:val="17"/>
          <w:szCs w:val="17"/>
          <w:color w:val="0000FF"/>
        </w:rPr>
        <w:t>VP Mfrg and Operations</w:t>
      </w:r>
    </w:p>
    <w:p>
      <w:pPr>
        <w:spacing w:after="0" w:line="559"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01862</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5.62</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06/25/2015</w:t>
            </w:r>
          </w:p>
        </w:tc>
        <w:tc>
          <w:tcPr>
            <w:tcW w:w="1120" w:type="dxa"/>
            <w:vAlign w:val="bottom"/>
          </w:tcPr>
          <w:p>
            <w:pPr>
              <w:spacing w:after="0"/>
              <w:rPr>
                <w:sz w:val="17"/>
                <w:szCs w:val="17"/>
                <w:color w:val="auto"/>
              </w:rPr>
            </w:pPr>
          </w:p>
        </w:tc>
        <w:tc>
          <w:tcPr>
            <w:tcW w:w="820" w:type="dxa"/>
            <w:vAlign w:val="bottom"/>
          </w:tcPr>
          <w:p>
            <w:pPr>
              <w:ind w:left="100"/>
              <w:spacing w:after="0" w:line="207"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(1)</w:t>
            </w:r>
          </w:p>
        </w:tc>
        <w:tc>
          <w:tcPr>
            <w:tcW w:w="500" w:type="dxa"/>
            <w:vAlign w:val="bottom"/>
          </w:tcPr>
          <w:p>
            <w:pPr>
              <w:spacing w:after="0"/>
              <w:rPr>
                <w:sz w:val="17"/>
                <w:szCs w:val="17"/>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35,508</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04/04/2018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35,508</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jc w:val="right"/>
              <w:ind w:right="359"/>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5.62</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06/25/2015</w:t>
            </w:r>
          </w:p>
        </w:tc>
        <w:tc>
          <w:tcPr>
            <w:tcW w:w="1120" w:type="dxa"/>
            <w:vAlign w:val="bottom"/>
          </w:tcPr>
          <w:p>
            <w:pPr>
              <w:spacing w:after="0"/>
              <w:rPr>
                <w:sz w:val="16"/>
                <w:szCs w:val="16"/>
                <w:color w:val="auto"/>
              </w:rPr>
            </w:pPr>
          </w:p>
        </w:tc>
        <w:tc>
          <w:tcPr>
            <w:tcW w:w="820" w:type="dxa"/>
            <w:vAlign w:val="bottom"/>
          </w:tcPr>
          <w:p>
            <w:pPr>
              <w:ind w:left="100"/>
              <w:spacing w:after="0" w:line="193" w:lineRule="exact"/>
              <w:rPr>
                <w:sz w:val="20"/>
                <w:szCs w:val="20"/>
                <w:color w:val="auto"/>
              </w:rPr>
            </w:pPr>
            <w:r>
              <w:rPr>
                <w:rFonts w:ascii="Arial" w:cs="Arial" w:eastAsia="Arial" w:hAnsi="Arial"/>
                <w:sz w:val="22"/>
                <w:szCs w:val="22"/>
                <w:color w:val="0000FF"/>
                <w:vertAlign w:val="subscript"/>
              </w:rPr>
              <w:t>A</w:t>
            </w:r>
            <w:r>
              <w:rPr>
                <w:rFonts w:ascii="Arial" w:cs="Arial" w:eastAsia="Arial" w:hAnsi="Arial"/>
                <w:sz w:val="10"/>
                <w:szCs w:val="10"/>
                <w:color w:val="008000"/>
              </w:rPr>
              <w:t>(1)</w:t>
            </w:r>
          </w:p>
        </w:tc>
        <w:tc>
          <w:tcPr>
            <w:tcW w:w="500" w:type="dxa"/>
            <w:vAlign w:val="bottom"/>
          </w:tcPr>
          <w:p>
            <w:pPr>
              <w:ind w:left="80"/>
              <w:spacing w:after="0"/>
              <w:rPr>
                <w:sz w:val="20"/>
                <w:szCs w:val="20"/>
                <w:color w:val="auto"/>
              </w:rPr>
            </w:pPr>
            <w:r>
              <w:rPr>
                <w:rFonts w:ascii="Arial" w:cs="Arial" w:eastAsia="Arial" w:hAnsi="Arial"/>
                <w:sz w:val="13"/>
                <w:szCs w:val="13"/>
                <w:color w:val="0000FF"/>
              </w:rPr>
              <w:t>35,508</w:t>
            </w:r>
          </w:p>
        </w:tc>
        <w:tc>
          <w:tcPr>
            <w:tcW w:w="5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04/04/2018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line="194" w:lineRule="exact"/>
              <w:rPr>
                <w:sz w:val="20"/>
                <w:szCs w:val="20"/>
                <w:color w:val="auto"/>
              </w:rPr>
            </w:pPr>
            <w:r>
              <w:rPr>
                <w:rFonts w:ascii="Arial" w:cs="Arial" w:eastAsia="Arial" w:hAnsi="Arial"/>
                <w:sz w:val="17"/>
                <w:szCs w:val="17"/>
                <w:color w:val="0000FF"/>
                <w:w w:val="99"/>
              </w:rPr>
              <w:t>35,508</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jc w:val="right"/>
              <w:ind w:right="219"/>
              <w:spacing w:after="0"/>
              <w:rPr>
                <w:sz w:val="20"/>
                <w:szCs w:val="20"/>
                <w:color w:val="auto"/>
              </w:rPr>
            </w:pPr>
            <w:r>
              <w:rPr>
                <w:rFonts w:ascii="Arial" w:cs="Arial" w:eastAsia="Arial" w:hAnsi="Arial"/>
                <w:sz w:val="13"/>
                <w:szCs w:val="13"/>
                <w:color w:val="0000FF"/>
              </w:rPr>
              <w:t>35,508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an amendment applicable to outstanding unvested options, resulting in the deemed cancellation of the "old" options and the grant of replacement options. The options were originally granted on April 4, 2008 and provide for vesting in up to five equal annual installments, based on the level of LNTH's satisfaction of certain performance criteria for each of fiscal years 2008, 2009, 2010, 2011 and 2012. The amendment provides for additional vesting on the third anniversary of the amendment date (or the day before any earlier expiration) of any options that remain unvested at that time.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Michael P. Duffy,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06/25/2015</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3"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2019-12-09T01:02:40Z</dcterms:created>
  <dcterms:modified xsi:type="dcterms:W3CDTF">2019-12-09T01:02:40Z</dcterms:modified>
</cp:coreProperties>
</file>