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8621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86219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Orlandi Cesare</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320" w:type="dxa"/>
            <w:vAlign w:val="bottom"/>
            <w:tcBorders>
              <w:top w:val="single" w:sz="8" w:color="0000EE"/>
              <w:bottom w:val="single" w:sz="8" w:color="9A9A9A"/>
            </w:tcBorders>
          </w:tcPr>
          <w:p>
            <w:pPr>
              <w:spacing w:after="0"/>
              <w:rPr>
                <w:sz w:val="15"/>
                <w:szCs w:val="15"/>
                <w:color w:val="auto"/>
              </w:rPr>
            </w:pPr>
          </w:p>
        </w:tc>
        <w:tc>
          <w:tcPr>
            <w:tcW w:w="190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06/24/2015</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2"/>
          <w:szCs w:val="12"/>
          <w:color w:val="auto"/>
        </w:rPr>
        <w:t xml:space="preserve">3.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4" w:lineRule="exact"/>
        <w:rPr>
          <w:sz w:val="24"/>
          <w:szCs w:val="24"/>
          <w:color w:val="auto"/>
        </w:rPr>
      </w:pPr>
    </w:p>
    <w:p>
      <w:pPr>
        <w:spacing w:after="0"/>
        <w:rPr>
          <w:rFonts w:ascii="Arial" w:cs="Arial" w:eastAsia="Arial" w:hAnsi="Arial"/>
          <w:sz w:val="19"/>
          <w:szCs w:val="19"/>
          <w:color w:val="0000EE"/>
        </w:rPr>
      </w:pPr>
      <w:hyperlink r:id="rId12">
        <w:r>
          <w:rPr>
            <w:rFonts w:ascii="Arial" w:cs="Arial" w:eastAsia="Arial" w:hAnsi="Arial"/>
            <w:sz w:val="19"/>
            <w:szCs w:val="19"/>
            <w:u w:val="single" w:color="auto"/>
            <w:color w:val="0000EE"/>
          </w:rPr>
          <w:t>Lantheus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LNTH</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418"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1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020" w:type="dxa"/>
            <w:vAlign w:val="bottom"/>
          </w:tcPr>
          <w:p>
            <w:pPr>
              <w:ind w:left="20"/>
              <w:spacing w:after="0"/>
              <w:rPr>
                <w:sz w:val="20"/>
                <w:szCs w:val="20"/>
                <w:color w:val="auto"/>
              </w:rPr>
            </w:pPr>
            <w:r>
              <w:rPr>
                <w:rFonts w:ascii="Arial" w:cs="Arial" w:eastAsia="Arial" w:hAnsi="Arial"/>
                <w:sz w:val="14"/>
                <w:szCs w:val="14"/>
                <w:color w:val="auto"/>
              </w:rPr>
              <w:t>(Last)</w:t>
            </w:r>
          </w:p>
        </w:tc>
        <w:tc>
          <w:tcPr>
            <w:tcW w:w="1100" w:type="dxa"/>
            <w:vAlign w:val="bottom"/>
          </w:tcPr>
          <w:p>
            <w:pPr>
              <w:ind w:left="100"/>
              <w:spacing w:after="0"/>
              <w:rPr>
                <w:sz w:val="20"/>
                <w:szCs w:val="20"/>
                <w:color w:val="auto"/>
              </w:rPr>
            </w:pPr>
            <w:r>
              <w:rPr>
                <w:rFonts w:ascii="Arial" w:cs="Arial" w:eastAsia="Arial" w:hAnsi="Arial"/>
                <w:sz w:val="14"/>
                <w:szCs w:val="14"/>
                <w:color w:val="auto"/>
              </w:rPr>
              <w:t>(First)</w:t>
            </w:r>
          </w:p>
        </w:tc>
        <w:tc>
          <w:tcPr>
            <w:tcW w:w="1120" w:type="dxa"/>
            <w:vAlign w:val="bottom"/>
          </w:tcPr>
          <w:p>
            <w:pPr>
              <w:ind w:left="80"/>
              <w:spacing w:after="0"/>
              <w:rPr>
                <w:sz w:val="20"/>
                <w:szCs w:val="20"/>
                <w:color w:val="auto"/>
              </w:rPr>
            </w:pPr>
            <w:r>
              <w:rPr>
                <w:rFonts w:ascii="Arial" w:cs="Arial" w:eastAsia="Arial" w:hAnsi="Arial"/>
                <w:sz w:val="14"/>
                <w:szCs w:val="14"/>
                <w:color w:val="auto"/>
              </w:rPr>
              <w:t>(Middle)</w:t>
            </w: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3240" w:type="dxa"/>
            <w:vAlign w:val="bottom"/>
            <w:gridSpan w:val="3"/>
          </w:tcPr>
          <w:p>
            <w:pPr>
              <w:ind w:left="20"/>
              <w:spacing w:after="0"/>
              <w:rPr>
                <w:sz w:val="20"/>
                <w:szCs w:val="20"/>
                <w:color w:val="auto"/>
              </w:rPr>
            </w:pPr>
            <w:r>
              <w:rPr>
                <w:rFonts w:ascii="Arial" w:cs="Arial" w:eastAsia="Arial" w:hAnsi="Arial"/>
                <w:sz w:val="18"/>
                <w:szCs w:val="18"/>
                <w:color w:val="0000FF"/>
              </w:rPr>
              <w:t>C/O LANTHEUS HOLDINGS, INC.</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2120" w:type="dxa"/>
            <w:vAlign w:val="bottom"/>
            <w:gridSpan w:val="2"/>
          </w:tcPr>
          <w:p>
            <w:pPr>
              <w:ind w:left="20"/>
              <w:spacing w:after="0"/>
              <w:rPr>
                <w:sz w:val="20"/>
                <w:szCs w:val="20"/>
                <w:color w:val="auto"/>
              </w:rPr>
            </w:pPr>
            <w:r>
              <w:rPr>
                <w:rFonts w:ascii="Arial" w:cs="Arial" w:eastAsia="Arial" w:hAnsi="Arial"/>
                <w:sz w:val="18"/>
                <w:szCs w:val="18"/>
                <w:color w:val="0000FF"/>
                <w:w w:val="95"/>
              </w:rPr>
              <w:t>331 TREBLE COVE ROAD</w:t>
            </w: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10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1020" w:type="dxa"/>
            <w:vAlign w:val="bottom"/>
          </w:tcPr>
          <w:p>
            <w:pPr>
              <w:ind w:left="20"/>
              <w:spacing w:after="0"/>
              <w:rPr>
                <w:sz w:val="20"/>
                <w:szCs w:val="20"/>
                <w:color w:val="auto"/>
              </w:rPr>
            </w:pPr>
            <w:r>
              <w:rPr>
                <w:rFonts w:ascii="Arial" w:cs="Arial" w:eastAsia="Arial" w:hAnsi="Arial"/>
                <w:sz w:val="18"/>
                <w:szCs w:val="18"/>
                <w:color w:val="0000FF"/>
              </w:rPr>
              <w:t>NORTH</w:t>
            </w:r>
          </w:p>
        </w:tc>
        <w:tc>
          <w:tcPr>
            <w:tcW w:w="1100" w:type="dxa"/>
            <w:vAlign w:val="bottom"/>
            <w:vMerge w:val="restart"/>
          </w:tcPr>
          <w:p>
            <w:pPr>
              <w:ind w:left="100"/>
              <w:spacing w:after="0"/>
              <w:rPr>
                <w:sz w:val="20"/>
                <w:szCs w:val="20"/>
                <w:color w:val="auto"/>
              </w:rPr>
            </w:pPr>
            <w:r>
              <w:rPr>
                <w:rFonts w:ascii="Arial" w:cs="Arial" w:eastAsia="Arial" w:hAnsi="Arial"/>
                <w:sz w:val="18"/>
                <w:szCs w:val="18"/>
                <w:color w:val="0000FF"/>
              </w:rPr>
              <w:t>MA</w:t>
            </w:r>
          </w:p>
        </w:tc>
        <w:tc>
          <w:tcPr>
            <w:tcW w:w="1120" w:type="dxa"/>
            <w:vAlign w:val="bottom"/>
            <w:vMerge w:val="restart"/>
          </w:tcPr>
          <w:p>
            <w:pPr>
              <w:ind w:left="80"/>
              <w:spacing w:after="0"/>
              <w:rPr>
                <w:sz w:val="20"/>
                <w:szCs w:val="20"/>
                <w:color w:val="auto"/>
              </w:rPr>
            </w:pPr>
            <w:r>
              <w:rPr>
                <w:rFonts w:ascii="Arial" w:cs="Arial" w:eastAsia="Arial" w:hAnsi="Arial"/>
                <w:sz w:val="18"/>
                <w:szCs w:val="18"/>
                <w:color w:val="0000FF"/>
              </w:rPr>
              <w:t>01862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20" w:type="dxa"/>
            <w:vAlign w:val="bottom"/>
          </w:tcPr>
          <w:p>
            <w:pPr>
              <w:ind w:left="20"/>
              <w:spacing w:after="0"/>
              <w:rPr>
                <w:sz w:val="20"/>
                <w:szCs w:val="20"/>
                <w:color w:val="auto"/>
              </w:rPr>
            </w:pPr>
            <w:r>
              <w:rPr>
                <w:rFonts w:ascii="Arial" w:cs="Arial" w:eastAsia="Arial" w:hAnsi="Arial"/>
                <w:sz w:val="18"/>
                <w:szCs w:val="18"/>
                <w:color w:val="0000FF"/>
              </w:rPr>
              <w:t>BILLERICA</w:t>
            </w:r>
          </w:p>
        </w:tc>
        <w:tc>
          <w:tcPr>
            <w:tcW w:w="1100" w:type="dxa"/>
            <w:vAlign w:val="bottom"/>
            <w:vMerge w:val="continue"/>
          </w:tcPr>
          <w:p>
            <w:pPr>
              <w:spacing w:after="0"/>
              <w:rPr>
                <w:sz w:val="19"/>
                <w:szCs w:val="19"/>
                <w:color w:val="auto"/>
              </w:rPr>
            </w:pPr>
          </w:p>
        </w:tc>
        <w:tc>
          <w:tcPr>
            <w:tcW w:w="1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6"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46"/>
        <w:spacing w:after="0"/>
        <w:rPr>
          <w:sz w:val="20"/>
          <w:szCs w:val="20"/>
          <w:color w:val="auto"/>
        </w:rPr>
      </w:pPr>
      <w:r>
        <w:rPr>
          <w:rFonts w:ascii="Arial" w:cs="Arial" w:eastAsia="Arial" w:hAnsi="Arial"/>
          <w:sz w:val="18"/>
          <w:szCs w:val="18"/>
          <w:color w:val="0000FF"/>
        </w:rPr>
        <w:t>Chief Medical Officer</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338"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66"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125"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6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60" w:type="dxa"/>
            <w:vAlign w:val="bottom"/>
          </w:tcPr>
          <w:p>
            <w:pPr>
              <w:ind w:left="620"/>
              <w:spacing w:after="0"/>
              <w:rPr>
                <w:sz w:val="20"/>
                <w:szCs w:val="20"/>
                <w:color w:val="auto"/>
              </w:rPr>
            </w:pPr>
            <w:r>
              <w:rPr>
                <w:rFonts w:ascii="Arial" w:cs="Arial" w:eastAsia="Arial" w:hAnsi="Arial"/>
                <w:sz w:val="18"/>
                <w:szCs w:val="18"/>
                <w:color w:val="0000FF"/>
              </w:rPr>
              <w:t>14,234</w:t>
            </w:r>
          </w:p>
        </w:tc>
        <w:tc>
          <w:tcPr>
            <w:tcW w:w="900" w:type="dxa"/>
            <w:vAlign w:val="bottom"/>
          </w:tcPr>
          <w:p>
            <w:pPr>
              <w:ind w:left="640"/>
              <w:spacing w:after="0"/>
              <w:rPr>
                <w:sz w:val="20"/>
                <w:szCs w:val="20"/>
                <w:color w:val="auto"/>
              </w:rPr>
            </w:pPr>
            <w:r>
              <w:rPr>
                <w:rFonts w:ascii="Arial" w:cs="Arial" w:eastAsia="Arial" w:hAnsi="Arial"/>
                <w:sz w:val="18"/>
                <w:szCs w:val="18"/>
                <w:color w:val="0000FF"/>
              </w:rPr>
              <w:t>D</w:t>
            </w: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28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4440" w:type="dxa"/>
            <w:vAlign w:val="bottom"/>
            <w:tcBorders>
              <w:bottom w:val="single" w:sz="8" w:color="2C2C2C"/>
            </w:tcBorders>
            <w:gridSpan w:val="4"/>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16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28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4440" w:type="dxa"/>
            <w:vAlign w:val="bottom"/>
            <w:tcBorders>
              <w:top w:val="single" w:sz="8" w:color="2C2C2C"/>
            </w:tcBorders>
            <w:gridSpan w:val="4"/>
          </w:tcPr>
          <w:p>
            <w:pPr>
              <w:ind w:left="6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6000" w:type="dxa"/>
            <w:vAlign w:val="bottom"/>
            <w:gridSpan w:val="6"/>
          </w:tcPr>
          <w:p>
            <w:pPr>
              <w:ind w:left="4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7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8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68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6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4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8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86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68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60" w:type="dxa"/>
            <w:vAlign w:val="bottom"/>
          </w:tcPr>
          <w:p>
            <w:pPr>
              <w:spacing w:after="0"/>
              <w:rPr>
                <w:sz w:val="4"/>
                <w:szCs w:val="4"/>
                <w:color w:val="auto"/>
              </w:rPr>
            </w:pPr>
          </w:p>
        </w:tc>
        <w:tc>
          <w:tcPr>
            <w:tcW w:w="90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tcPr>
          <w:p>
            <w:pPr>
              <w:ind w:left="28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Expiration</w:t>
            </w:r>
          </w:p>
        </w:tc>
        <w:tc>
          <w:tcPr>
            <w:tcW w:w="1860" w:type="dxa"/>
            <w:vAlign w:val="bottom"/>
          </w:tcPr>
          <w:p>
            <w:pPr>
              <w:spacing w:after="0"/>
              <w:rPr>
                <w:sz w:val="12"/>
                <w:szCs w:val="12"/>
                <w:color w:val="auto"/>
              </w:rPr>
            </w:pPr>
          </w:p>
        </w:tc>
        <w:tc>
          <w:tcPr>
            <w:tcW w:w="90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860" w:type="dxa"/>
            <w:vAlign w:val="bottom"/>
          </w:tcPr>
          <w:p>
            <w:pPr>
              <w:ind w:left="60"/>
              <w:spacing w:after="0"/>
              <w:rPr>
                <w:sz w:val="20"/>
                <w:szCs w:val="20"/>
                <w:color w:val="auto"/>
              </w:rPr>
            </w:pPr>
            <w:r>
              <w:rPr>
                <w:rFonts w:ascii="Arial" w:cs="Arial" w:eastAsia="Arial" w:hAnsi="Arial"/>
                <w:sz w:val="14"/>
                <w:szCs w:val="14"/>
                <w:b w:val="1"/>
                <w:bCs w:val="1"/>
                <w:color w:val="auto"/>
              </w:rPr>
              <w:t>Title</w:t>
            </w:r>
          </w:p>
        </w:tc>
        <w:tc>
          <w:tcPr>
            <w:tcW w:w="900" w:type="dxa"/>
            <w:vAlign w:val="bottom"/>
          </w:tcPr>
          <w:p>
            <w:pPr>
              <w:ind w:left="2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Stock Option (right to buy)</w:t>
            </w:r>
          </w:p>
        </w:tc>
        <w:tc>
          <w:tcPr>
            <w:tcW w:w="1560" w:type="dxa"/>
            <w:vAlign w:val="bottom"/>
            <w:gridSpan w:val="2"/>
          </w:tcPr>
          <w:p>
            <w:pPr>
              <w:jc w:val="right"/>
              <w:ind w:right="309"/>
              <w:spacing w:after="0"/>
              <w:rPr>
                <w:sz w:val="20"/>
                <w:szCs w:val="20"/>
                <w:color w:val="auto"/>
              </w:rPr>
            </w:pPr>
            <w:r>
              <w:rPr>
                <w:rFonts w:ascii="Arial" w:cs="Arial" w:eastAsia="Arial" w:hAnsi="Arial"/>
                <w:sz w:val="11"/>
                <w:szCs w:val="11"/>
                <w:color w:val="008000"/>
              </w:rPr>
              <w:t>(1)</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03/04/2023</w:t>
            </w:r>
          </w:p>
        </w:tc>
        <w:tc>
          <w:tcPr>
            <w:tcW w:w="1860" w:type="dxa"/>
            <w:vAlign w:val="bottom"/>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Pr>
          <w:p>
            <w:pPr>
              <w:jc w:val="center"/>
              <w:ind w:left="143"/>
              <w:spacing w:after="0"/>
              <w:rPr>
                <w:sz w:val="20"/>
                <w:szCs w:val="20"/>
                <w:color w:val="auto"/>
              </w:rPr>
            </w:pPr>
            <w:r>
              <w:rPr>
                <w:rFonts w:ascii="Arial" w:cs="Arial" w:eastAsia="Arial" w:hAnsi="Arial"/>
                <w:sz w:val="18"/>
                <w:szCs w:val="18"/>
                <w:color w:val="0000FF"/>
                <w:w w:val="87"/>
              </w:rPr>
              <w:t>13,345</w:t>
            </w:r>
          </w:p>
        </w:tc>
        <w:tc>
          <w:tcPr>
            <w:tcW w:w="880" w:type="dxa"/>
            <w:vAlign w:val="bottom"/>
          </w:tcPr>
          <w:p>
            <w:pPr>
              <w:jc w:val="center"/>
              <w:spacing w:after="0"/>
              <w:rPr>
                <w:sz w:val="20"/>
                <w:szCs w:val="20"/>
                <w:color w:val="auto"/>
              </w:rPr>
            </w:pPr>
            <w:r>
              <w:rPr>
                <w:rFonts w:ascii="Arial" w:cs="Arial" w:eastAsia="Arial" w:hAnsi="Arial"/>
                <w:sz w:val="18"/>
                <w:szCs w:val="18"/>
                <w:color w:val="0000FF"/>
                <w:w w:val="91"/>
              </w:rPr>
              <w:t>21.1</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880" w:type="dxa"/>
            <w:vAlign w:val="bottom"/>
            <w:tcBorders>
              <w:bottom w:val="single" w:sz="8" w:color="2C2C2C"/>
            </w:tcBorders>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Stock Option (right to buy)</w:t>
            </w:r>
          </w:p>
        </w:tc>
        <w:tc>
          <w:tcPr>
            <w:tcW w:w="1560" w:type="dxa"/>
            <w:vAlign w:val="bottom"/>
            <w:gridSpan w:val="2"/>
          </w:tcPr>
          <w:p>
            <w:pPr>
              <w:jc w:val="right"/>
              <w:ind w:right="309"/>
              <w:spacing w:after="0"/>
              <w:rPr>
                <w:sz w:val="20"/>
                <w:szCs w:val="20"/>
                <w:color w:val="auto"/>
              </w:rPr>
            </w:pPr>
            <w:r>
              <w:rPr>
                <w:rFonts w:ascii="Arial" w:cs="Arial" w:eastAsia="Arial" w:hAnsi="Arial"/>
                <w:sz w:val="11"/>
                <w:szCs w:val="11"/>
                <w:color w:val="008000"/>
              </w:rPr>
              <w:t>(2)</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03/04/2023</w:t>
            </w:r>
          </w:p>
        </w:tc>
        <w:tc>
          <w:tcPr>
            <w:tcW w:w="1860" w:type="dxa"/>
            <w:vAlign w:val="bottom"/>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Pr>
          <w:p>
            <w:pPr>
              <w:jc w:val="center"/>
              <w:ind w:left="143"/>
              <w:spacing w:after="0"/>
              <w:rPr>
                <w:sz w:val="20"/>
                <w:szCs w:val="20"/>
                <w:color w:val="auto"/>
              </w:rPr>
            </w:pPr>
            <w:r>
              <w:rPr>
                <w:rFonts w:ascii="Arial" w:cs="Arial" w:eastAsia="Arial" w:hAnsi="Arial"/>
                <w:sz w:val="18"/>
                <w:szCs w:val="18"/>
                <w:color w:val="0000FF"/>
                <w:w w:val="88"/>
              </w:rPr>
              <w:t>6,672</w:t>
            </w:r>
          </w:p>
        </w:tc>
        <w:tc>
          <w:tcPr>
            <w:tcW w:w="880" w:type="dxa"/>
            <w:vAlign w:val="bottom"/>
          </w:tcPr>
          <w:p>
            <w:pPr>
              <w:jc w:val="center"/>
              <w:spacing w:after="0"/>
              <w:rPr>
                <w:sz w:val="20"/>
                <w:szCs w:val="20"/>
                <w:color w:val="auto"/>
              </w:rPr>
            </w:pPr>
            <w:r>
              <w:rPr>
                <w:rFonts w:ascii="Arial" w:cs="Arial" w:eastAsia="Arial" w:hAnsi="Arial"/>
                <w:sz w:val="18"/>
                <w:szCs w:val="18"/>
                <w:color w:val="0000FF"/>
                <w:w w:val="91"/>
              </w:rPr>
              <w:t>21.1</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880" w:type="dxa"/>
            <w:vAlign w:val="bottom"/>
            <w:tcBorders>
              <w:bottom w:val="single" w:sz="8" w:color="2C2C2C"/>
            </w:tcBorders>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Stock Option (right to buy)</w:t>
            </w:r>
          </w:p>
        </w:tc>
        <w:tc>
          <w:tcPr>
            <w:tcW w:w="1560" w:type="dxa"/>
            <w:vAlign w:val="bottom"/>
            <w:gridSpan w:val="2"/>
          </w:tcPr>
          <w:p>
            <w:pPr>
              <w:jc w:val="right"/>
              <w:ind w:right="309"/>
              <w:spacing w:after="0"/>
              <w:rPr>
                <w:sz w:val="20"/>
                <w:szCs w:val="20"/>
                <w:color w:val="auto"/>
              </w:rPr>
            </w:pPr>
            <w:r>
              <w:rPr>
                <w:rFonts w:ascii="Arial" w:cs="Arial" w:eastAsia="Arial" w:hAnsi="Arial"/>
                <w:sz w:val="11"/>
                <w:szCs w:val="11"/>
                <w:color w:val="008000"/>
              </w:rPr>
              <w:t>(3)</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08/05/2023</w:t>
            </w:r>
          </w:p>
        </w:tc>
        <w:tc>
          <w:tcPr>
            <w:tcW w:w="1860" w:type="dxa"/>
            <w:vAlign w:val="bottom"/>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Pr>
          <w:p>
            <w:pPr>
              <w:jc w:val="center"/>
              <w:ind w:left="143"/>
              <w:spacing w:after="0"/>
              <w:rPr>
                <w:sz w:val="20"/>
                <w:szCs w:val="20"/>
                <w:color w:val="auto"/>
              </w:rPr>
            </w:pPr>
            <w:r>
              <w:rPr>
                <w:rFonts w:ascii="Arial" w:cs="Arial" w:eastAsia="Arial" w:hAnsi="Arial"/>
                <w:sz w:val="18"/>
                <w:szCs w:val="18"/>
                <w:color w:val="0000FF"/>
                <w:w w:val="88"/>
              </w:rPr>
              <w:t>8,896</w:t>
            </w:r>
          </w:p>
        </w:tc>
        <w:tc>
          <w:tcPr>
            <w:tcW w:w="880" w:type="dxa"/>
            <w:vAlign w:val="bottom"/>
          </w:tcPr>
          <w:p>
            <w:pPr>
              <w:jc w:val="center"/>
              <w:spacing w:after="0"/>
              <w:rPr>
                <w:sz w:val="20"/>
                <w:szCs w:val="20"/>
                <w:color w:val="auto"/>
              </w:rPr>
            </w:pPr>
            <w:r>
              <w:rPr>
                <w:rFonts w:ascii="Arial" w:cs="Arial" w:eastAsia="Arial" w:hAnsi="Arial"/>
                <w:sz w:val="18"/>
                <w:szCs w:val="18"/>
                <w:color w:val="0000FF"/>
                <w:w w:val="88"/>
              </w:rPr>
              <w:t>18.66</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Borders>
              <w:bottom w:val="single" w:sz="8" w:color="2C2C2C"/>
            </w:tcBorders>
          </w:tcPr>
          <w:p>
            <w:pPr>
              <w:spacing w:after="0"/>
              <w:rPr>
                <w:sz w:val="5"/>
                <w:szCs w:val="5"/>
                <w:color w:val="auto"/>
              </w:rPr>
            </w:pPr>
          </w:p>
        </w:tc>
        <w:tc>
          <w:tcPr>
            <w:tcW w:w="28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8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6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180" w:hanging="131"/>
        <w:spacing w:after="0"/>
        <w:tabs>
          <w:tab w:leader="none" w:pos="18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The shares subject to this option vest in four equal annual installments, beginning March 4, 2014.</w:t>
      </w:r>
    </w:p>
    <w:p>
      <w:pPr>
        <w:spacing w:after="0" w:line="41" w:lineRule="exact"/>
        <w:rPr>
          <w:rFonts w:ascii="Arial" w:cs="Arial" w:eastAsia="Arial" w:hAnsi="Arial"/>
          <w:sz w:val="14"/>
          <w:szCs w:val="14"/>
          <w:color w:val="008000"/>
        </w:rPr>
      </w:pPr>
    </w:p>
    <w:p>
      <w:pPr>
        <w:ind w:left="40" w:right="60" w:firstLine="9"/>
        <w:spacing w:after="0" w:line="233" w:lineRule="auto"/>
        <w:tabs>
          <w:tab w:leader="none" w:pos="175"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On March 4, 2013, the reporting person was granted this option to purchase 13,345 shares of Common Stock. This option vests in up to four equal annual installments based upon the level of LNTH's satisfaction of certain performance criteria for each of fiscal years 2013, 2014, 2015 and 2016. A certain level of the performance criteria were satisfied for each of fiscal years 2013 and 2014 was met, resulting in the vesting of this option as to 6,672 shares.</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The shares subject to this option vest in four equal annual installments, beginning August 5, 2014.</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Exhibit List Exhibit 24 - Power of Attorney</w:t>
      </w:r>
    </w:p>
    <w:p>
      <w:pPr>
        <w:spacing w:after="0" w:line="28" w:lineRule="exact"/>
        <w:rPr>
          <w:sz w:val="24"/>
          <w:szCs w:val="24"/>
          <w:color w:val="auto"/>
        </w:rPr>
      </w:pPr>
    </w:p>
    <w:tbl>
      <w:tblPr>
        <w:tblLayout w:type="fixed"/>
        <w:tblInd w:w="6860" w:type="dxa"/>
        <w:tblCellMar>
          <w:top w:w="0" w:type="dxa"/>
          <w:left w:w="0" w:type="dxa"/>
          <w:bottom w:w="0" w:type="dxa"/>
          <w:right w:w="0" w:type="dxa"/>
        </w:tblCellMar>
      </w:tblPr>
      <w:tr>
        <w:trPr>
          <w:trHeight w:val="227"/>
        </w:trPr>
        <w:tc>
          <w:tcPr>
            <w:tcW w:w="2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8"/>
              </w:rPr>
              <w:t>/s/ Michael P. Duffy, attorney-</w:t>
            </w:r>
          </w:p>
        </w:tc>
        <w:tc>
          <w:tcPr>
            <w:tcW w:w="100" w:type="dxa"/>
            <w:vAlign w:val="bottom"/>
          </w:tcPr>
          <w:p>
            <w:pPr>
              <w:spacing w:after="0"/>
              <w:rPr>
                <w:sz w:val="19"/>
                <w:szCs w:val="19"/>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8"/>
                <w:szCs w:val="18"/>
                <w:color w:val="0000FF"/>
                <w:w w:val="86"/>
              </w:rPr>
              <w:t>06/24/2015</w:t>
            </w:r>
          </w:p>
        </w:tc>
        <w:tc>
          <w:tcPr>
            <w:tcW w:w="0" w:type="dxa"/>
            <w:vAlign w:val="bottom"/>
          </w:tcPr>
          <w:p>
            <w:pPr>
              <w:spacing w:after="0"/>
              <w:rPr>
                <w:sz w:val="1"/>
                <w:szCs w:val="1"/>
                <w:color w:val="auto"/>
              </w:rPr>
            </w:pPr>
          </w:p>
        </w:tc>
      </w:tr>
      <w:tr>
        <w:trPr>
          <w:trHeight w:val="88"/>
        </w:trPr>
        <w:tc>
          <w:tcPr>
            <w:tcW w:w="222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in-fact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2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00"/>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2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jc w:val="center"/>
        <w:ind w:right="1879"/>
        <w:spacing w:after="0"/>
        <w:rPr>
          <w:sz w:val="20"/>
          <w:szCs w:val="20"/>
          <w:color w:val="auto"/>
        </w:rPr>
      </w:pPr>
      <w:r>
        <w:rPr>
          <w:rFonts w:ascii="Courier New" w:cs="Courier New" w:eastAsia="Courier New" w:hAnsi="Courier New"/>
          <w:sz w:val="18"/>
          <w:szCs w:val="18"/>
          <w:color w:val="auto"/>
        </w:rPr>
        <w:t>LANTHEUS HOLDINGS, INC.</w:t>
      </w:r>
    </w:p>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Know all by these presents, that the undersigned hereby constitutes and appoints each ofthe President, Treasurer, Assistant Treasurer, Secretary and Assistant Secretary of Lantheus Holdings, Inc. (the "Company"), acting singly or together and with full power of substitution, as the undersigned's true and lawful attorney-in-fact with full power and authority to act in the name of and for and on behalf of the undersigned to:</w:t>
      </w:r>
    </w:p>
    <w:p>
      <w:pPr>
        <w:spacing w:after="0" w:line="204" w:lineRule="exact"/>
        <w:rPr>
          <w:sz w:val="20"/>
          <w:szCs w:val="20"/>
          <w:color w:val="auto"/>
        </w:rPr>
      </w:pPr>
    </w:p>
    <w:p>
      <w:pPr>
        <w:ind w:left="640" w:hanging="632"/>
        <w:spacing w:after="0"/>
        <w:tabs>
          <w:tab w:leader="none" w:pos="6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execute in the undersigned's name and on the undersigned's</w:t>
      </w:r>
    </w:p>
    <w:p>
      <w:pPr>
        <w:spacing w:after="0" w:line="4" w:lineRule="exact"/>
        <w:rPr>
          <w:rFonts w:ascii="Courier New" w:cs="Courier New" w:eastAsia="Courier New" w:hAnsi="Courier New"/>
          <w:sz w:val="18"/>
          <w:szCs w:val="18"/>
          <w:color w:val="auto"/>
        </w:rPr>
      </w:pPr>
    </w:p>
    <w:p>
      <w:pPr>
        <w:ind w:right="18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behalf, and submit to the U.S. Securities and Exchange Commission (the "SEC") a Form ID, including amendments thereto, and any other documents necessary or appropriate to obtain codes and passwords enabling the undersigned to make electronic filings with the SEC of reports required by Section 16(a) of the Securities Exchange Act of 1934 or any rule or regulation of the SEC;</w:t>
      </w:r>
    </w:p>
    <w:p>
      <w:pPr>
        <w:spacing w:after="0" w:line="208" w:lineRule="exact"/>
        <w:rPr>
          <w:rFonts w:ascii="Courier New" w:cs="Courier New" w:eastAsia="Courier New" w:hAnsi="Courier New"/>
          <w:sz w:val="18"/>
          <w:szCs w:val="18"/>
          <w:color w:val="auto"/>
        </w:rPr>
      </w:pPr>
    </w:p>
    <w:p>
      <w:pPr>
        <w:ind w:right="2199" w:firstLine="8"/>
        <w:spacing w:after="0" w:line="237" w:lineRule="auto"/>
        <w:tabs>
          <w:tab w:leader="none" w:pos="632"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and/or director of the Company, Forms 3, 4 and 5 in accordance with Section 16(a) of the Securities Exchange Act of 1934 and the rules thereunder;</w:t>
      </w:r>
    </w:p>
    <w:p>
      <w:pPr>
        <w:spacing w:after="0" w:line="207" w:lineRule="exact"/>
        <w:rPr>
          <w:rFonts w:ascii="Courier New" w:cs="Courier New" w:eastAsia="Courier New" w:hAnsi="Courier New"/>
          <w:sz w:val="18"/>
          <w:szCs w:val="18"/>
          <w:color w:val="auto"/>
        </w:rPr>
      </w:pPr>
    </w:p>
    <w:p>
      <w:pPr>
        <w:ind w:right="1779" w:firstLine="8"/>
        <w:spacing w:after="0" w:line="237" w:lineRule="auto"/>
        <w:tabs>
          <w:tab w:leader="none" w:pos="632"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obtain and maintain the undersigned's filing codes, complete and execute any such Form 3, 4 or 5, complete and execute any amendment or amendments thereto, and timely file such form with the SEC and any stock exchange or similar authority; and</w:t>
      </w:r>
    </w:p>
    <w:p>
      <w:pPr>
        <w:spacing w:after="0" w:line="203"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 the</w:t>
      </w:r>
    </w:p>
    <w:p>
      <w:pPr>
        <w:spacing w:after="0" w:line="4" w:lineRule="exact"/>
        <w:rPr>
          <w:rFonts w:ascii="Courier New" w:cs="Courier New" w:eastAsia="Courier New" w:hAnsi="Courier New"/>
          <w:sz w:val="18"/>
          <w:szCs w:val="18"/>
          <w:color w:val="auto"/>
        </w:rPr>
      </w:pPr>
    </w:p>
    <w:p>
      <w:pPr>
        <w:ind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foregoing which, in the opinion of such attorney-in-fact, may be of benefit to, in the best interest of, or legally required by or of,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10" w:lineRule="exact"/>
        <w:rPr>
          <w:sz w:val="20"/>
          <w:szCs w:val="20"/>
          <w:color w:val="auto"/>
        </w:rPr>
      </w:pPr>
    </w:p>
    <w:p>
      <w:pPr>
        <w:ind w:right="1779" w:firstLine="632"/>
        <w:spacing w:after="0" w:line="270" w:lineRule="auto"/>
        <w:rPr>
          <w:sz w:val="20"/>
          <w:szCs w:val="20"/>
          <w:color w:val="auto"/>
        </w:rPr>
      </w:pPr>
      <w:r>
        <w:rPr>
          <w:rFonts w:ascii="Courier New" w:cs="Courier New" w:eastAsia="Courier New" w:hAnsi="Courier New"/>
          <w:sz w:val="16"/>
          <w:szCs w:val="16"/>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 fact, in serving in such capacity at the request of the undersigned, are not assuming, nor is the Company assuming, any of the undersigned's responsibilities to comply with Section 16 of the Securities Exchange Act of 1934.</w:t>
      </w:r>
    </w:p>
    <w:p>
      <w:pPr>
        <w:spacing w:after="0" w:line="391" w:lineRule="exact"/>
        <w:rPr>
          <w:sz w:val="20"/>
          <w:szCs w:val="20"/>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09" w:lineRule="exact"/>
        <w:rPr>
          <w:sz w:val="20"/>
          <w:szCs w:val="20"/>
          <w:color w:val="auto"/>
        </w:rPr>
      </w:pPr>
    </w:p>
    <w:p>
      <w:pPr>
        <w:ind w:right="1999" w:firstLine="632"/>
        <w:spacing w:after="0" w:line="235"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23rd day of June 2015.</w:t>
      </w:r>
    </w:p>
    <w:p>
      <w:pPr>
        <w:spacing w:after="0" w:line="203"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/s/ Cesare Orlandi</w:t>
      </w:r>
    </w:p>
    <w:p>
      <w:pPr>
        <w:ind w:left="1380"/>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Cesare Orlandi</w:t>
      </w:r>
    </w:p>
    <w:p>
      <w:pPr>
        <w:ind w:left="1380"/>
        <w:spacing w:after="0" w:line="238" w:lineRule="auto"/>
        <w:rPr>
          <w:sz w:val="20"/>
          <w:szCs w:val="20"/>
          <w:color w:val="auto"/>
        </w:rPr>
      </w:pPr>
      <w:r>
        <w:rPr>
          <w:rFonts w:ascii="Courier New" w:cs="Courier New" w:eastAsia="Courier New" w:hAnsi="Courier New"/>
          <w:sz w:val="18"/>
          <w:szCs w:val="18"/>
          <w:color w:val="auto"/>
        </w:rPr>
        <w:t>Print Name</w:t>
      </w:r>
    </w:p>
    <w:sectPr>
      <w:pgSz w:w="11900" w:h="16838" w:orient="portrait"/>
      <w:cols w:equalWidth="0" w:num="1">
        <w:col w:w="10219"/>
      </w:cols>
      <w:pgMar w:left="240" w:top="3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610664" TargetMode="External"/><Relationship Id="rId12" Type="http://schemas.openxmlformats.org/officeDocument/2006/relationships/hyperlink" Target="http://www.sec.gov/cgi-bin/browse-edgar?action=getcompany&amp;CIK=000152103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2019-12-09T00:39:48Z</dcterms:created>
  <dcterms:modified xsi:type="dcterms:W3CDTF">2019-12-09T00:39:48Z</dcterms:modified>
</cp:coreProperties>
</file>