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79"/>
        <w:spacing w:after="0"/>
        <w:rPr>
          <w:sz w:val="20"/>
          <w:szCs w:val="20"/>
          <w:color w:val="auto"/>
        </w:rPr>
      </w:pPr>
      <w:r>
        <w:rPr>
          <w:rFonts w:ascii="Times New Roman" w:cs="Times New Roman" w:eastAsia="Times New Roman" w:hAnsi="Times New Roman"/>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646430</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586105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61" w:lineRule="exact"/>
        <w:rPr>
          <w:sz w:val="24"/>
          <w:szCs w:val="24"/>
          <w:color w:val="auto"/>
        </w:rPr>
      </w:pPr>
    </w:p>
    <w:p>
      <w:pPr>
        <w:jc w:val="center"/>
        <w:ind w:right="-179"/>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spacing w:after="0" w:line="24" w:lineRule="exact"/>
        <w:rPr>
          <w:sz w:val="24"/>
          <w:szCs w:val="24"/>
          <w:color w:val="auto"/>
        </w:rPr>
      </w:pPr>
    </w:p>
    <w:p>
      <w:pPr>
        <w:jc w:val="center"/>
        <w:ind w:right="-179"/>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2782570</wp:posOffset>
            </wp:positionH>
            <wp:positionV relativeFrom="paragraph">
              <wp:posOffset>214630</wp:posOffset>
            </wp:positionV>
            <wp:extent cx="157734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77340" cy="8255"/>
                    </a:xfrm>
                    <a:prstGeom prst="rect">
                      <a:avLst/>
                    </a:prstGeom>
                    <a:noFill/>
                  </pic:spPr>
                </pic:pic>
              </a:graphicData>
            </a:graphic>
          </wp:anchor>
        </w:drawing>
      </w:r>
    </w:p>
    <w:p>
      <w:pPr>
        <w:spacing w:after="0" w:line="200" w:lineRule="exact"/>
        <w:rPr>
          <w:sz w:val="24"/>
          <w:szCs w:val="24"/>
          <w:color w:val="auto"/>
        </w:rPr>
      </w:pPr>
    </w:p>
    <w:p>
      <w:pPr>
        <w:spacing w:after="0" w:line="354" w:lineRule="exact"/>
        <w:rPr>
          <w:sz w:val="24"/>
          <w:szCs w:val="24"/>
          <w:color w:val="auto"/>
        </w:rPr>
      </w:pPr>
    </w:p>
    <w:p>
      <w:pPr>
        <w:jc w:val="center"/>
        <w:ind w:right="-179"/>
        <w:spacing w:after="0"/>
        <w:rPr>
          <w:sz w:val="20"/>
          <w:szCs w:val="20"/>
          <w:color w:val="auto"/>
        </w:rPr>
      </w:pPr>
      <w:r>
        <w:rPr>
          <w:rFonts w:ascii="Times New Roman" w:cs="Times New Roman" w:eastAsia="Times New Roman" w:hAnsi="Times New Roman"/>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2782570</wp:posOffset>
            </wp:positionH>
            <wp:positionV relativeFrom="paragraph">
              <wp:posOffset>241935</wp:posOffset>
            </wp:positionV>
            <wp:extent cx="157734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7734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13" w:lineRule="exact"/>
        <w:rPr>
          <w:sz w:val="24"/>
          <w:szCs w:val="24"/>
          <w:color w:val="auto"/>
        </w:rPr>
      </w:pPr>
    </w:p>
    <w:p>
      <w:pPr>
        <w:jc w:val="center"/>
        <w:ind w:right="-179"/>
        <w:spacing w:after="0"/>
        <w:rPr>
          <w:sz w:val="20"/>
          <w:szCs w:val="20"/>
          <w:color w:val="auto"/>
        </w:rPr>
      </w:pPr>
      <w:r>
        <w:rPr>
          <w:rFonts w:ascii="Times New Roman" w:cs="Times New Roman" w:eastAsia="Times New Roman" w:hAnsi="Times New Roman"/>
          <w:sz w:val="22"/>
          <w:szCs w:val="22"/>
          <w:b w:val="1"/>
          <w:bCs w:val="1"/>
          <w:color w:val="auto"/>
        </w:rPr>
        <w:t>CURRENT REPORT</w:t>
      </w:r>
    </w:p>
    <w:p>
      <w:pPr>
        <w:spacing w:after="0" w:line="32" w:lineRule="exact"/>
        <w:rPr>
          <w:sz w:val="24"/>
          <w:szCs w:val="24"/>
          <w:color w:val="auto"/>
        </w:rPr>
      </w:pPr>
    </w:p>
    <w:p>
      <w:pPr>
        <w:jc w:val="center"/>
        <w:ind w:right="-179"/>
        <w:spacing w:after="0"/>
        <w:rPr>
          <w:sz w:val="20"/>
          <w:szCs w:val="20"/>
          <w:color w:val="auto"/>
        </w:rPr>
      </w:pPr>
      <w:r>
        <w:rPr>
          <w:rFonts w:ascii="Times New Roman" w:cs="Times New Roman" w:eastAsia="Times New Roman" w:hAnsi="Times New Roman"/>
          <w:sz w:val="22"/>
          <w:szCs w:val="22"/>
          <w:b w:val="1"/>
          <w:bCs w:val="1"/>
          <w:color w:val="auto"/>
        </w:rPr>
        <w:t>Pursuant to Section 13 or 15(d) of the Securities Exchange Act of 1934</w:t>
      </w:r>
    </w:p>
    <w:p>
      <w:pPr>
        <w:spacing w:after="0" w:line="205" w:lineRule="exact"/>
        <w:rPr>
          <w:sz w:val="24"/>
          <w:szCs w:val="24"/>
          <w:color w:val="auto"/>
        </w:rPr>
      </w:pPr>
    </w:p>
    <w:p>
      <w:pPr>
        <w:jc w:val="center"/>
        <w:ind w:right="-179"/>
        <w:spacing w:after="0"/>
        <w:rPr>
          <w:sz w:val="20"/>
          <w:szCs w:val="20"/>
          <w:color w:val="auto"/>
        </w:rPr>
      </w:pPr>
      <w:r>
        <w:rPr>
          <w:rFonts w:ascii="Times New Roman" w:cs="Times New Roman" w:eastAsia="Times New Roman" w:hAnsi="Times New Roman"/>
          <w:sz w:val="22"/>
          <w:szCs w:val="22"/>
          <w:b w:val="1"/>
          <w:bCs w:val="1"/>
          <w:color w:val="auto"/>
        </w:rPr>
        <w:t>Date of Report (Date of earliest event reported): February 23, 2023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2782570</wp:posOffset>
            </wp:positionH>
            <wp:positionV relativeFrom="paragraph">
              <wp:posOffset>219075</wp:posOffset>
            </wp:positionV>
            <wp:extent cx="157734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77340" cy="8255"/>
                    </a:xfrm>
                    <a:prstGeom prst="rect">
                      <a:avLst/>
                    </a:prstGeom>
                    <a:noFill/>
                  </pic:spPr>
                </pic:pic>
              </a:graphicData>
            </a:graphic>
          </wp:anchor>
        </w:drawing>
      </w:r>
    </w:p>
    <w:p>
      <w:pPr>
        <w:spacing w:after="0" w:line="200" w:lineRule="exact"/>
        <w:rPr>
          <w:sz w:val="24"/>
          <w:szCs w:val="24"/>
          <w:color w:val="auto"/>
        </w:rPr>
      </w:pPr>
    </w:p>
    <w:p>
      <w:pPr>
        <w:spacing w:after="0" w:line="236" w:lineRule="exact"/>
        <w:rPr>
          <w:sz w:val="24"/>
          <w:szCs w:val="24"/>
          <w:color w:val="auto"/>
        </w:rPr>
      </w:pPr>
    </w:p>
    <w:p>
      <w:pPr>
        <w:jc w:val="center"/>
        <w:ind w:right="-179"/>
        <w:spacing w:after="0"/>
        <w:rPr>
          <w:sz w:val="20"/>
          <w:szCs w:val="20"/>
          <w:color w:val="auto"/>
        </w:rPr>
      </w:pPr>
      <w:r>
        <w:rPr>
          <w:rFonts w:ascii="Times New Roman" w:cs="Times New Roman" w:eastAsia="Times New Roman" w:hAnsi="Times New Roman"/>
          <w:sz w:val="43"/>
          <w:szCs w:val="43"/>
          <w:b w:val="1"/>
          <w:bCs w:val="1"/>
          <w:color w:val="auto"/>
        </w:rPr>
        <w:t>LANTHEUS HOLDINGS, INC.</w:t>
      </w:r>
    </w:p>
    <w:p>
      <w:pPr>
        <w:spacing w:after="0" w:line="58" w:lineRule="exact"/>
        <w:rPr>
          <w:sz w:val="24"/>
          <w:szCs w:val="24"/>
          <w:color w:val="auto"/>
        </w:rPr>
      </w:pPr>
    </w:p>
    <w:p>
      <w:pPr>
        <w:jc w:val="center"/>
        <w:ind w:right="-179"/>
        <w:spacing w:after="0"/>
        <w:rPr>
          <w:sz w:val="20"/>
          <w:szCs w:val="20"/>
          <w:color w:val="auto"/>
        </w:rPr>
      </w:pPr>
      <w:r>
        <w:rPr>
          <w:rFonts w:ascii="Times New Roman" w:cs="Times New Roman" w:eastAsia="Times New Roman" w:hAnsi="Times New Roman"/>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2782570</wp:posOffset>
            </wp:positionH>
            <wp:positionV relativeFrom="paragraph">
              <wp:posOffset>219075</wp:posOffset>
            </wp:positionV>
            <wp:extent cx="157734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577340" cy="8255"/>
                    </a:xfrm>
                    <a:prstGeom prst="rect">
                      <a:avLst/>
                    </a:prstGeom>
                    <a:noFill/>
                  </pic:spPr>
                </pic:pic>
              </a:graphicData>
            </a:graphic>
          </wp:anchor>
        </w:drawing>
      </w:r>
    </w:p>
    <w:p>
      <w:pPr>
        <w:sectPr>
          <w:pgSz w:w="11900" w:h="16838" w:orient="portrait"/>
          <w:cols w:equalWidth="0" w:num="1">
            <w:col w:w="11080"/>
          </w:cols>
          <w:pgMar w:left="320" w:top="1226" w:right="499" w:bottom="1440" w:gutter="0" w:footer="0" w:header="0"/>
        </w:sectPr>
      </w:pPr>
    </w:p>
    <w:p>
      <w:pPr>
        <w:spacing w:after="0" w:line="200" w:lineRule="exact"/>
        <w:rPr>
          <w:sz w:val="24"/>
          <w:szCs w:val="24"/>
          <w:color w:val="auto"/>
        </w:rPr>
      </w:pPr>
    </w:p>
    <w:p>
      <w:pPr>
        <w:spacing w:after="0" w:line="312" w:lineRule="exact"/>
        <w:rPr>
          <w:sz w:val="24"/>
          <w:szCs w:val="24"/>
          <w:color w:val="auto"/>
        </w:rPr>
      </w:pPr>
    </w:p>
    <w:p>
      <w:pPr>
        <w:ind w:left="1500"/>
        <w:spacing w:after="0"/>
        <w:rPr>
          <w:sz w:val="20"/>
          <w:szCs w:val="20"/>
          <w:color w:val="auto"/>
        </w:rPr>
      </w:pPr>
      <w:r>
        <w:rPr>
          <w:rFonts w:ascii="Times New Roman" w:cs="Times New Roman" w:eastAsia="Times New Roman" w:hAnsi="Times New Roman"/>
          <w:sz w:val="18"/>
          <w:szCs w:val="18"/>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92" w:lineRule="exact"/>
        <w:rPr>
          <w:sz w:val="24"/>
          <w:szCs w:val="24"/>
          <w:color w:val="auto"/>
        </w:rPr>
      </w:pPr>
    </w:p>
    <w:p>
      <w:pPr>
        <w:jc w:val="center"/>
        <w:ind w:right="2200"/>
        <w:spacing w:after="0"/>
        <w:rPr>
          <w:sz w:val="20"/>
          <w:szCs w:val="20"/>
          <w:color w:val="auto"/>
        </w:rPr>
      </w:pPr>
      <w:r>
        <w:rPr>
          <w:rFonts w:ascii="Times New Roman" w:cs="Times New Roman" w:eastAsia="Times New Roman" w:hAnsi="Times New Roman"/>
          <w:sz w:val="17"/>
          <w:szCs w:val="17"/>
          <w:b w:val="1"/>
          <w:bCs w:val="1"/>
          <w:color w:val="auto"/>
        </w:rPr>
        <w:t>001-36569</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92"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35-2318913</w:t>
      </w:r>
    </w:p>
    <w:p>
      <w:pPr>
        <w:spacing w:after="0" w:line="12" w:lineRule="exact"/>
        <w:rPr>
          <w:sz w:val="24"/>
          <w:szCs w:val="24"/>
          <w:color w:val="auto"/>
        </w:rPr>
      </w:pPr>
    </w:p>
    <w:p>
      <w:pPr>
        <w:sectPr>
          <w:pgSz w:w="11900" w:h="16838" w:orient="portrait"/>
          <w:cols w:equalWidth="0" w:num="3">
            <w:col w:w="4500" w:space="720"/>
            <w:col w:w="2980" w:space="720"/>
            <w:col w:w="2160"/>
          </w:cols>
          <w:pgMar w:left="320" w:top="1226" w:right="499" w:bottom="1440" w:gutter="0" w:footer="0" w:header="0"/>
          <w:type w:val="continuous"/>
        </w:sectPr>
      </w:pPr>
    </w:p>
    <w:p>
      <w:pPr>
        <w:jc w:val="center"/>
        <w:ind w:right="720"/>
        <w:spacing w:after="0"/>
        <w:rPr>
          <w:sz w:val="20"/>
          <w:szCs w:val="20"/>
          <w:color w:val="auto"/>
        </w:rPr>
      </w:pPr>
      <w:r>
        <w:rPr>
          <w:rFonts w:ascii="Times New Roman" w:cs="Times New Roman" w:eastAsia="Times New Roman" w:hAnsi="Times New Roman"/>
          <w:sz w:val="14"/>
          <w:szCs w:val="14"/>
          <w:b w:val="1"/>
          <w:bCs w:val="1"/>
          <w:color w:val="auto"/>
        </w:rPr>
        <w:t>(State or other jurisdiction</w:t>
      </w:r>
    </w:p>
    <w:p>
      <w:pPr>
        <w:jc w:val="center"/>
        <w:ind w:right="720"/>
        <w:spacing w:after="0"/>
        <w:rPr>
          <w:sz w:val="20"/>
          <w:szCs w:val="20"/>
          <w:color w:val="auto"/>
        </w:rPr>
      </w:pPr>
      <w:r>
        <w:rPr>
          <w:rFonts w:ascii="Times New Roman" w:cs="Times New Roman" w:eastAsia="Times New Roman" w:hAnsi="Times New Roman"/>
          <w:sz w:val="14"/>
          <w:szCs w:val="14"/>
          <w:b w:val="1"/>
          <w:bCs w:val="1"/>
          <w:color w:val="auto"/>
        </w:rPr>
        <w:t>of incorporation)</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Times New Roman" w:cs="Times New Roman" w:eastAsia="Times New Roman" w:hAnsi="Times New Roman"/>
          <w:sz w:val="14"/>
          <w:szCs w:val="14"/>
          <w:b w:val="1"/>
          <w:bCs w:val="1"/>
          <w:color w:val="auto"/>
        </w:rPr>
        <w:t>(Commission</w:t>
      </w:r>
    </w:p>
    <w:p>
      <w:pPr>
        <w:spacing w:after="0"/>
        <w:rPr>
          <w:sz w:val="20"/>
          <w:szCs w:val="20"/>
          <w:color w:val="auto"/>
        </w:rPr>
      </w:pPr>
      <w:r>
        <w:rPr>
          <w:rFonts w:ascii="Times New Roman" w:cs="Times New Roman" w:eastAsia="Times New Roman" w:hAnsi="Times New Roman"/>
          <w:sz w:val="14"/>
          <w:szCs w:val="14"/>
          <w:b w:val="1"/>
          <w:bCs w:val="1"/>
          <w:color w:val="auto"/>
        </w:rPr>
        <w:t>File Number)</w:t>
      </w:r>
    </w:p>
    <w:p>
      <w:pPr>
        <w:spacing w:after="0" w:line="20" w:lineRule="exact"/>
        <w:rPr>
          <w:sz w:val="24"/>
          <w:szCs w:val="24"/>
          <w:color w:val="auto"/>
        </w:rPr>
      </w:pPr>
      <w:r>
        <w:rPr>
          <w:sz w:val="24"/>
          <w:szCs w:val="24"/>
          <w:color w:val="auto"/>
        </w:rPr>
        <w:br w:type="column"/>
      </w:r>
    </w:p>
    <w:p>
      <w:pPr>
        <w:jc w:val="center"/>
        <w:ind w:right="1160"/>
        <w:spacing w:after="0"/>
        <w:rPr>
          <w:sz w:val="20"/>
          <w:szCs w:val="20"/>
          <w:color w:val="auto"/>
        </w:rPr>
      </w:pPr>
      <w:r>
        <w:rPr>
          <w:rFonts w:ascii="Times New Roman" w:cs="Times New Roman" w:eastAsia="Times New Roman" w:hAnsi="Times New Roman"/>
          <w:sz w:val="14"/>
          <w:szCs w:val="14"/>
          <w:b w:val="1"/>
          <w:bCs w:val="1"/>
          <w:color w:val="auto"/>
        </w:rPr>
        <w:t>(IRS Employer</w:t>
      </w:r>
    </w:p>
    <w:p>
      <w:pPr>
        <w:jc w:val="center"/>
        <w:ind w:right="1160"/>
        <w:spacing w:after="0"/>
        <w:rPr>
          <w:sz w:val="20"/>
          <w:szCs w:val="20"/>
          <w:color w:val="auto"/>
        </w:rPr>
      </w:pPr>
      <w:r>
        <w:rPr>
          <w:rFonts w:ascii="Times New Roman" w:cs="Times New Roman" w:eastAsia="Times New Roman" w:hAnsi="Times New Roman"/>
          <w:sz w:val="14"/>
          <w:szCs w:val="14"/>
          <w:b w:val="1"/>
          <w:bCs w:val="1"/>
          <w:color w:val="auto"/>
        </w:rPr>
        <w:t>Identification No.)</w:t>
      </w:r>
    </w:p>
    <w:p>
      <w:pPr>
        <w:spacing w:after="0" w:line="134" w:lineRule="exact"/>
        <w:rPr>
          <w:sz w:val="24"/>
          <w:szCs w:val="24"/>
          <w:color w:val="auto"/>
        </w:rPr>
      </w:pPr>
    </w:p>
    <w:p>
      <w:pPr>
        <w:sectPr>
          <w:pgSz w:w="11900" w:h="16838" w:orient="portrait"/>
          <w:cols w:equalWidth="0" w:num="3">
            <w:col w:w="4480" w:space="720"/>
            <w:col w:w="2880" w:space="720"/>
            <w:col w:w="2280"/>
          </w:cols>
          <w:pgMar w:left="320" w:top="1226" w:right="499" w:bottom="1440" w:gutter="0" w:footer="0" w:header="0"/>
          <w:type w:val="continuous"/>
        </w:sectPr>
      </w:pPr>
    </w:p>
    <w:p>
      <w:pPr>
        <w:ind w:left="1240"/>
        <w:spacing w:after="0"/>
        <w:rPr>
          <w:sz w:val="20"/>
          <w:szCs w:val="20"/>
          <w:color w:val="auto"/>
        </w:rPr>
      </w:pPr>
      <w:r>
        <w:rPr>
          <w:rFonts w:ascii="Times New Roman" w:cs="Times New Roman" w:eastAsia="Times New Roman" w:hAnsi="Times New Roman"/>
          <w:sz w:val="17"/>
          <w:szCs w:val="17"/>
          <w:b w:val="1"/>
          <w:bCs w:val="1"/>
          <w:color w:val="auto"/>
        </w:rPr>
        <w:t>201 Burlington Road, South Building, Bedford, MA</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Times New Roman" w:cs="Times New Roman" w:eastAsia="Times New Roman" w:hAnsi="Times New Roman"/>
          <w:sz w:val="18"/>
          <w:szCs w:val="18"/>
          <w:b w:val="1"/>
          <w:bCs w:val="1"/>
          <w:color w:val="auto"/>
        </w:rPr>
        <w:t>01730</w:t>
      </w:r>
    </w:p>
    <w:p>
      <w:pPr>
        <w:spacing w:after="0" w:line="31" w:lineRule="exact"/>
        <w:rPr>
          <w:sz w:val="24"/>
          <w:szCs w:val="24"/>
          <w:color w:val="auto"/>
        </w:rPr>
      </w:pPr>
    </w:p>
    <w:p>
      <w:pPr>
        <w:sectPr>
          <w:pgSz w:w="11900" w:h="16838" w:orient="portrait"/>
          <w:cols w:equalWidth="0" w:num="2">
            <w:col w:w="7380" w:space="720"/>
            <w:col w:w="2980"/>
          </w:cols>
          <w:pgMar w:left="320" w:top="1226" w:right="499" w:bottom="1440" w:gutter="0" w:footer="0" w:header="0"/>
          <w:type w:val="continuous"/>
        </w:sectPr>
      </w:pPr>
    </w:p>
    <w:p>
      <w:pPr>
        <w:ind w:left="2040"/>
        <w:spacing w:after="0"/>
        <w:rPr>
          <w:sz w:val="20"/>
          <w:szCs w:val="20"/>
          <w:color w:val="auto"/>
        </w:rPr>
      </w:pPr>
      <w:r>
        <w:rPr>
          <w:rFonts w:ascii="Times New Roman" w:cs="Times New Roman" w:eastAsia="Times New Roman" w:hAnsi="Times New Roman"/>
          <w:sz w:val="14"/>
          <w:szCs w:val="14"/>
          <w:b w:val="1"/>
          <w:bCs w:val="1"/>
          <w:color w:val="auto"/>
        </w:rPr>
        <w:t>(Address of principal executive offices)</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Times New Roman" w:cs="Times New Roman" w:eastAsia="Times New Roman" w:hAnsi="Times New Roman"/>
          <w:sz w:val="14"/>
          <w:szCs w:val="14"/>
          <w:b w:val="1"/>
          <w:bCs w:val="1"/>
          <w:color w:val="auto"/>
        </w:rPr>
        <w:t>(Zip Code)</w:t>
      </w:r>
    </w:p>
    <w:p>
      <w:pPr>
        <w:spacing w:after="0" w:line="114" w:lineRule="exact"/>
        <w:rPr>
          <w:sz w:val="24"/>
          <w:szCs w:val="24"/>
          <w:color w:val="auto"/>
        </w:rPr>
      </w:pPr>
    </w:p>
    <w:p>
      <w:pPr>
        <w:sectPr>
          <w:pgSz w:w="11900" w:h="16838" w:orient="portrait"/>
          <w:cols w:equalWidth="0" w:num="2">
            <w:col w:w="7280" w:space="720"/>
            <w:col w:w="3080"/>
          </w:cols>
          <w:pgMar w:left="320" w:top="1226" w:right="499" w:bottom="1440" w:gutter="0" w:footer="0" w:header="0"/>
          <w:type w:val="continuous"/>
        </w:sectPr>
      </w:pPr>
    </w:p>
    <w:p>
      <w:pPr>
        <w:jc w:val="center"/>
        <w:ind w:right="-179"/>
        <w:spacing w:after="0"/>
        <w:rPr>
          <w:sz w:val="20"/>
          <w:szCs w:val="20"/>
          <w:color w:val="auto"/>
        </w:rPr>
      </w:pPr>
      <w:r>
        <w:rPr>
          <w:rFonts w:ascii="Times New Roman" w:cs="Times New Roman" w:eastAsia="Times New Roman" w:hAnsi="Times New Roman"/>
          <w:sz w:val="18"/>
          <w:szCs w:val="18"/>
          <w:b w:val="1"/>
          <w:bCs w:val="1"/>
          <w:color w:val="auto"/>
        </w:rPr>
        <w:t>Registrant’s telephone number, including area code: (978) 671-8001</w:t>
      </w:r>
    </w:p>
    <w:p>
      <w:pPr>
        <w:spacing w:after="0" w:line="200" w:lineRule="exact"/>
        <w:rPr>
          <w:sz w:val="24"/>
          <w:szCs w:val="24"/>
          <w:color w:val="auto"/>
        </w:rPr>
      </w:pPr>
    </w:p>
    <w:p>
      <w:pPr>
        <w:spacing w:after="0" w:line="376" w:lineRule="exact"/>
        <w:rPr>
          <w:sz w:val="24"/>
          <w:szCs w:val="24"/>
          <w:color w:val="auto"/>
        </w:rPr>
      </w:pPr>
    </w:p>
    <w:p>
      <w:pPr>
        <w:jc w:val="center"/>
        <w:ind w:right="-179"/>
        <w:spacing w:after="0"/>
        <w:rPr>
          <w:sz w:val="20"/>
          <w:szCs w:val="20"/>
          <w:color w:val="auto"/>
        </w:rPr>
      </w:pPr>
      <w:r>
        <w:rPr>
          <w:rFonts w:ascii="Times New Roman" w:cs="Times New Roman" w:eastAsia="Times New Roman" w:hAnsi="Times New Roman"/>
          <w:sz w:val="18"/>
          <w:szCs w:val="18"/>
          <w:b w:val="1"/>
          <w:bCs w:val="1"/>
          <w:color w:val="auto"/>
        </w:rPr>
        <w:t>Not Applicable</w:t>
      </w:r>
    </w:p>
    <w:p>
      <w:pPr>
        <w:spacing w:after="0" w:line="31" w:lineRule="exact"/>
        <w:rPr>
          <w:sz w:val="24"/>
          <w:szCs w:val="24"/>
          <w:color w:val="auto"/>
        </w:rPr>
      </w:pPr>
    </w:p>
    <w:p>
      <w:pPr>
        <w:jc w:val="center"/>
        <w:ind w:right="-179"/>
        <w:spacing w:after="0"/>
        <w:rPr>
          <w:sz w:val="20"/>
          <w:szCs w:val="20"/>
          <w:color w:val="auto"/>
        </w:rPr>
      </w:pPr>
      <w:r>
        <w:rPr>
          <w:rFonts w:ascii="Times New Roman" w:cs="Times New Roman" w:eastAsia="Times New Roman" w:hAnsi="Times New Roman"/>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2782570</wp:posOffset>
            </wp:positionH>
            <wp:positionV relativeFrom="paragraph">
              <wp:posOffset>232410</wp:posOffset>
            </wp:positionV>
            <wp:extent cx="157734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577340" cy="8255"/>
                    </a:xfrm>
                    <a:prstGeom prst="rect">
                      <a:avLst/>
                    </a:prstGeom>
                    <a:noFill/>
                  </pic:spPr>
                </pic:pic>
              </a:graphicData>
            </a:graphic>
          </wp:anchor>
        </w:drawing>
      </w:r>
    </w:p>
    <w:p>
      <w:pPr>
        <w:spacing w:after="0" w:line="200" w:lineRule="exact"/>
        <w:rPr>
          <w:sz w:val="24"/>
          <w:szCs w:val="24"/>
          <w:color w:val="auto"/>
        </w:rPr>
      </w:pPr>
    </w:p>
    <w:p>
      <w:pPr>
        <w:spacing w:after="0" w:line="397" w:lineRule="exact"/>
        <w:rPr>
          <w:sz w:val="24"/>
          <w:szCs w:val="24"/>
          <w:color w:val="auto"/>
        </w:rPr>
      </w:pPr>
    </w:p>
    <w:p>
      <w:pPr>
        <w:ind w:right="340" w:firstLine="180"/>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54" w:lineRule="exact"/>
        <w:rPr>
          <w:sz w:val="24"/>
          <w:szCs w:val="24"/>
          <w:color w:val="auto"/>
        </w:rPr>
      </w:pPr>
    </w:p>
    <w:p>
      <w:pPr>
        <w:ind w:left="380" w:hanging="332"/>
        <w:spacing w:after="0"/>
        <w:tabs>
          <w:tab w:leader="none" w:pos="38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117" w:lineRule="exact"/>
        <w:rPr>
          <w:rFonts w:ascii="MS PGothic" w:cs="MS PGothic" w:eastAsia="MS PGothic" w:hAnsi="MS PGothic"/>
          <w:sz w:val="18"/>
          <w:szCs w:val="18"/>
          <w:color w:val="auto"/>
        </w:rPr>
      </w:pPr>
    </w:p>
    <w:p>
      <w:pPr>
        <w:ind w:left="400" w:hanging="352"/>
        <w:spacing w:after="0"/>
        <w:tabs>
          <w:tab w:leader="none" w:pos="40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117" w:lineRule="exact"/>
        <w:rPr>
          <w:rFonts w:ascii="MS PGothic" w:cs="MS PGothic" w:eastAsia="MS PGothic" w:hAnsi="MS PGothic"/>
          <w:sz w:val="18"/>
          <w:szCs w:val="18"/>
          <w:color w:val="auto"/>
        </w:rPr>
      </w:pPr>
    </w:p>
    <w:p>
      <w:pPr>
        <w:ind w:left="400" w:hanging="352"/>
        <w:spacing w:after="0"/>
        <w:tabs>
          <w:tab w:leader="none" w:pos="40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117" w:lineRule="exact"/>
        <w:rPr>
          <w:rFonts w:ascii="MS PGothic" w:cs="MS PGothic" w:eastAsia="MS PGothic" w:hAnsi="MS PGothic"/>
          <w:sz w:val="18"/>
          <w:szCs w:val="18"/>
          <w:color w:val="auto"/>
        </w:rPr>
      </w:pPr>
    </w:p>
    <w:p>
      <w:pPr>
        <w:ind w:right="2640" w:firstLine="48"/>
        <w:spacing w:after="0" w:line="407" w:lineRule="auto"/>
        <w:tabs>
          <w:tab w:leader="none" w:pos="382"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 Securities registered pursuant to Section 12(b) of the Act:</w:t>
      </w:r>
    </w:p>
    <w:p>
      <w:pPr>
        <w:spacing w:after="0" w:line="66" w:lineRule="exact"/>
        <w:rPr>
          <w:sz w:val="24"/>
          <w:szCs w:val="24"/>
          <w:color w:val="auto"/>
        </w:rPr>
      </w:pPr>
    </w:p>
    <w:tbl>
      <w:tblPr>
        <w:tblLayout w:type="fixed"/>
        <w:tblInd w:w="750" w:type="dxa"/>
        <w:tblCellMar>
          <w:top w:w="0" w:type="dxa"/>
          <w:left w:w="0" w:type="dxa"/>
          <w:bottom w:w="0" w:type="dxa"/>
          <w:right w:w="0" w:type="dxa"/>
        </w:tblCellMar>
      </w:tblPr>
      <w:tr>
        <w:trPr>
          <w:trHeight w:val="243"/>
        </w:trPr>
        <w:tc>
          <w:tcPr>
            <w:tcW w:w="3860" w:type="dxa"/>
            <w:vAlign w:val="bottom"/>
            <w:tcBorders>
              <w:top w:val="single" w:sz="8" w:color="auto"/>
              <w:left w:val="single" w:sz="8" w:color="auto"/>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Title of each class</w:t>
            </w:r>
          </w:p>
        </w:tc>
        <w:tc>
          <w:tcPr>
            <w:tcW w:w="1860" w:type="dxa"/>
            <w:vAlign w:val="bottom"/>
            <w:tcBorders>
              <w:top w:val="single" w:sz="8" w:color="auto"/>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8"/>
                <w:szCs w:val="18"/>
                <w:color w:val="auto"/>
              </w:rPr>
              <w:t>Trading Symbol(s)</w:t>
            </w:r>
          </w:p>
        </w:tc>
        <w:tc>
          <w:tcPr>
            <w:tcW w:w="4080" w:type="dxa"/>
            <w:vAlign w:val="bottom"/>
            <w:tcBorders>
              <w:top w:val="single" w:sz="8" w:color="auto"/>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Name of each exchange on which registered</w:t>
            </w:r>
          </w:p>
        </w:tc>
      </w:tr>
      <w:tr>
        <w:trPr>
          <w:trHeight w:val="223"/>
        </w:trPr>
        <w:tc>
          <w:tcPr>
            <w:tcW w:w="3860" w:type="dxa"/>
            <w:vAlign w:val="bottom"/>
            <w:tcBorders>
              <w:left w:val="single" w:sz="8" w:color="auto"/>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Common stock, par value $0.01 per share</w:t>
            </w:r>
          </w:p>
        </w:tc>
        <w:tc>
          <w:tcPr>
            <w:tcW w:w="186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8"/>
                <w:szCs w:val="18"/>
                <w:color w:val="auto"/>
              </w:rPr>
              <w:t>LNTH</w:t>
            </w:r>
          </w:p>
        </w:tc>
        <w:tc>
          <w:tcPr>
            <w:tcW w:w="408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The Nasdaq Global Market</w:t>
            </w:r>
          </w:p>
        </w:tc>
      </w:tr>
    </w:tbl>
    <w:p>
      <w:pPr>
        <w:spacing w:after="0" w:line="90" w:lineRule="exact"/>
        <w:rPr>
          <w:sz w:val="24"/>
          <w:szCs w:val="24"/>
          <w:color w:val="auto"/>
        </w:rPr>
      </w:pPr>
    </w:p>
    <w:p>
      <w:pPr>
        <w:ind w:right="360"/>
        <w:spacing w:after="0" w:line="282" w:lineRule="auto"/>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79" w:lineRule="exact"/>
        <w:rPr>
          <w:sz w:val="24"/>
          <w:szCs w:val="24"/>
          <w:color w:val="auto"/>
        </w:rPr>
      </w:pPr>
    </w:p>
    <w:p>
      <w:pPr>
        <w:ind w:left="6980"/>
        <w:spacing w:after="0" w:line="207" w:lineRule="exact"/>
        <w:rPr>
          <w:sz w:val="20"/>
          <w:szCs w:val="20"/>
          <w:color w:val="auto"/>
        </w:rPr>
      </w:pPr>
      <w:r>
        <w:rPr>
          <w:rFonts w:ascii="Times New Roman" w:cs="Times New Roman" w:eastAsia="Times New Roman" w:hAnsi="Times New Roman"/>
          <w:sz w:val="18"/>
          <w:szCs w:val="18"/>
          <w:color w:val="auto"/>
        </w:rPr>
        <w:t xml:space="preserve">Emerging growth company </w:t>
      </w:r>
      <w:r>
        <w:rPr>
          <w:rFonts w:ascii="MS PGothic" w:cs="MS PGothic" w:eastAsia="MS PGothic" w:hAnsi="MS PGothic"/>
          <w:sz w:val="18"/>
          <w:szCs w:val="18"/>
          <w:color w:val="auto"/>
        </w:rPr>
        <w:t>☐</w:t>
      </w:r>
    </w:p>
    <w:p>
      <w:pPr>
        <w:spacing w:after="0" w:line="200" w:lineRule="exact"/>
        <w:rPr>
          <w:sz w:val="24"/>
          <w:szCs w:val="24"/>
          <w:color w:val="auto"/>
        </w:rPr>
      </w:pPr>
    </w:p>
    <w:p>
      <w:pPr>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652780</wp:posOffset>
            </wp:positionV>
            <wp:extent cx="7157720"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57720" cy="42545"/>
                    </a:xfrm>
                    <a:prstGeom prst="rect">
                      <a:avLst/>
                    </a:prstGeom>
                    <a:noFill/>
                  </pic:spPr>
                </pic:pic>
              </a:graphicData>
            </a:graphic>
          </wp:anchor>
        </w:drawing>
        <w:drawing>
          <wp:anchor simplePos="0" relativeHeight="251657728" behindDoc="1" locked="0" layoutInCell="0" allowOverlap="1">
            <wp:simplePos x="0" y="0"/>
            <wp:positionH relativeFrom="column">
              <wp:posOffset>47625</wp:posOffset>
            </wp:positionH>
            <wp:positionV relativeFrom="paragraph">
              <wp:posOffset>125095</wp:posOffset>
            </wp:positionV>
            <wp:extent cx="704659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046595" cy="8890"/>
                    </a:xfrm>
                    <a:prstGeom prst="rect">
                      <a:avLst/>
                    </a:prstGeom>
                    <a:noFill/>
                  </pic:spPr>
                </pic:pic>
              </a:graphicData>
            </a:graphic>
          </wp:anchor>
        </w:drawing>
        <w:drawing>
          <wp:anchor simplePos="0" relativeHeight="251657728" behindDoc="1" locked="0" layoutInCell="0" allowOverlap="1">
            <wp:simplePos x="0" y="0"/>
            <wp:positionH relativeFrom="column">
              <wp:posOffset>47625</wp:posOffset>
            </wp:positionH>
            <wp:positionV relativeFrom="paragraph">
              <wp:posOffset>65405</wp:posOffset>
            </wp:positionV>
            <wp:extent cx="7046595"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046595" cy="8890"/>
                    </a:xfrm>
                    <a:prstGeom prst="rect">
                      <a:avLst/>
                    </a:prstGeom>
                    <a:noFill/>
                  </pic:spPr>
                </pic:pic>
              </a:graphicData>
            </a:graphic>
          </wp:anchor>
        </w:drawing>
      </w:r>
    </w:p>
    <w:p>
      <w:pPr>
        <w:sectPr>
          <w:pgSz w:w="11900" w:h="16838" w:orient="portrait"/>
          <w:cols w:equalWidth="0" w:num="1">
            <w:col w:w="11080"/>
          </w:cols>
          <w:pgMar w:left="320" w:top="1226" w:right="499" w:bottom="1440" w:gutter="0" w:footer="0" w:header="0"/>
          <w:type w:val="continuous"/>
        </w:sectPr>
      </w:pPr>
    </w:p>
    <w:bookmarkStart w:id="1" w:name="page2"/>
    <w:bookmarkEnd w:id="1"/>
    <w:p>
      <w:pPr>
        <w:ind w:left="40"/>
        <w:spacing w:after="0"/>
        <w:tabs>
          <w:tab w:leader="none" w:pos="1020" w:val="left"/>
        </w:tabs>
        <w:rPr>
          <w:sz w:val="20"/>
          <w:szCs w:val="20"/>
          <w:color w:val="auto"/>
        </w:rPr>
      </w:pPr>
      <w:r>
        <w:rPr>
          <w:rFonts w:ascii="Times New Roman" w:cs="Times New Roman" w:eastAsia="Times New Roman" w:hAnsi="Times New Roman"/>
          <w:sz w:val="18"/>
          <w:szCs w:val="18"/>
          <w:b w:val="1"/>
          <w:bCs w:val="1"/>
          <w:color w:val="auto"/>
        </w:rPr>
        <w:t>Item 2.02.</w:t>
      </w:r>
      <w:r>
        <w:rPr>
          <w:sz w:val="20"/>
          <w:szCs w:val="20"/>
          <w:color w:val="auto"/>
        </w:rPr>
        <w:tab/>
      </w:r>
      <w:r>
        <w:rPr>
          <w:rFonts w:ascii="Times New Roman" w:cs="Times New Roman" w:eastAsia="Times New Roman" w:hAnsi="Times New Roman"/>
          <w:sz w:val="17"/>
          <w:szCs w:val="17"/>
          <w:b w:val="1"/>
          <w:bCs w:val="1"/>
          <w:color w:val="auto"/>
        </w:rPr>
        <w:t>Results of Operations and Financial Condition.</w:t>
      </w:r>
    </w:p>
    <w:p>
      <w:pPr>
        <w:spacing w:after="0" w:line="121" w:lineRule="exact"/>
        <w:rPr>
          <w:sz w:val="20"/>
          <w:szCs w:val="20"/>
          <w:color w:val="auto"/>
        </w:rPr>
      </w:pPr>
    </w:p>
    <w:p>
      <w:pPr>
        <w:ind w:right="40"/>
        <w:spacing w:after="0" w:line="282" w:lineRule="auto"/>
        <w:rPr>
          <w:sz w:val="20"/>
          <w:szCs w:val="20"/>
          <w:color w:val="auto"/>
        </w:rPr>
      </w:pPr>
      <w:r>
        <w:rPr>
          <w:rFonts w:ascii="Times New Roman" w:cs="Times New Roman" w:eastAsia="Times New Roman" w:hAnsi="Times New Roman"/>
          <w:sz w:val="18"/>
          <w:szCs w:val="18"/>
          <w:color w:val="auto"/>
        </w:rPr>
        <w:t>On February 23, 2023, Lantheus Holdings, Inc. (the “Company”) announced via press release its financial results as of and for the three and twelve months ended December 31, 2022. A copy of that press release is being furnished as Exhibit 99.1 and is hereby incorporated by reference.</w:t>
      </w:r>
    </w:p>
    <w:p>
      <w:pPr>
        <w:spacing w:after="0" w:line="162" w:lineRule="exact"/>
        <w:rPr>
          <w:sz w:val="20"/>
          <w:szCs w:val="20"/>
          <w:color w:val="auto"/>
        </w:rPr>
      </w:pPr>
    </w:p>
    <w:p>
      <w:pPr>
        <w:ind w:right="500"/>
        <w:spacing w:after="0" w:line="266" w:lineRule="auto"/>
        <w:rPr>
          <w:sz w:val="20"/>
          <w:szCs w:val="20"/>
          <w:color w:val="auto"/>
        </w:rPr>
      </w:pPr>
      <w:r>
        <w:rPr>
          <w:rFonts w:ascii="Times New Roman" w:cs="Times New Roman" w:eastAsia="Times New Roman" w:hAnsi="Times New Roman"/>
          <w:sz w:val="18"/>
          <w:szCs w:val="18"/>
          <w:color w:val="auto"/>
        </w:rPr>
        <w:t>The information furnished pursuant to this Item 2.02, including Exhibit 99.1, shall not be deemed “filed” for purposes of Section 18 of the Securities Exchange Act of 1934, as amended (the “Exchange Act”), or otherwise subject to the liabilities under that Section and shall not be deemed to be incorporated by reference into any filing of the Company under the Securities Act of 1933, as amended, or the Exchange Act.</w:t>
      </w:r>
    </w:p>
    <w:p>
      <w:pPr>
        <w:spacing w:after="0" w:line="280" w:lineRule="exact"/>
        <w:rPr>
          <w:sz w:val="20"/>
          <w:szCs w:val="20"/>
          <w:color w:val="auto"/>
        </w:rPr>
      </w:pPr>
    </w:p>
    <w:p>
      <w:pPr>
        <w:ind w:left="40"/>
        <w:spacing w:after="0"/>
        <w:tabs>
          <w:tab w:leader="none" w:pos="980" w:val="left"/>
        </w:tabs>
        <w:rPr>
          <w:sz w:val="20"/>
          <w:szCs w:val="20"/>
          <w:color w:val="auto"/>
        </w:rPr>
      </w:pPr>
      <w:r>
        <w:rPr>
          <w:rFonts w:ascii="Times New Roman" w:cs="Times New Roman" w:eastAsia="Times New Roman" w:hAnsi="Times New Roman"/>
          <w:sz w:val="18"/>
          <w:szCs w:val="18"/>
          <w:b w:val="1"/>
          <w:bCs w:val="1"/>
          <w:color w:val="auto"/>
        </w:rPr>
        <w:t>Item 9.01.</w:t>
      </w:r>
      <w:r>
        <w:rPr>
          <w:sz w:val="20"/>
          <w:szCs w:val="20"/>
          <w:color w:val="auto"/>
        </w:rPr>
        <w:tab/>
      </w:r>
      <w:r>
        <w:rPr>
          <w:rFonts w:ascii="Times New Roman" w:cs="Times New Roman" w:eastAsia="Times New Roman" w:hAnsi="Times New Roman"/>
          <w:sz w:val="17"/>
          <w:szCs w:val="17"/>
          <w:b w:val="1"/>
          <w:bCs w:val="1"/>
          <w:color w:val="auto"/>
        </w:rPr>
        <w:t>Financial Statements and Exhibits.</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 Exhibits</w:t>
      </w:r>
    </w:p>
    <w:p>
      <w:pPr>
        <w:spacing w:after="0" w:line="248" w:lineRule="exact"/>
        <w:rPr>
          <w:sz w:val="20"/>
          <w:szCs w:val="20"/>
          <w:color w:val="auto"/>
        </w:rPr>
      </w:pPr>
    </w:p>
    <w:p>
      <w:pPr>
        <w:ind w:left="80"/>
        <w:spacing w:after="0"/>
        <w:tabs>
          <w:tab w:leader="none" w:pos="5440" w:val="left"/>
        </w:tabs>
        <w:rPr>
          <w:sz w:val="20"/>
          <w:szCs w:val="20"/>
          <w:color w:val="auto"/>
        </w:rPr>
      </w:pPr>
      <w:r>
        <w:rPr>
          <w:rFonts w:ascii="Times New Roman" w:cs="Times New Roman" w:eastAsia="Times New Roman" w:hAnsi="Times New Roman"/>
          <w:sz w:val="18"/>
          <w:szCs w:val="18"/>
          <w:b w:val="1"/>
          <w:bCs w:val="1"/>
          <w:color w:val="auto"/>
        </w:rPr>
        <w:t>Exhibit No.</w:t>
      </w:r>
      <w:r>
        <w:rPr>
          <w:sz w:val="20"/>
          <w:szCs w:val="20"/>
          <w:color w:val="auto"/>
        </w:rPr>
        <w:tab/>
      </w:r>
      <w:r>
        <w:rPr>
          <w:rFonts w:ascii="Times New Roman" w:cs="Times New Roman" w:eastAsia="Times New Roman" w:hAnsi="Times New Roman"/>
          <w:sz w:val="17"/>
          <w:szCs w:val="17"/>
          <w:b w:val="1"/>
          <w:bCs w:val="1"/>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19685</wp:posOffset>
            </wp:positionV>
            <wp:extent cx="675513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755130" cy="8255"/>
                    </a:xfrm>
                    <a:prstGeom prst="rect">
                      <a:avLst/>
                    </a:prstGeom>
                    <a:noFill/>
                  </pic:spPr>
                </pic:pic>
              </a:graphicData>
            </a:graphic>
          </wp:anchor>
        </w:drawing>
      </w:r>
    </w:p>
    <w:p>
      <w:pPr>
        <w:spacing w:after="0" w:line="20" w:lineRule="exact"/>
        <w:rPr>
          <w:sz w:val="20"/>
          <w:szCs w:val="20"/>
          <w:color w:val="auto"/>
        </w:rPr>
      </w:pPr>
    </w:p>
    <w:p>
      <w:pPr>
        <w:ind w:left="1300" w:right="680" w:hanging="969"/>
        <w:spacing w:after="0" w:line="237" w:lineRule="auto"/>
        <w:tabs>
          <w:tab w:leader="none" w:pos="1280" w:val="left"/>
        </w:tabs>
        <w:rPr>
          <w:sz w:val="20"/>
          <w:szCs w:val="20"/>
          <w:color w:val="auto"/>
        </w:rPr>
      </w:pPr>
      <w:r>
        <w:rPr>
          <w:rFonts w:ascii="Times New Roman" w:cs="Times New Roman" w:eastAsia="Times New Roman" w:hAnsi="Times New Roman"/>
          <w:sz w:val="18"/>
          <w:szCs w:val="18"/>
          <w:color w:val="auto"/>
        </w:rPr>
        <w:t>99.1*</w:t>
      </w:r>
      <w:r>
        <w:rPr>
          <w:sz w:val="20"/>
          <w:szCs w:val="20"/>
          <w:color w:val="auto"/>
        </w:rPr>
        <w:tab/>
      </w:r>
      <w:r>
        <w:rPr>
          <w:rFonts w:ascii="Times New Roman" w:cs="Times New Roman" w:eastAsia="Times New Roman" w:hAnsi="Times New Roman"/>
          <w:sz w:val="18"/>
          <w:szCs w:val="18"/>
          <w:u w:val="single" w:color="auto"/>
          <w:color w:val="0000FF"/>
        </w:rPr>
        <w:t>Press release of Lantheus Holdings, Inc. dated February 23, 2023, entitled "Lantheus Reports Fourth Quarter and Full Year 2022 Financial Results"</w:t>
      </w:r>
    </w:p>
    <w:p>
      <w:pPr>
        <w:spacing w:after="0" w:line="10" w:lineRule="exact"/>
        <w:rPr>
          <w:sz w:val="20"/>
          <w:szCs w:val="20"/>
          <w:color w:val="auto"/>
        </w:rPr>
      </w:pPr>
    </w:p>
    <w:p>
      <w:pPr>
        <w:ind w:left="1300" w:hanging="907"/>
        <w:spacing w:after="0"/>
        <w:tabs>
          <w:tab w:leader="none" w:pos="1300" w:val="left"/>
        </w:tabs>
        <w:numPr>
          <w:ilvl w:val="1"/>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Cover Page Interactive Data File (embedded within the Inline XBRL document)</w:t>
      </w:r>
    </w:p>
    <w:p>
      <w:pPr>
        <w:spacing w:after="0" w:line="221" w:lineRule="exact"/>
        <w:rPr>
          <w:rFonts w:ascii="Times New Roman" w:cs="Times New Roman" w:eastAsia="Times New Roman" w:hAnsi="Times New Roman"/>
          <w:sz w:val="18"/>
          <w:szCs w:val="18"/>
          <w:color w:val="auto"/>
        </w:rPr>
      </w:pPr>
    </w:p>
    <w:p>
      <w:pPr>
        <w:ind w:left="460" w:hanging="405"/>
        <w:spacing w:after="0" w:line="268"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Exhibit 99.1 attached hereto is being furnished and shall not be deemed “filed” for purposes of Section 18 of the Securities Exchange Act of 1934, as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amended, or otherwise subject to the liabilities of that section, nor shall such information be deemed incorporated by reference in any filing under the Securities Act of 1933, as amended, except as shall be expressly set forth by specific reference in such filing.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666750</wp:posOffset>
            </wp:positionV>
            <wp:extent cx="7157720"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765" w:right="359" w:bottom="1440" w:gutter="0" w:footer="0" w:header="0"/>
        </w:sectPr>
      </w:pPr>
    </w:p>
    <w:bookmarkStart w:id="2" w:name="page3"/>
    <w:bookmarkEnd w:id="2"/>
    <w:p>
      <w:pPr>
        <w:jc w:val="center"/>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229" w:lineRule="exact"/>
        <w:rPr>
          <w:sz w:val="20"/>
          <w:szCs w:val="20"/>
          <w:color w:val="auto"/>
        </w:rPr>
      </w:pPr>
    </w:p>
    <w:p>
      <w:pPr>
        <w:ind w:right="40"/>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hereunto duly authorized.</w:t>
      </w:r>
    </w:p>
    <w:p>
      <w:pPr>
        <w:spacing w:after="0" w:line="333" w:lineRule="exact"/>
        <w:rPr>
          <w:sz w:val="20"/>
          <w:szCs w:val="20"/>
          <w:color w:val="auto"/>
        </w:rPr>
      </w:pPr>
    </w:p>
    <w:p>
      <w:pPr>
        <w:ind w:left="6640"/>
        <w:spacing w:after="0"/>
        <w:rPr>
          <w:sz w:val="20"/>
          <w:szCs w:val="20"/>
          <w:color w:val="auto"/>
        </w:rPr>
      </w:pPr>
      <w:r>
        <w:rPr>
          <w:rFonts w:ascii="Times New Roman" w:cs="Times New Roman" w:eastAsia="Times New Roman" w:hAnsi="Times New Roman"/>
          <w:sz w:val="18"/>
          <w:szCs w:val="18"/>
          <w:b w:val="1"/>
          <w:bCs w:val="1"/>
          <w:color w:val="auto"/>
        </w:rPr>
        <w:t>LANTHEUS HOLDINGS, INC.</w:t>
      </w:r>
    </w:p>
    <w:p>
      <w:pPr>
        <w:spacing w:after="0" w:line="243" w:lineRule="exact"/>
        <w:rPr>
          <w:sz w:val="20"/>
          <w:szCs w:val="20"/>
          <w:color w:val="auto"/>
        </w:rPr>
      </w:pPr>
    </w:p>
    <w:tbl>
      <w:tblPr>
        <w:tblLayout w:type="fixed"/>
        <w:tblInd w:w="6640" w:type="dxa"/>
        <w:tblCellMar>
          <w:top w:w="0" w:type="dxa"/>
          <w:left w:w="0" w:type="dxa"/>
          <w:bottom w:w="0" w:type="dxa"/>
          <w:right w:w="0" w:type="dxa"/>
        </w:tblCellMar>
      </w:tblPr>
      <w:tr>
        <w:trPr>
          <w:trHeight w:val="234"/>
        </w:trPr>
        <w:tc>
          <w:tcPr>
            <w:tcW w:w="740" w:type="dxa"/>
            <w:vAlign w:val="bottom"/>
          </w:tcPr>
          <w:p>
            <w:pPr>
              <w:spacing w:after="0"/>
              <w:rPr>
                <w:sz w:val="20"/>
                <w:szCs w:val="20"/>
                <w:color w:val="auto"/>
              </w:rPr>
            </w:pPr>
            <w:r>
              <w:rPr>
                <w:rFonts w:ascii="Times New Roman" w:cs="Times New Roman" w:eastAsia="Times New Roman" w:hAnsi="Times New Roman"/>
                <w:sz w:val="18"/>
                <w:szCs w:val="18"/>
                <w:color w:val="auto"/>
              </w:rPr>
              <w:t>By:</w:t>
            </w:r>
          </w:p>
        </w:tc>
        <w:tc>
          <w:tcPr>
            <w:tcW w:w="38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 Daniel M. Niedzwiecki</w:t>
            </w:r>
          </w:p>
        </w:tc>
        <w:tc>
          <w:tcPr>
            <w:tcW w:w="0" w:type="dxa"/>
            <w:vAlign w:val="bottom"/>
          </w:tcPr>
          <w:p>
            <w:pPr>
              <w:spacing w:after="0"/>
              <w:rPr>
                <w:sz w:val="1"/>
                <w:szCs w:val="1"/>
                <w:color w:val="auto"/>
              </w:rPr>
            </w:pPr>
          </w:p>
        </w:tc>
      </w:tr>
      <w:tr>
        <w:trPr>
          <w:trHeight w:val="88"/>
        </w:trPr>
        <w:tc>
          <w:tcPr>
            <w:tcW w:w="74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Name:</w:t>
            </w:r>
          </w:p>
        </w:tc>
        <w:tc>
          <w:tcPr>
            <w:tcW w:w="386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4"/>
        </w:trPr>
        <w:tc>
          <w:tcPr>
            <w:tcW w:w="740" w:type="dxa"/>
            <w:vAlign w:val="bottom"/>
            <w:vMerge w:val="continue"/>
          </w:tcPr>
          <w:p>
            <w:pPr>
              <w:spacing w:after="0"/>
              <w:rPr>
                <w:sz w:val="20"/>
                <w:szCs w:val="20"/>
                <w:color w:val="auto"/>
              </w:rPr>
            </w:pPr>
          </w:p>
        </w:tc>
        <w:tc>
          <w:tcPr>
            <w:tcW w:w="38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Daniel M. Niedzwiecki</w:t>
            </w:r>
          </w:p>
        </w:tc>
        <w:tc>
          <w:tcPr>
            <w:tcW w:w="0" w:type="dxa"/>
            <w:vAlign w:val="bottom"/>
          </w:tcPr>
          <w:p>
            <w:pPr>
              <w:spacing w:after="0"/>
              <w:rPr>
                <w:sz w:val="1"/>
                <w:szCs w:val="1"/>
                <w:color w:val="auto"/>
              </w:rPr>
            </w:pPr>
          </w:p>
        </w:tc>
      </w:tr>
      <w:tr>
        <w:trPr>
          <w:trHeight w:val="306"/>
        </w:trPr>
        <w:tc>
          <w:tcPr>
            <w:tcW w:w="740" w:type="dxa"/>
            <w:vAlign w:val="bottom"/>
          </w:tcPr>
          <w:p>
            <w:pPr>
              <w:spacing w:after="0"/>
              <w:rPr>
                <w:sz w:val="20"/>
                <w:szCs w:val="20"/>
                <w:color w:val="auto"/>
              </w:rPr>
            </w:pPr>
            <w:r>
              <w:rPr>
                <w:rFonts w:ascii="Times New Roman" w:cs="Times New Roman" w:eastAsia="Times New Roman" w:hAnsi="Times New Roman"/>
                <w:sz w:val="18"/>
                <w:szCs w:val="18"/>
                <w:color w:val="auto"/>
              </w:rPr>
              <w:t>Title:</w:t>
            </w:r>
          </w:p>
        </w:tc>
        <w:tc>
          <w:tcPr>
            <w:tcW w:w="38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Senior Vice President and General Counsel</w:t>
            </w:r>
          </w:p>
        </w:tc>
        <w:tc>
          <w:tcPr>
            <w:tcW w:w="0" w:type="dxa"/>
            <w:vAlign w:val="bottom"/>
          </w:tcPr>
          <w:p>
            <w:pPr>
              <w:spacing w:after="0"/>
              <w:rPr>
                <w:sz w:val="1"/>
                <w:szCs w:val="1"/>
                <w:color w:val="auto"/>
              </w:rPr>
            </w:pPr>
          </w:p>
        </w:tc>
      </w:tr>
    </w:tbl>
    <w:p>
      <w:pPr>
        <w:spacing w:after="0" w:line="29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 February 23, 2023</w:t>
      </w:r>
    </w:p>
    <w:p>
      <w:pPr>
        <w:sectPr>
          <w:pgSz w:w="11900" w:h="16838" w:orient="portrait"/>
          <w:cols w:equalWidth="0" w:num="1">
            <w:col w:w="11240"/>
          </w:cols>
          <w:pgMar w:left="320" w:top="765" w:right="339" w:bottom="1440" w:gutter="0" w:footer="0" w:header="0"/>
        </w:sectPr>
      </w:pPr>
    </w:p>
    <w:bookmarkStart w:id="3" w:name="page4"/>
    <w:bookmarkEnd w:id="3"/>
    <w:p>
      <w:pPr>
        <w:jc w:val="right"/>
        <w:spacing w:after="0"/>
        <w:rPr>
          <w:sz w:val="20"/>
          <w:szCs w:val="20"/>
          <w:color w:val="auto"/>
        </w:rPr>
      </w:pPr>
      <w:r>
        <w:rPr>
          <w:rFonts w:ascii="Times New Roman" w:cs="Times New Roman" w:eastAsia="Times New Roman" w:hAnsi="Times New Roman"/>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13335</wp:posOffset>
            </wp:positionH>
            <wp:positionV relativeFrom="paragraph">
              <wp:posOffset>173990</wp:posOffset>
            </wp:positionV>
            <wp:extent cx="2168525" cy="4883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2168525" cy="4883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Lantheus Reports Fourth Quarter and Full Year 2022 Financial Results</w:t>
      </w:r>
    </w:p>
    <w:p>
      <w:pPr>
        <w:spacing w:after="0" w:line="225" w:lineRule="exact"/>
        <w:rPr>
          <w:sz w:val="20"/>
          <w:szCs w:val="20"/>
          <w:color w:val="auto"/>
        </w:rPr>
      </w:pPr>
    </w:p>
    <w:p>
      <w:pPr>
        <w:ind w:left="660" w:right="200" w:hanging="328"/>
        <w:spacing w:after="0" w:line="286" w:lineRule="auto"/>
        <w:tabs>
          <w:tab w:leader="none" w:pos="655" w:val="left"/>
        </w:tabs>
        <w:numPr>
          <w:ilvl w:val="0"/>
          <w:numId w:val="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Worldwide revenue of $263.2 million and $935.1 million for the fourth quarter and full year 2022, representing increases of 103.1% and 119.9% over the prior year periods, respectively</w:t>
      </w:r>
    </w:p>
    <w:p>
      <w:pPr>
        <w:spacing w:after="0" w:line="154" w:lineRule="exact"/>
        <w:rPr>
          <w:rFonts w:ascii="Times New Roman" w:cs="Times New Roman" w:eastAsia="Times New Roman" w:hAnsi="Times New Roman"/>
          <w:sz w:val="18"/>
          <w:szCs w:val="18"/>
          <w:b w:val="1"/>
          <w:bCs w:val="1"/>
          <w:color w:val="auto"/>
        </w:rPr>
      </w:pPr>
    </w:p>
    <w:p>
      <w:pPr>
        <w:ind w:left="660" w:right="120" w:hanging="328"/>
        <w:spacing w:after="0" w:line="286" w:lineRule="auto"/>
        <w:tabs>
          <w:tab w:leader="none" w:pos="655" w:val="left"/>
        </w:tabs>
        <w:numPr>
          <w:ilvl w:val="0"/>
          <w:numId w:val="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GAAP net loss of $119.2 million and GAAP net income of $28.1 million for the fourth quarter and full year 2022, compared to GAAP net loss of $40.2 million and $71.3 million in the prior year period</w:t>
      </w:r>
    </w:p>
    <w:p>
      <w:pPr>
        <w:spacing w:after="0" w:line="154" w:lineRule="exact"/>
        <w:rPr>
          <w:rFonts w:ascii="Times New Roman" w:cs="Times New Roman" w:eastAsia="Times New Roman" w:hAnsi="Times New Roman"/>
          <w:sz w:val="18"/>
          <w:szCs w:val="18"/>
          <w:b w:val="1"/>
          <w:bCs w:val="1"/>
          <w:color w:val="auto"/>
        </w:rPr>
      </w:pPr>
    </w:p>
    <w:p>
      <w:pPr>
        <w:ind w:left="660" w:right="40" w:hanging="328"/>
        <w:spacing w:after="0" w:line="262" w:lineRule="auto"/>
        <w:tabs>
          <w:tab w:leader="none" w:pos="655" w:val="left"/>
        </w:tabs>
        <w:numPr>
          <w:ilvl w:val="0"/>
          <w:numId w:val="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GAAP fully diluted net loss per share of $1.74 and GAAP fully diluted net income per share of $0.40 for the fourth quarter and full year 2022, compared to GAAP fully diluted net loss per share of $0.59 and $1.06 in the prior year period; adjusted fully diluted net income per share of $1.37 and $4.22 for the fourth quarter and full year 2022, compared to adjusted fully diluted net income per share of $0.25 and $0.49 in the prior year period</w:t>
      </w:r>
    </w:p>
    <w:p>
      <w:pPr>
        <w:spacing w:after="0" w:line="176" w:lineRule="exact"/>
        <w:rPr>
          <w:rFonts w:ascii="Times New Roman" w:cs="Times New Roman" w:eastAsia="Times New Roman" w:hAnsi="Times New Roman"/>
          <w:sz w:val="18"/>
          <w:szCs w:val="18"/>
          <w:b w:val="1"/>
          <w:bCs w:val="1"/>
          <w:color w:val="auto"/>
        </w:rPr>
      </w:pPr>
    </w:p>
    <w:p>
      <w:pPr>
        <w:ind w:left="660" w:right="20" w:hanging="328"/>
        <w:spacing w:after="0" w:line="268" w:lineRule="auto"/>
        <w:tabs>
          <w:tab w:leader="none" w:pos="655" w:val="left"/>
        </w:tabs>
        <w:numPr>
          <w:ilvl w:val="0"/>
          <w:numId w:val="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Net cash provided by operating activities was $105.4 million and $281.8 million for the fourth quarter and full year 2022. Free cash flow of $100.6 million and $263.4 million for the fourth quarter and full year 2022, compared to free cash flow of $9.3 million and $41.8 million for the fourth quarter and full year 2021</w:t>
      </w:r>
    </w:p>
    <w:p>
      <w:pPr>
        <w:spacing w:after="0" w:line="170" w:lineRule="exact"/>
        <w:rPr>
          <w:rFonts w:ascii="Times New Roman" w:cs="Times New Roman" w:eastAsia="Times New Roman" w:hAnsi="Times New Roman"/>
          <w:sz w:val="18"/>
          <w:szCs w:val="18"/>
          <w:b w:val="1"/>
          <w:bCs w:val="1"/>
          <w:color w:val="auto"/>
        </w:rPr>
      </w:pPr>
    </w:p>
    <w:p>
      <w:pPr>
        <w:ind w:left="660" w:hanging="328"/>
        <w:spacing w:after="0"/>
        <w:tabs>
          <w:tab w:leader="none" w:pos="660" w:val="left"/>
        </w:tabs>
        <w:numPr>
          <w:ilvl w:val="0"/>
          <w:numId w:val="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The Company provides first quarter and full year 2023 revenue and adjusted diluted earnings per share guidance</w:t>
      </w:r>
    </w:p>
    <w:p>
      <w:pPr>
        <w:spacing w:after="0" w:line="229" w:lineRule="exact"/>
        <w:rPr>
          <w:sz w:val="20"/>
          <w:szCs w:val="20"/>
          <w:color w:val="auto"/>
        </w:rPr>
      </w:pPr>
    </w:p>
    <w:p>
      <w:pPr>
        <w:ind w:right="440"/>
        <w:spacing w:after="0" w:line="266" w:lineRule="auto"/>
        <w:rPr>
          <w:sz w:val="20"/>
          <w:szCs w:val="20"/>
          <w:color w:val="auto"/>
        </w:rPr>
      </w:pPr>
      <w:r>
        <w:rPr>
          <w:rFonts w:ascii="Times New Roman" w:cs="Times New Roman" w:eastAsia="Times New Roman" w:hAnsi="Times New Roman"/>
          <w:sz w:val="18"/>
          <w:szCs w:val="18"/>
          <w:color w:val="auto"/>
        </w:rPr>
        <w:t>BEDFORD, Mass., Feb. 23, 2023 (GLOBE NEWSWIRE) -- Lantheus Holdings, Inc. (the Company) (NASDAQ: LNTH), a company committed to improving patient outcomes through diagnostics, radiotherapeutics and artificial intelligence solutions that enable clinicians to Find, Fight and Follow disease, today reported financial results for its fourth quarter and full year ended December 31, 2022.</w:t>
      </w:r>
    </w:p>
    <w:p>
      <w:pPr>
        <w:spacing w:after="0" w:line="176" w:lineRule="exact"/>
        <w:rPr>
          <w:sz w:val="20"/>
          <w:szCs w:val="20"/>
          <w:color w:val="auto"/>
        </w:rPr>
      </w:pPr>
    </w:p>
    <w:p>
      <w:pPr>
        <w:ind w:right="160"/>
        <w:spacing w:after="0" w:line="266" w:lineRule="auto"/>
        <w:rPr>
          <w:sz w:val="20"/>
          <w:szCs w:val="20"/>
          <w:color w:val="auto"/>
        </w:rPr>
      </w:pPr>
      <w:r>
        <w:rPr>
          <w:rFonts w:ascii="Times New Roman" w:cs="Times New Roman" w:eastAsia="Times New Roman" w:hAnsi="Times New Roman"/>
          <w:sz w:val="18"/>
          <w:szCs w:val="18"/>
          <w:color w:val="auto"/>
        </w:rPr>
        <w:t>The Company’s worldwide revenue for the fourth quarter of 2022 totaled $263.2 million, compared with $129.6 million for the fourth quarter of 2021, representing an increase of 103.1% over the prior year period. Full year 2022 worldwide revenues were $935.1 million, compared with $425.2 million for the full year 2021, representing an increase of 119.9% over the prior year period.</w:t>
      </w:r>
    </w:p>
    <w:p>
      <w:pPr>
        <w:spacing w:after="0" w:line="176" w:lineRule="exact"/>
        <w:rPr>
          <w:sz w:val="20"/>
          <w:szCs w:val="20"/>
          <w:color w:val="auto"/>
        </w:rPr>
      </w:pPr>
    </w:p>
    <w:p>
      <w:pPr>
        <w:ind w:right="20"/>
        <w:spacing w:after="0" w:line="266" w:lineRule="auto"/>
        <w:rPr>
          <w:sz w:val="20"/>
          <w:szCs w:val="20"/>
          <w:color w:val="auto"/>
        </w:rPr>
      </w:pPr>
      <w:r>
        <w:rPr>
          <w:rFonts w:ascii="Times New Roman" w:cs="Times New Roman" w:eastAsia="Times New Roman" w:hAnsi="Times New Roman"/>
          <w:sz w:val="18"/>
          <w:szCs w:val="18"/>
          <w:color w:val="auto"/>
        </w:rPr>
        <w:t>The Company’s fourth quarter 2022 GAAP net loss was $119.2 million, or $1.74 per fully diluted share, as compared to GAAP net loss of $40.2 million, or $0.59 per fully diluted share for the fourth quarter of 2021. Full year 2022 GAAP net income was $28.1 million, or $0.40 per fully diluted share, as compared to GAAP net loss of $71.3 million, or $1.06 per fully diluted share for the full year 2021.</w:t>
      </w:r>
    </w:p>
    <w:p>
      <w:pPr>
        <w:spacing w:after="0" w:line="176" w:lineRule="exact"/>
        <w:rPr>
          <w:sz w:val="20"/>
          <w:szCs w:val="20"/>
          <w:color w:val="auto"/>
        </w:rPr>
      </w:pPr>
    </w:p>
    <w:p>
      <w:pPr>
        <w:jc w:val="both"/>
        <w:ind w:right="260"/>
        <w:spacing w:after="0" w:line="266" w:lineRule="auto"/>
        <w:rPr>
          <w:sz w:val="20"/>
          <w:szCs w:val="20"/>
          <w:color w:val="auto"/>
        </w:rPr>
      </w:pPr>
      <w:r>
        <w:rPr>
          <w:rFonts w:ascii="Times New Roman" w:cs="Times New Roman" w:eastAsia="Times New Roman" w:hAnsi="Times New Roman"/>
          <w:sz w:val="18"/>
          <w:szCs w:val="18"/>
          <w:color w:val="auto"/>
        </w:rPr>
        <w:t>The Company’s fourth quarter 2022 adjusted fully diluted net income per share, or earnings per share (“EPS”), were $1.37, as compared to $0.25 for the fourth quarter of 2021, representing an increase of approximately $1.12 from the prior year period. The Company’s full year 2022 adjusted fully diluted EPS, were $4.22, as compared to $0.49 for the full year 2021, representing an increase of approximately $3.72 from the prior year period.</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Lastly, net cash provided by operating activities was $105.4 million and $281.8 million for the fourth quarter and full year 2022. Free Cash Flow was</w:t>
      </w:r>
    </w:p>
    <w:p>
      <w:pPr>
        <w:spacing w:after="0" w:line="27" w:lineRule="exact"/>
        <w:rPr>
          <w:sz w:val="20"/>
          <w:szCs w:val="20"/>
          <w:color w:val="auto"/>
        </w:rPr>
      </w:pPr>
    </w:p>
    <w:p>
      <w:pPr>
        <w:jc w:val="both"/>
        <w:ind w:right="200"/>
        <w:spacing w:after="0" w:line="255" w:lineRule="auto"/>
        <w:rPr>
          <w:sz w:val="20"/>
          <w:szCs w:val="20"/>
          <w:color w:val="auto"/>
        </w:rPr>
      </w:pPr>
      <w:r>
        <w:rPr>
          <w:rFonts w:ascii="Times New Roman" w:cs="Times New Roman" w:eastAsia="Times New Roman" w:hAnsi="Times New Roman"/>
          <w:sz w:val="18"/>
          <w:szCs w:val="18"/>
          <w:color w:val="auto"/>
        </w:rPr>
        <w:t>$100.6 million for the fourth quarter of 2022, as compared to $9.3 million for the fourth quarter of 2021, representing an increase of approximately $91.3 million from the prior year period. Full year 2022 free cash flow was $263.4 million, as compared to $41.8 million for the full year 2021, representing an increase of approximately $221.7 million from the prior year period.</w:t>
      </w:r>
    </w:p>
    <w:p>
      <w:pPr>
        <w:spacing w:after="0" w:line="186" w:lineRule="exact"/>
        <w:rPr>
          <w:sz w:val="20"/>
          <w:szCs w:val="20"/>
          <w:color w:val="auto"/>
        </w:rPr>
      </w:pPr>
    </w:p>
    <w:p>
      <w:pPr>
        <w:ind w:right="380"/>
        <w:spacing w:after="0" w:line="261" w:lineRule="auto"/>
        <w:rPr>
          <w:sz w:val="20"/>
          <w:szCs w:val="20"/>
          <w:color w:val="auto"/>
        </w:rPr>
      </w:pPr>
      <w:r>
        <w:rPr>
          <w:rFonts w:ascii="Times New Roman" w:cs="Times New Roman" w:eastAsia="Times New Roman" w:hAnsi="Times New Roman"/>
          <w:sz w:val="18"/>
          <w:szCs w:val="18"/>
          <w:color w:val="auto"/>
        </w:rPr>
        <w:t>“2022 was an outstanding year for Lantheus, led by the success of PYLARIFY and expansion of our Radiopharmaceutical Oncology pipeline. We accelerated our growth, diversified our portfolio, and delivered record revenues and profits which created additional free cash flows,” said Mary Anne Heino, President and Chief Executive Officer of Lantheus. “In 2023, PYLARIFY, the #1 PSMA PET imaging agent and DEFINITY, the #1 ultrasound enhancing agent, will continue to deliver value for our patients, healthcare professionals, employees, and shareholders.”</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Company updates its guidance for the first quarter and full year 2023 is as follows:</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Page 1 of 9</w:t>
      </w:r>
    </w:p>
    <w:p>
      <w:pPr>
        <w:sectPr>
          <w:pgSz w:w="11900" w:h="16838" w:orient="portrait"/>
          <w:cols w:equalWidth="0" w:num="1">
            <w:col w:w="11240"/>
          </w:cols>
          <w:pgMar w:left="320" w:top="657" w:right="339" w:bottom="1440" w:gutter="0" w:footer="0" w:header="0"/>
        </w:sectPr>
      </w:pPr>
    </w:p>
    <w:bookmarkStart w:id="4" w:name="page5"/>
    <w:bookmarkEnd w:id="4"/>
    <w:tbl>
      <w:tblPr>
        <w:tblLayout w:type="fixed"/>
        <w:tblInd w:w="2060" w:type="dxa"/>
        <w:tblCellMar>
          <w:top w:w="0" w:type="dxa"/>
          <w:left w:w="0" w:type="dxa"/>
          <w:bottom w:w="0" w:type="dxa"/>
          <w:right w:w="0" w:type="dxa"/>
        </w:tblCellMar>
      </w:tblPr>
      <w:tr>
        <w:trPr>
          <w:trHeight w:val="245"/>
        </w:trPr>
        <w:tc>
          <w:tcPr>
            <w:tcW w:w="260" w:type="dxa"/>
            <w:vAlign w:val="bottom"/>
            <w:tcBorders>
              <w:bottom w:val="single" w:sz="8" w:color="auto"/>
            </w:tcBorders>
          </w:tcPr>
          <w:p>
            <w:pPr>
              <w:spacing w:after="0"/>
              <w:rPr>
                <w:sz w:val="21"/>
                <w:szCs w:val="21"/>
                <w:color w:val="auto"/>
              </w:rPr>
            </w:pPr>
          </w:p>
        </w:tc>
        <w:tc>
          <w:tcPr>
            <w:tcW w:w="420" w:type="dxa"/>
            <w:vAlign w:val="bottom"/>
            <w:tcBorders>
              <w:bottom w:val="single" w:sz="8" w:color="auto"/>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2340" w:type="dxa"/>
            <w:vAlign w:val="bottom"/>
            <w:tcBorders>
              <w:bottom w:val="single" w:sz="8" w:color="auto"/>
            </w:tcBorders>
          </w:tcPr>
          <w:p>
            <w:pPr>
              <w:spacing w:after="0"/>
              <w:rPr>
                <w:sz w:val="21"/>
                <w:szCs w:val="21"/>
                <w:color w:val="auto"/>
              </w:rPr>
            </w:pPr>
          </w:p>
        </w:tc>
        <w:tc>
          <w:tcPr>
            <w:tcW w:w="220" w:type="dxa"/>
            <w:vAlign w:val="bottom"/>
            <w:tcBorders>
              <w:bottom w:val="single" w:sz="8" w:color="CCEEFF"/>
            </w:tcBorders>
          </w:tcPr>
          <w:p>
            <w:pPr>
              <w:spacing w:after="0"/>
              <w:rPr>
                <w:sz w:val="21"/>
                <w:szCs w:val="21"/>
                <w:color w:val="auto"/>
              </w:rPr>
            </w:pPr>
          </w:p>
        </w:tc>
        <w:tc>
          <w:tcPr>
            <w:tcW w:w="36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Guidance Issued February 23, 2023</w:t>
            </w:r>
          </w:p>
        </w:tc>
      </w:tr>
      <w:tr>
        <w:trPr>
          <w:trHeight w:val="257"/>
        </w:trPr>
        <w:tc>
          <w:tcPr>
            <w:tcW w:w="2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w w:val="99"/>
              </w:rPr>
              <w:t>Q1</w:t>
            </w:r>
          </w:p>
        </w:tc>
        <w:tc>
          <w:tcPr>
            <w:tcW w:w="6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FY 2023</w:t>
            </w:r>
          </w:p>
        </w:tc>
        <w:tc>
          <w:tcPr>
            <w:tcW w:w="256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Revenue</w:t>
            </w:r>
          </w:p>
        </w:tc>
        <w:tc>
          <w:tcPr>
            <w:tcW w:w="362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$280 million - $285 million</w:t>
            </w:r>
          </w:p>
        </w:tc>
      </w:tr>
      <w:tr>
        <w:trPr>
          <w:trHeight w:val="250"/>
        </w:trPr>
        <w:tc>
          <w:tcPr>
            <w:tcW w:w="260" w:type="dxa"/>
            <w:vAlign w:val="bottom"/>
          </w:tcPr>
          <w:p>
            <w:pPr>
              <w:ind w:left="20"/>
              <w:spacing w:after="0"/>
              <w:rPr>
                <w:sz w:val="20"/>
                <w:szCs w:val="20"/>
                <w:color w:val="auto"/>
              </w:rPr>
            </w:pPr>
            <w:r>
              <w:rPr>
                <w:rFonts w:ascii="Times New Roman" w:cs="Times New Roman" w:eastAsia="Times New Roman" w:hAnsi="Times New Roman"/>
                <w:sz w:val="18"/>
                <w:szCs w:val="18"/>
                <w:color w:val="auto"/>
                <w:w w:val="99"/>
              </w:rPr>
              <w:t>Q1</w:t>
            </w:r>
          </w:p>
        </w:tc>
        <w:tc>
          <w:tcPr>
            <w:tcW w:w="68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FY 2023</w:t>
            </w:r>
          </w:p>
        </w:tc>
        <w:tc>
          <w:tcPr>
            <w:tcW w:w="256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Adjusted Fully Diluted EPS</w:t>
            </w:r>
          </w:p>
        </w:tc>
        <w:tc>
          <w:tcPr>
            <w:tcW w:w="362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$1.28 - $1.32</w:t>
            </w:r>
          </w:p>
        </w:tc>
      </w:tr>
      <w:tr>
        <w:trPr>
          <w:trHeight w:val="263"/>
        </w:trPr>
        <w:tc>
          <w:tcPr>
            <w:tcW w:w="260" w:type="dxa"/>
            <w:vAlign w:val="bottom"/>
            <w:shd w:val="clear" w:color="auto" w:fill="CCEEFF"/>
          </w:tcPr>
          <w:p>
            <w:pPr>
              <w:spacing w:after="0"/>
              <w:rPr>
                <w:sz w:val="22"/>
                <w:szCs w:val="22"/>
                <w:color w:val="auto"/>
              </w:rPr>
            </w:pPr>
          </w:p>
        </w:tc>
        <w:tc>
          <w:tcPr>
            <w:tcW w:w="420" w:type="dxa"/>
            <w:vAlign w:val="bottom"/>
            <w:shd w:val="clear" w:color="auto" w:fill="CCEEFF"/>
          </w:tcPr>
          <w:p>
            <w:pPr>
              <w:spacing w:after="0"/>
              <w:rPr>
                <w:sz w:val="22"/>
                <w:szCs w:val="22"/>
                <w:color w:val="auto"/>
              </w:rPr>
            </w:pPr>
          </w:p>
        </w:tc>
        <w:tc>
          <w:tcPr>
            <w:tcW w:w="260" w:type="dxa"/>
            <w:vAlign w:val="bottom"/>
            <w:shd w:val="clear" w:color="auto" w:fill="CCEEFF"/>
          </w:tcPr>
          <w:p>
            <w:pPr>
              <w:spacing w:after="0"/>
              <w:rPr>
                <w:sz w:val="22"/>
                <w:szCs w:val="22"/>
                <w:color w:val="auto"/>
              </w:rPr>
            </w:pPr>
          </w:p>
        </w:tc>
        <w:tc>
          <w:tcPr>
            <w:tcW w:w="234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362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Guidance Issued February 23, 2023</w:t>
            </w:r>
          </w:p>
        </w:tc>
      </w:tr>
      <w:tr>
        <w:trPr>
          <w:trHeight w:val="250"/>
        </w:trPr>
        <w:tc>
          <w:tcPr>
            <w:tcW w:w="68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FY 2023</w:t>
            </w:r>
          </w:p>
        </w:tc>
        <w:tc>
          <w:tcPr>
            <w:tcW w:w="2820" w:type="dxa"/>
            <w:vAlign w:val="bottom"/>
            <w:gridSpan w:val="3"/>
          </w:tcPr>
          <w:p>
            <w:pPr>
              <w:ind w:left="20"/>
              <w:spacing w:after="0"/>
              <w:rPr>
                <w:sz w:val="20"/>
                <w:szCs w:val="20"/>
                <w:color w:val="auto"/>
              </w:rPr>
            </w:pPr>
            <w:r>
              <w:rPr>
                <w:rFonts w:ascii="Times New Roman" w:cs="Times New Roman" w:eastAsia="Times New Roman" w:hAnsi="Times New Roman"/>
                <w:sz w:val="18"/>
                <w:szCs w:val="18"/>
                <w:color w:val="auto"/>
              </w:rPr>
              <w:t>Revenue</w:t>
            </w:r>
          </w:p>
        </w:tc>
        <w:tc>
          <w:tcPr>
            <w:tcW w:w="362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$1.140 billion - $1.160 billion</w:t>
            </w:r>
          </w:p>
        </w:tc>
      </w:tr>
      <w:tr>
        <w:trPr>
          <w:trHeight w:val="263"/>
        </w:trPr>
        <w:tc>
          <w:tcPr>
            <w:tcW w:w="6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FY 2023</w:t>
            </w:r>
          </w:p>
        </w:tc>
        <w:tc>
          <w:tcPr>
            <w:tcW w:w="2820" w:type="dxa"/>
            <w:vAlign w:val="bottom"/>
            <w:gridSpan w:val="3"/>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Adjusted Fully Diluted EPS</w:t>
            </w:r>
          </w:p>
        </w:tc>
        <w:tc>
          <w:tcPr>
            <w:tcW w:w="362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$4.95 - $5.10</w:t>
            </w:r>
          </w:p>
        </w:tc>
      </w:tr>
    </w:tbl>
    <w:p>
      <w:pPr>
        <w:spacing w:after="0" w:line="292" w:lineRule="exact"/>
        <w:rPr>
          <w:sz w:val="20"/>
          <w:szCs w:val="20"/>
          <w:color w:val="auto"/>
        </w:rPr>
      </w:pPr>
    </w:p>
    <w:p>
      <w:pPr>
        <w:ind w:right="120"/>
        <w:spacing w:after="0" w:line="258" w:lineRule="auto"/>
        <w:rPr>
          <w:sz w:val="20"/>
          <w:szCs w:val="20"/>
          <w:color w:val="auto"/>
        </w:rPr>
      </w:pPr>
      <w:r>
        <w:rPr>
          <w:rFonts w:ascii="Times New Roman" w:cs="Times New Roman" w:eastAsia="Times New Roman" w:hAnsi="Times New Roman"/>
          <w:sz w:val="18"/>
          <w:szCs w:val="18"/>
          <w:color w:val="auto"/>
        </w:rPr>
        <w:t>On a forward-looking basis, the Company does not provide GAAP income per common share guidance or a reconciliation of adjusted fully diluted EPS to GAAP income per common share because the Company is unable to predict with reasonable certainty business development and acquisition related expenses, purchase accounting fair value adjustments, and any one-time, non-recurring charges. These items are uncertain, depend on various factors, and could be material to results computed in accordance with GAAP. As a result, it is the Company’s view that a quantitative reconciliation of adjusted fully diluted EPS on a forward-looking basis is not available without unreasonable effort.</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Internet Posting of Information</w:t>
      </w:r>
    </w:p>
    <w:p>
      <w:pPr>
        <w:spacing w:after="0" w:line="229" w:lineRule="exact"/>
        <w:rPr>
          <w:sz w:val="20"/>
          <w:szCs w:val="20"/>
          <w:color w:val="auto"/>
        </w:rPr>
      </w:pPr>
    </w:p>
    <w:p>
      <w:pPr>
        <w:ind w:right="120"/>
        <w:spacing w:after="0" w:line="282" w:lineRule="auto"/>
        <w:rPr>
          <w:sz w:val="20"/>
          <w:szCs w:val="20"/>
          <w:color w:val="auto"/>
        </w:rPr>
      </w:pPr>
      <w:r>
        <w:rPr>
          <w:rFonts w:ascii="Times New Roman" w:cs="Times New Roman" w:eastAsia="Times New Roman" w:hAnsi="Times New Roman"/>
          <w:sz w:val="18"/>
          <w:szCs w:val="18"/>
          <w:color w:val="auto"/>
        </w:rPr>
        <w:t>The Company routinely posts information that may be important to investors in the “Investors” section of its website at www.lantheus.com. The Company encourages investors and potential investors to consult its website regularly for important information about the Company.</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Conference Call and Webcast</w:t>
      </w:r>
    </w:p>
    <w:p>
      <w:pPr>
        <w:spacing w:after="0" w:line="229" w:lineRule="exact"/>
        <w:rPr>
          <w:sz w:val="20"/>
          <w:szCs w:val="20"/>
          <w:color w:val="auto"/>
        </w:rPr>
      </w:pPr>
    </w:p>
    <w:p>
      <w:pPr>
        <w:ind w:right="60"/>
        <w:spacing w:after="0" w:line="282" w:lineRule="auto"/>
        <w:rPr>
          <w:sz w:val="20"/>
          <w:szCs w:val="20"/>
          <w:color w:val="auto"/>
        </w:rPr>
      </w:pPr>
      <w:r>
        <w:rPr>
          <w:rFonts w:ascii="Times New Roman" w:cs="Times New Roman" w:eastAsia="Times New Roman" w:hAnsi="Times New Roman"/>
          <w:sz w:val="18"/>
          <w:szCs w:val="18"/>
          <w:color w:val="auto"/>
        </w:rPr>
        <w:t>As previously announced, the Company will host a conference call and webcast on Thursday, February 23, 2023, at 8:00 a.m. ET. To access the conference call or webcast, participants should register online at https://investor.lantheus.com/news-events/calendar-of-events.</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 replay will be available approximately two hours after completion of the webcast and will be archived on the same web page for at least 30 days.</w:t>
      </w:r>
    </w:p>
    <w:p>
      <w:pPr>
        <w:spacing w:after="0" w:line="225" w:lineRule="exact"/>
        <w:rPr>
          <w:sz w:val="20"/>
          <w:szCs w:val="20"/>
          <w:color w:val="auto"/>
        </w:rPr>
      </w:pPr>
    </w:p>
    <w:p>
      <w:pPr>
        <w:ind w:right="180"/>
        <w:spacing w:after="0" w:line="266" w:lineRule="auto"/>
        <w:rPr>
          <w:sz w:val="20"/>
          <w:szCs w:val="20"/>
          <w:color w:val="auto"/>
        </w:rPr>
      </w:pPr>
      <w:r>
        <w:rPr>
          <w:rFonts w:ascii="Times New Roman" w:cs="Times New Roman" w:eastAsia="Times New Roman" w:hAnsi="Times New Roman"/>
          <w:sz w:val="18"/>
          <w:szCs w:val="18"/>
          <w:color w:val="auto"/>
        </w:rPr>
        <w:t>The conference call will include a discussion of non-GAAP financial measures. Reference is made to the most directly comparable GAAP financial measures, the reconciliation of the differences between the two financial measures, and the other information included in this press release, our Form 8-K filed with the SEC today, or otherwise available in the Investor Relations section of our website located at www.lantheus.com.</w:t>
      </w:r>
    </w:p>
    <w:p>
      <w:pPr>
        <w:spacing w:after="0" w:line="176"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The conference call may include forward-looking statements. See the cautionary information about forward-looking statements in the safe-harbor section of this press release.</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About Lantheus Holdings, Inc.</w:t>
      </w:r>
    </w:p>
    <w:p>
      <w:pPr>
        <w:spacing w:after="0" w:line="229" w:lineRule="exact"/>
        <w:rPr>
          <w:sz w:val="20"/>
          <w:szCs w:val="20"/>
          <w:color w:val="auto"/>
        </w:rPr>
      </w:pPr>
    </w:p>
    <w:p>
      <w:pPr>
        <w:ind w:right="180"/>
        <w:spacing w:after="0" w:line="266" w:lineRule="auto"/>
        <w:rPr>
          <w:sz w:val="20"/>
          <w:szCs w:val="20"/>
          <w:color w:val="auto"/>
        </w:rPr>
      </w:pPr>
      <w:r>
        <w:rPr>
          <w:rFonts w:ascii="Times New Roman" w:cs="Times New Roman" w:eastAsia="Times New Roman" w:hAnsi="Times New Roman"/>
          <w:sz w:val="18"/>
          <w:szCs w:val="18"/>
          <w:color w:val="auto"/>
        </w:rPr>
        <w:t>With more than 65 years of experience in delivering life-changing science, Lantheus is committed to improving patient outcomes through diagnostics, radiotherapeutics and artificial intelligence solutions that enable clinicians to Find, Fight and Follow disease. Lantheus is headquartered in Massachusetts and has offices in New Jersey, Canada and Sweden. For more information, visit www.lantheus.com.</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Non-GAAP Financial Measures</w:t>
      </w:r>
    </w:p>
    <w:p>
      <w:pPr>
        <w:spacing w:after="0" w:line="229" w:lineRule="exact"/>
        <w:rPr>
          <w:sz w:val="20"/>
          <w:szCs w:val="20"/>
          <w:color w:val="auto"/>
        </w:rPr>
      </w:pPr>
    </w:p>
    <w:p>
      <w:pPr>
        <w:ind w:right="20"/>
        <w:spacing w:after="0" w:line="255" w:lineRule="auto"/>
        <w:rPr>
          <w:sz w:val="20"/>
          <w:szCs w:val="20"/>
          <w:color w:val="auto"/>
        </w:rPr>
      </w:pPr>
      <w:r>
        <w:rPr>
          <w:rFonts w:ascii="Times New Roman" w:cs="Times New Roman" w:eastAsia="Times New Roman" w:hAnsi="Times New Roman"/>
          <w:sz w:val="18"/>
          <w:szCs w:val="18"/>
          <w:color w:val="auto"/>
        </w:rPr>
        <w:t>The Company uses non-GAAP financial measures, such as adjusted net income and its line components; adjusted net income per share - fully diluted; and free cash flow. The Company’s management believes that the presentation of these measures provides useful information to investors. These measures may assist investors in evaluating the Company’s operations, period over period. However, these measures may exclude items that may be highly variable, difficult to predict and of a size that could have a substantial impact on the Company’s reported results of operations for a particular period. Management uses these and other non-GAAP measures internally for evaluation of the performance of the business, including the allocation of resources and the evaluation of results relative to employee performance compensation targets. Investors should consider these non-GAAP measures only as a supplement to, not as a substitute for or as superior to, measures of financial performance prepared in accordance with GAAP.</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Safe Harbor for Forward-Looking and Cautionary Statements</w:t>
      </w:r>
    </w:p>
    <w:p>
      <w:pPr>
        <w:spacing w:after="0" w:line="281" w:lineRule="exact"/>
        <w:rPr>
          <w:sz w:val="20"/>
          <w:szCs w:val="20"/>
          <w:color w:val="auto"/>
        </w:rPr>
      </w:pPr>
    </w:p>
    <w:p>
      <w:pPr>
        <w:ind w:right="40"/>
        <w:spacing w:after="0" w:line="255" w:lineRule="auto"/>
        <w:rPr>
          <w:sz w:val="20"/>
          <w:szCs w:val="20"/>
          <w:color w:val="auto"/>
        </w:rPr>
      </w:pPr>
      <w:r>
        <w:rPr>
          <w:rFonts w:ascii="Times New Roman" w:cs="Times New Roman" w:eastAsia="Times New Roman" w:hAnsi="Times New Roman"/>
          <w:sz w:val="18"/>
          <w:szCs w:val="18"/>
          <w:i w:val="1"/>
          <w:iCs w:val="1"/>
          <w:color w:val="auto"/>
        </w:rPr>
        <w:t>This press release contains forward-looking statements within the meaning of the Private Securities Litigation Reform Act of 1995, as amended, that are subject to risks and uncertainties and are made pursuant to the safe harbor provisions of Section 27A of the Securities Act of 1933, as amended, and Section 21E of the Securities Exchange Act of 1934, as amended. Forward-looking statements may be identified by their use of terms such as “anticipate,” “believe,” “confident,” “continue,” “could,” “estimate,” “expect,” “guidance,” “intend,” “introduce,” “may,” “momentum,” “plan,” “predict,” “progress,” “project,” “promising,” “should,” “target,” “will,” “would” and other similar terms. Such forward-looking statements are based upon current plans, estimates and expectations that are subject to risks and uncertainties that could cause actual results to materially differ from those described in the forward-looking statements. The inclusion of forward-looking statements should not be regarded as a representation that such plans, estimates and expectations will be achieved. Readers are cautioned not to place</w:t>
      </w:r>
    </w:p>
    <w:p>
      <w:pPr>
        <w:spacing w:after="0" w:line="7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Page 2 of 9</w:t>
      </w:r>
    </w:p>
    <w:p>
      <w:pPr>
        <w:sectPr>
          <w:pgSz w:w="11900" w:h="16838" w:orient="portrait"/>
          <w:cols w:equalWidth="0" w:num="1">
            <w:col w:w="11240"/>
          </w:cols>
          <w:pgMar w:left="320" w:top="927" w:right="339" w:bottom="1440" w:gutter="0" w:footer="0" w:header="0"/>
        </w:sectPr>
      </w:pPr>
    </w:p>
    <w:bookmarkStart w:id="5" w:name="page6"/>
    <w:bookmarkEnd w:id="5"/>
    <w:p>
      <w:pPr>
        <w:spacing w:after="0" w:line="271" w:lineRule="auto"/>
        <w:rPr>
          <w:sz w:val="20"/>
          <w:szCs w:val="20"/>
          <w:color w:val="auto"/>
        </w:rPr>
      </w:pPr>
      <w:r>
        <w:rPr>
          <w:rFonts w:ascii="Times New Roman" w:cs="Times New Roman" w:eastAsia="Times New Roman" w:hAnsi="Times New Roman"/>
          <w:sz w:val="17"/>
          <w:szCs w:val="17"/>
          <w:i w:val="1"/>
          <w:iCs w:val="1"/>
          <w:color w:val="auto"/>
        </w:rPr>
        <w:t>undue reliance on the forward-looking statements contained herein, which speak only as of the date hereof. The Company undertakes no obligation to publicly update any forward-looking statement, whether as a result of new information, future developments or otherwise, except as may be required by law. Risks and uncertainties that could cause our actual results to materially differ from those described in the forward-looking statements include: (i) continued market expansion and penetration for our established commercial products, particularly PYLARIFY and DEFINITY, in the face of competition;</w:t>
      </w:r>
    </w:p>
    <w:p>
      <w:pPr>
        <w:spacing w:after="0" w:line="1" w:lineRule="exact"/>
        <w:rPr>
          <w:sz w:val="20"/>
          <w:szCs w:val="20"/>
          <w:color w:val="auto"/>
        </w:rPr>
      </w:pPr>
    </w:p>
    <w:p>
      <w:pPr>
        <w:ind w:right="20" w:firstLine="8"/>
        <w:spacing w:after="0" w:line="251" w:lineRule="auto"/>
        <w:tabs>
          <w:tab w:leader="none" w:pos="265" w:val="left"/>
        </w:tabs>
        <w:numPr>
          <w:ilvl w:val="0"/>
          <w:numId w:val="4"/>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our ability to have third parties manufacture our products and our ability to manufacture DEFINITY in our in-house manufacturing facility; (iii) the global availability of Molybdenum-99 (“Mo-99”) and other raw material and key components; (iv) the efforts and timing for clinical development, regulatory approval and successful commercialization of our product candidates and new clinical applications and territories for our products, in each case, that we or our strategic partners may undertake(v) our strategies, future prospects, and our projected growth, including revenue related to our collaboration agreements with POINT Biopharma Global Inc. (vi) our ability to identify and acquire or in-license additional diagnostic and therapeutic product opportunities in oncology and other strategic areas; (vii) the continuing impact of the global COVID-19 pandemic on our business, supply chain, financial conditions and prospects; and (viii) the risk and uncertainties discussed in our filings with the Securities and Exchange Commission (including those described in the Risk Factors section in our Annual Reports on Form 10-K and our Quarterly Reports on Form 10-Q).</w:t>
      </w:r>
    </w:p>
    <w:p>
      <w:pPr>
        <w:spacing w:after="0" w:line="194"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 Tables Follow -</w:t>
      </w:r>
    </w:p>
    <w:p>
      <w:pPr>
        <w:spacing w:after="0" w:line="117"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Page 3 of 9</w:t>
      </w:r>
    </w:p>
    <w:p>
      <w:pPr>
        <w:sectPr>
          <w:pgSz w:w="11900" w:h="16838" w:orient="portrait"/>
          <w:cols w:equalWidth="0" w:num="1">
            <w:col w:w="11100"/>
          </w:cols>
          <w:pgMar w:left="320" w:top="929" w:right="479" w:bottom="1440" w:gutter="0" w:footer="0" w:header="0"/>
        </w:sectPr>
      </w:pPr>
    </w:p>
    <w:bookmarkStart w:id="6" w:name="page7"/>
    <w:bookmarkEnd w:id="6"/>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t>Lantheus Holdings, Inc.</w:t>
      </w:r>
    </w:p>
    <w:p>
      <w:pPr>
        <w:spacing w:after="0" w:line="63"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t>Consolidated Statements of Operations</w:t>
      </w:r>
    </w:p>
    <w:p>
      <w:pPr>
        <w:spacing w:after="0" w:line="67"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(in thousands, except per share data – unaudited)</w:t>
      </w: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9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280" w:type="dxa"/>
            <w:vAlign w:val="bottom"/>
            <w:gridSpan w:val="5"/>
          </w:tcPr>
          <w:p>
            <w:pPr>
              <w:ind w:left="280"/>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260" w:type="dxa"/>
            <w:vAlign w:val="bottom"/>
          </w:tcPr>
          <w:p>
            <w:pPr>
              <w:spacing w:after="0"/>
              <w:rPr>
                <w:sz w:val="13"/>
                <w:szCs w:val="13"/>
                <w:color w:val="auto"/>
              </w:rPr>
            </w:pPr>
          </w:p>
        </w:tc>
        <w:tc>
          <w:tcPr>
            <w:tcW w:w="1420" w:type="dxa"/>
            <w:vAlign w:val="bottom"/>
            <w:gridSpan w:val="3"/>
          </w:tcPr>
          <w:p>
            <w:pPr>
              <w:jc w:val="right"/>
              <w:ind w:right="30"/>
              <w:spacing w:after="0"/>
              <w:rPr>
                <w:sz w:val="20"/>
                <w:szCs w:val="20"/>
                <w:color w:val="auto"/>
              </w:rPr>
            </w:pPr>
            <w:r>
              <w:rPr>
                <w:rFonts w:ascii="Times New Roman" w:cs="Times New Roman" w:eastAsia="Times New Roman" w:hAnsi="Times New Roman"/>
                <w:sz w:val="14"/>
                <w:szCs w:val="14"/>
                <w:b w:val="1"/>
                <w:bCs w:val="1"/>
                <w:color w:val="auto"/>
              </w:rPr>
              <w:t>Year Ended</w:t>
            </w:r>
          </w:p>
        </w:tc>
        <w:tc>
          <w:tcPr>
            <w:tcW w:w="7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5"/>
        </w:trPr>
        <w:tc>
          <w:tcPr>
            <w:tcW w:w="494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42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7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42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7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95"/>
        </w:trPr>
        <w:tc>
          <w:tcPr>
            <w:tcW w:w="494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2022</w:t>
            </w:r>
          </w:p>
        </w:tc>
        <w:tc>
          <w:tcPr>
            <w:tcW w:w="100" w:type="dxa"/>
            <w:vAlign w:val="bottom"/>
            <w:tcBorders>
              <w:bottom w:val="single" w:sz="8" w:color="CCEEFF"/>
            </w:tcBorders>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jc w:val="right"/>
              <w:ind w:right="351"/>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2022</w:t>
            </w:r>
          </w:p>
        </w:tc>
        <w:tc>
          <w:tcPr>
            <w:tcW w:w="100" w:type="dxa"/>
            <w:vAlign w:val="bottom"/>
            <w:tcBorders>
              <w:bottom w:val="single" w:sz="8" w:color="CCEEFF"/>
            </w:tcBorders>
          </w:tcPr>
          <w:p>
            <w:pPr>
              <w:spacing w:after="0"/>
              <w:rPr>
                <w:sz w:val="16"/>
                <w:szCs w:val="16"/>
                <w:color w:val="auto"/>
              </w:rPr>
            </w:pPr>
          </w:p>
        </w:tc>
        <w:tc>
          <w:tcPr>
            <w:tcW w:w="4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jc w:val="right"/>
              <w:ind w:right="371"/>
              <w:spacing w:after="0"/>
              <w:rPr>
                <w:sz w:val="20"/>
                <w:szCs w:val="20"/>
                <w:color w:val="auto"/>
              </w:rPr>
            </w:pPr>
            <w:r>
              <w:rPr>
                <w:rFonts w:ascii="Times New Roman" w:cs="Times New Roman" w:eastAsia="Times New Roman" w:hAnsi="Times New Roman"/>
                <w:sz w:val="14"/>
                <w:szCs w:val="14"/>
                <w:b w:val="1"/>
                <w:bCs w:val="1"/>
                <w:color w:val="auto"/>
              </w:rPr>
              <w:t>2021</w:t>
            </w:r>
          </w:p>
        </w:tc>
        <w:tc>
          <w:tcPr>
            <w:tcW w:w="0" w:type="dxa"/>
            <w:vAlign w:val="bottom"/>
          </w:tcPr>
          <w:p>
            <w:pPr>
              <w:spacing w:after="0"/>
              <w:rPr>
                <w:sz w:val="1"/>
                <w:szCs w:val="1"/>
                <w:color w:val="auto"/>
              </w:rPr>
            </w:pPr>
          </w:p>
        </w:tc>
      </w:tr>
      <w:tr>
        <w:trPr>
          <w:trHeight w:val="229"/>
        </w:trPr>
        <w:tc>
          <w:tcPr>
            <w:tcW w:w="49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Revenues</w:t>
            </w:r>
          </w:p>
        </w:tc>
        <w:tc>
          <w:tcPr>
            <w:tcW w:w="26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263,166</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129,562</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935,061</w:t>
            </w:r>
          </w:p>
        </w:tc>
        <w:tc>
          <w:tcPr>
            <w:tcW w:w="100" w:type="dxa"/>
            <w:vAlign w:val="bottom"/>
            <w:shd w:val="clear" w:color="auto" w:fill="CCEEFF"/>
          </w:tcPr>
          <w:p>
            <w:pPr>
              <w:spacing w:after="0"/>
              <w:rPr>
                <w:sz w:val="19"/>
                <w:szCs w:val="19"/>
                <w:color w:val="auto"/>
              </w:rPr>
            </w:pPr>
          </w:p>
        </w:tc>
        <w:tc>
          <w:tcPr>
            <w:tcW w:w="420" w:type="dxa"/>
            <w:vAlign w:val="bottom"/>
            <w:shd w:val="clear" w:color="auto" w:fill="CCEEFF"/>
          </w:tcPr>
          <w:p>
            <w:pPr>
              <w:jc w:val="right"/>
              <w:ind w:right="23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425,208</w:t>
            </w:r>
          </w:p>
        </w:tc>
        <w:tc>
          <w:tcPr>
            <w:tcW w:w="0" w:type="dxa"/>
            <w:vAlign w:val="bottom"/>
          </w:tcPr>
          <w:p>
            <w:pPr>
              <w:spacing w:after="0"/>
              <w:rPr>
                <w:sz w:val="1"/>
                <w:szCs w:val="1"/>
                <w:color w:val="auto"/>
              </w:rPr>
            </w:pPr>
          </w:p>
        </w:tc>
      </w:tr>
      <w:tr>
        <w:trPr>
          <w:trHeight w:val="229"/>
        </w:trPr>
        <w:tc>
          <w:tcPr>
            <w:tcW w:w="4940" w:type="dxa"/>
            <w:vAlign w:val="bottom"/>
            <w:tcBorders>
              <w:bottom w:val="single" w:sz="8" w:color="CCEEFF"/>
            </w:tcBorders>
          </w:tcPr>
          <w:p>
            <w:pPr>
              <w:spacing w:after="0"/>
              <w:rPr>
                <w:sz w:val="20"/>
                <w:szCs w:val="20"/>
                <w:color w:val="auto"/>
              </w:rPr>
            </w:pPr>
            <w:r>
              <w:rPr>
                <w:rFonts w:ascii="Times New Roman" w:cs="Times New Roman" w:eastAsia="Times New Roman" w:hAnsi="Times New Roman"/>
                <w:sz w:val="18"/>
                <w:szCs w:val="18"/>
                <w:color w:val="auto"/>
              </w:rPr>
              <w:t>Cost of goods sold</w:t>
            </w:r>
          </w:p>
        </w:tc>
        <w:tc>
          <w:tcPr>
            <w:tcW w:w="26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95,995</w:t>
            </w:r>
          </w:p>
        </w:tc>
        <w:tc>
          <w:tcPr>
            <w:tcW w:w="10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71,654</w:t>
            </w:r>
          </w:p>
        </w:tc>
        <w:tc>
          <w:tcPr>
            <w:tcW w:w="10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353,358</w:t>
            </w:r>
          </w:p>
        </w:tc>
        <w:tc>
          <w:tcPr>
            <w:tcW w:w="100" w:type="dxa"/>
            <w:vAlign w:val="bottom"/>
            <w:tcBorders>
              <w:bottom w:val="single" w:sz="8" w:color="CCEEFF"/>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237,513</w:t>
            </w:r>
          </w:p>
        </w:tc>
        <w:tc>
          <w:tcPr>
            <w:tcW w:w="0" w:type="dxa"/>
            <w:vAlign w:val="bottom"/>
          </w:tcPr>
          <w:p>
            <w:pPr>
              <w:spacing w:after="0"/>
              <w:rPr>
                <w:sz w:val="1"/>
                <w:szCs w:val="1"/>
                <w:color w:val="auto"/>
              </w:rPr>
            </w:pPr>
          </w:p>
        </w:tc>
      </w:tr>
      <w:tr>
        <w:trPr>
          <w:trHeight w:val="223"/>
        </w:trPr>
        <w:tc>
          <w:tcPr>
            <w:tcW w:w="4940" w:type="dxa"/>
            <w:vAlign w:val="bottom"/>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Gross profit</w:t>
            </w:r>
          </w:p>
        </w:tc>
        <w:tc>
          <w:tcPr>
            <w:tcW w:w="26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167,171</w:t>
            </w:r>
          </w:p>
        </w:tc>
        <w:tc>
          <w:tcPr>
            <w:tcW w:w="100" w:type="dxa"/>
            <w:vAlign w:val="bottom"/>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spacing w:after="0"/>
              <w:rPr>
                <w:sz w:val="19"/>
                <w:szCs w:val="19"/>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57,908</w:t>
            </w:r>
          </w:p>
        </w:tc>
        <w:tc>
          <w:tcPr>
            <w:tcW w:w="100" w:type="dxa"/>
            <w:vAlign w:val="bottom"/>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581,703</w:t>
            </w:r>
          </w:p>
        </w:tc>
        <w:tc>
          <w:tcPr>
            <w:tcW w:w="100" w:type="dxa"/>
            <w:vAlign w:val="bottom"/>
            <w:shd w:val="clear" w:color="auto" w:fill="CCEEFF"/>
          </w:tcPr>
          <w:p>
            <w:pPr>
              <w:spacing w:after="0"/>
              <w:rPr>
                <w:sz w:val="19"/>
                <w:szCs w:val="19"/>
                <w:color w:val="auto"/>
              </w:rPr>
            </w:pPr>
          </w:p>
        </w:tc>
        <w:tc>
          <w:tcPr>
            <w:tcW w:w="420" w:type="dxa"/>
            <w:vAlign w:val="bottom"/>
            <w:tcBorders>
              <w:bottom w:val="single" w:sz="8" w:color="auto"/>
            </w:tcBorders>
            <w:shd w:val="clear" w:color="auto" w:fill="CCEEFF"/>
          </w:tcPr>
          <w:p>
            <w:pPr>
              <w:spacing w:after="0"/>
              <w:rPr>
                <w:sz w:val="19"/>
                <w:szCs w:val="19"/>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187,695</w:t>
            </w:r>
          </w:p>
        </w:tc>
        <w:tc>
          <w:tcPr>
            <w:tcW w:w="0" w:type="dxa"/>
            <w:vAlign w:val="bottom"/>
          </w:tcPr>
          <w:p>
            <w:pPr>
              <w:spacing w:after="0"/>
              <w:rPr>
                <w:sz w:val="1"/>
                <w:szCs w:val="1"/>
                <w:color w:val="auto"/>
              </w:rPr>
            </w:pPr>
          </w:p>
        </w:tc>
      </w:tr>
      <w:tr>
        <w:trPr>
          <w:trHeight w:val="209"/>
        </w:trPr>
        <w:tc>
          <w:tcPr>
            <w:tcW w:w="4940" w:type="dxa"/>
            <w:vAlign w:val="bottom"/>
          </w:tcPr>
          <w:p>
            <w:pPr>
              <w:spacing w:after="0"/>
              <w:rPr>
                <w:sz w:val="20"/>
                <w:szCs w:val="20"/>
                <w:color w:val="auto"/>
              </w:rPr>
            </w:pPr>
            <w:r>
              <w:rPr>
                <w:rFonts w:ascii="Times New Roman" w:cs="Times New Roman" w:eastAsia="Times New Roman" w:hAnsi="Times New Roman"/>
                <w:sz w:val="18"/>
                <w:szCs w:val="18"/>
                <w:color w:val="auto"/>
              </w:rPr>
              <w:t>Operating expenses</w:t>
            </w:r>
          </w:p>
        </w:tc>
        <w:tc>
          <w:tcPr>
            <w:tcW w:w="2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4940" w:type="dxa"/>
            <w:vAlign w:val="bottom"/>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Sales and marketing</w:t>
            </w:r>
          </w:p>
        </w:tc>
        <w:tc>
          <w:tcPr>
            <w:tcW w:w="26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26,983</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19,423</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100,243</w:t>
            </w:r>
          </w:p>
        </w:tc>
        <w:tc>
          <w:tcPr>
            <w:tcW w:w="10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68,422</w:t>
            </w:r>
          </w:p>
        </w:tc>
        <w:tc>
          <w:tcPr>
            <w:tcW w:w="0" w:type="dxa"/>
            <w:vAlign w:val="bottom"/>
          </w:tcPr>
          <w:p>
            <w:pPr>
              <w:spacing w:after="0"/>
              <w:rPr>
                <w:sz w:val="1"/>
                <w:szCs w:val="1"/>
                <w:color w:val="auto"/>
              </w:rPr>
            </w:pPr>
          </w:p>
        </w:tc>
      </w:tr>
      <w:tr>
        <w:trPr>
          <w:trHeight w:val="230"/>
        </w:trPr>
        <w:tc>
          <w:tcPr>
            <w:tcW w:w="494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General and administrative</w:t>
            </w:r>
          </w:p>
        </w:tc>
        <w:tc>
          <w:tcPr>
            <w:tcW w:w="26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39,639</w:t>
            </w: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62,530</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133,584</w:t>
            </w:r>
          </w:p>
        </w:tc>
        <w:tc>
          <w:tcPr>
            <w:tcW w:w="1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150,395</w:t>
            </w:r>
          </w:p>
        </w:tc>
        <w:tc>
          <w:tcPr>
            <w:tcW w:w="0" w:type="dxa"/>
            <w:vAlign w:val="bottom"/>
          </w:tcPr>
          <w:p>
            <w:pPr>
              <w:spacing w:after="0"/>
              <w:rPr>
                <w:sz w:val="1"/>
                <w:szCs w:val="1"/>
                <w:color w:val="auto"/>
              </w:rPr>
            </w:pPr>
          </w:p>
        </w:tc>
      </w:tr>
      <w:tr>
        <w:trPr>
          <w:trHeight w:val="229"/>
        </w:trPr>
        <w:tc>
          <w:tcPr>
            <w:tcW w:w="4940" w:type="dxa"/>
            <w:vAlign w:val="bottom"/>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Research and development</w:t>
            </w:r>
          </w:p>
        </w:tc>
        <w:tc>
          <w:tcPr>
            <w:tcW w:w="26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272,226</w:t>
            </w:r>
          </w:p>
        </w:tc>
        <w:tc>
          <w:tcPr>
            <w:tcW w:w="100" w:type="dxa"/>
            <w:vAlign w:val="bottom"/>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spacing w:after="0"/>
              <w:rPr>
                <w:sz w:val="19"/>
                <w:szCs w:val="19"/>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11,293</w:t>
            </w:r>
          </w:p>
        </w:tc>
        <w:tc>
          <w:tcPr>
            <w:tcW w:w="100" w:type="dxa"/>
            <w:vAlign w:val="bottom"/>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311,681</w:t>
            </w:r>
          </w:p>
        </w:tc>
        <w:tc>
          <w:tcPr>
            <w:tcW w:w="100" w:type="dxa"/>
            <w:vAlign w:val="bottom"/>
            <w:shd w:val="clear" w:color="auto" w:fill="CCEEFF"/>
          </w:tcPr>
          <w:p>
            <w:pPr>
              <w:spacing w:after="0"/>
              <w:rPr>
                <w:sz w:val="19"/>
                <w:szCs w:val="19"/>
                <w:color w:val="auto"/>
              </w:rPr>
            </w:pPr>
          </w:p>
        </w:tc>
        <w:tc>
          <w:tcPr>
            <w:tcW w:w="420" w:type="dxa"/>
            <w:vAlign w:val="bottom"/>
            <w:tcBorders>
              <w:bottom w:val="single" w:sz="8" w:color="auto"/>
            </w:tcBorders>
            <w:shd w:val="clear" w:color="auto" w:fill="CCEEFF"/>
          </w:tcPr>
          <w:p>
            <w:pPr>
              <w:spacing w:after="0"/>
              <w:rPr>
                <w:sz w:val="19"/>
                <w:szCs w:val="19"/>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44,966</w:t>
            </w:r>
          </w:p>
        </w:tc>
        <w:tc>
          <w:tcPr>
            <w:tcW w:w="0" w:type="dxa"/>
            <w:vAlign w:val="bottom"/>
          </w:tcPr>
          <w:p>
            <w:pPr>
              <w:spacing w:after="0"/>
              <w:rPr>
                <w:sz w:val="1"/>
                <w:szCs w:val="1"/>
                <w:color w:val="auto"/>
              </w:rPr>
            </w:pPr>
          </w:p>
        </w:tc>
      </w:tr>
      <w:tr>
        <w:trPr>
          <w:trHeight w:val="223"/>
        </w:trPr>
        <w:tc>
          <w:tcPr>
            <w:tcW w:w="494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Total operating expenses</w:t>
            </w:r>
          </w:p>
        </w:tc>
        <w:tc>
          <w:tcPr>
            <w:tcW w:w="26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338,848</w:t>
            </w: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93,246</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545,508</w:t>
            </w:r>
          </w:p>
        </w:tc>
        <w:tc>
          <w:tcPr>
            <w:tcW w:w="1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263,783</w:t>
            </w:r>
          </w:p>
        </w:tc>
        <w:tc>
          <w:tcPr>
            <w:tcW w:w="0" w:type="dxa"/>
            <w:vAlign w:val="bottom"/>
          </w:tcPr>
          <w:p>
            <w:pPr>
              <w:spacing w:after="0"/>
              <w:rPr>
                <w:sz w:val="1"/>
                <w:szCs w:val="1"/>
                <w:color w:val="auto"/>
              </w:rPr>
            </w:pPr>
          </w:p>
        </w:tc>
      </w:tr>
      <w:tr>
        <w:trPr>
          <w:trHeight w:val="229"/>
        </w:trPr>
        <w:tc>
          <w:tcPr>
            <w:tcW w:w="4940" w:type="dxa"/>
            <w:vAlign w:val="bottom"/>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Gain on sale of assets</w:t>
            </w:r>
          </w:p>
        </w:tc>
        <w:tc>
          <w:tcPr>
            <w:tcW w:w="260" w:type="dxa"/>
            <w:vAlign w:val="bottom"/>
            <w:shd w:val="clear" w:color="auto" w:fill="CCEEFF"/>
          </w:tcPr>
          <w:p>
            <w:pPr>
              <w:spacing w:after="0"/>
              <w:rPr>
                <w:sz w:val="19"/>
                <w:szCs w:val="19"/>
                <w:color w:val="auto"/>
              </w:rPr>
            </w:pPr>
          </w:p>
        </w:tc>
        <w:tc>
          <w:tcPr>
            <w:tcW w:w="10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shd w:val="clear" w:color="auto" w:fill="CCEEFF"/>
          </w:tcPr>
          <w:p>
            <w:pPr>
              <w:spacing w:after="0"/>
              <w:rPr>
                <w:sz w:val="19"/>
                <w:szCs w:val="19"/>
                <w:color w:val="auto"/>
              </w:rPr>
            </w:pPr>
          </w:p>
        </w:tc>
        <w:tc>
          <w:tcPr>
            <w:tcW w:w="8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shd w:val="clear" w:color="auto" w:fill="CCEEFF"/>
          </w:tcPr>
          <w:p>
            <w:pPr>
              <w:spacing w:after="0"/>
              <w:rPr>
                <w:sz w:val="19"/>
                <w:szCs w:val="19"/>
                <w:color w:val="auto"/>
              </w:rPr>
            </w:pPr>
          </w:p>
        </w:tc>
        <w:tc>
          <w:tcPr>
            <w:tcW w:w="10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15,263</w:t>
            </w:r>
          </w:p>
        </w:tc>
        <w:tc>
          <w:tcPr>
            <w:tcW w:w="0" w:type="dxa"/>
            <w:vAlign w:val="bottom"/>
          </w:tcPr>
          <w:p>
            <w:pPr>
              <w:spacing w:after="0"/>
              <w:rPr>
                <w:sz w:val="1"/>
                <w:szCs w:val="1"/>
                <w:color w:val="auto"/>
              </w:rPr>
            </w:pPr>
          </w:p>
        </w:tc>
      </w:tr>
      <w:tr>
        <w:trPr>
          <w:trHeight w:val="223"/>
        </w:trPr>
        <w:tc>
          <w:tcPr>
            <w:tcW w:w="494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Operating (loss) income</w:t>
            </w:r>
          </w:p>
        </w:tc>
        <w:tc>
          <w:tcPr>
            <w:tcW w:w="260" w:type="dxa"/>
            <w:vAlign w:val="bottom"/>
            <w:tcBorders>
              <w:top w:val="single" w:sz="8" w:color="auto"/>
            </w:tcBorders>
          </w:tcPr>
          <w:p>
            <w:pPr>
              <w:spacing w:after="0"/>
              <w:rPr>
                <w:sz w:val="19"/>
                <w:szCs w:val="19"/>
                <w:color w:val="auto"/>
              </w:rPr>
            </w:pPr>
          </w:p>
        </w:tc>
        <w:tc>
          <w:tcPr>
            <w:tcW w:w="9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(171,677)</w:t>
            </w:r>
          </w:p>
        </w:tc>
        <w:tc>
          <w:tcPr>
            <w:tcW w:w="100" w:type="dxa"/>
            <w:vAlign w:val="bottom"/>
          </w:tcPr>
          <w:p>
            <w:pPr>
              <w:spacing w:after="0"/>
              <w:rPr>
                <w:sz w:val="19"/>
                <w:szCs w:val="19"/>
                <w:color w:val="auto"/>
              </w:rPr>
            </w:pPr>
          </w:p>
        </w:tc>
        <w:tc>
          <w:tcPr>
            <w:tcW w:w="400" w:type="dxa"/>
            <w:vAlign w:val="bottom"/>
            <w:tcBorders>
              <w:top w:val="single" w:sz="8" w:color="auto"/>
            </w:tcBorders>
          </w:tcPr>
          <w:p>
            <w:pPr>
              <w:spacing w:after="0"/>
              <w:rPr>
                <w:sz w:val="19"/>
                <w:szCs w:val="19"/>
                <w:color w:val="auto"/>
              </w:rPr>
            </w:pPr>
          </w:p>
        </w:tc>
        <w:tc>
          <w:tcPr>
            <w:tcW w:w="7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(35,338)</w:t>
            </w:r>
          </w:p>
        </w:tc>
        <w:tc>
          <w:tcPr>
            <w:tcW w:w="100" w:type="dxa"/>
            <w:vAlign w:val="bottom"/>
          </w:tcPr>
          <w:p>
            <w:pPr>
              <w:spacing w:after="0"/>
              <w:rPr>
                <w:sz w:val="19"/>
                <w:szCs w:val="19"/>
                <w:color w:val="auto"/>
              </w:rPr>
            </w:pPr>
          </w:p>
        </w:tc>
        <w:tc>
          <w:tcPr>
            <w:tcW w:w="260" w:type="dxa"/>
            <w:vAlign w:val="bottom"/>
            <w:tcBorders>
              <w:top w:val="single" w:sz="8" w:color="auto"/>
            </w:tcBorders>
          </w:tcPr>
          <w:p>
            <w:pPr>
              <w:spacing w:after="0"/>
              <w:rPr>
                <w:sz w:val="19"/>
                <w:szCs w:val="19"/>
                <w:color w:val="auto"/>
              </w:rPr>
            </w:pPr>
          </w:p>
        </w:tc>
        <w:tc>
          <w:tcPr>
            <w:tcW w:w="9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36,195</w:t>
            </w:r>
          </w:p>
        </w:tc>
        <w:tc>
          <w:tcPr>
            <w:tcW w:w="100" w:type="dxa"/>
            <w:vAlign w:val="bottom"/>
          </w:tcPr>
          <w:p>
            <w:pPr>
              <w:spacing w:after="0"/>
              <w:rPr>
                <w:sz w:val="19"/>
                <w:szCs w:val="19"/>
                <w:color w:val="auto"/>
              </w:rPr>
            </w:pPr>
          </w:p>
        </w:tc>
        <w:tc>
          <w:tcPr>
            <w:tcW w:w="420" w:type="dxa"/>
            <w:vAlign w:val="bottom"/>
            <w:tcBorders>
              <w:top w:val="single" w:sz="8" w:color="auto"/>
            </w:tcBorders>
          </w:tcPr>
          <w:p>
            <w:pPr>
              <w:spacing w:after="0"/>
              <w:rPr>
                <w:sz w:val="19"/>
                <w:szCs w:val="19"/>
                <w:color w:val="auto"/>
              </w:rPr>
            </w:pPr>
          </w:p>
        </w:tc>
        <w:tc>
          <w:tcPr>
            <w:tcW w:w="7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(60,825)</w:t>
            </w:r>
          </w:p>
        </w:tc>
        <w:tc>
          <w:tcPr>
            <w:tcW w:w="0" w:type="dxa"/>
            <w:vAlign w:val="bottom"/>
          </w:tcPr>
          <w:p>
            <w:pPr>
              <w:spacing w:after="0"/>
              <w:rPr>
                <w:sz w:val="1"/>
                <w:szCs w:val="1"/>
                <w:color w:val="auto"/>
              </w:rPr>
            </w:pPr>
          </w:p>
        </w:tc>
      </w:tr>
      <w:tr>
        <w:trPr>
          <w:trHeight w:val="229"/>
        </w:trPr>
        <w:tc>
          <w:tcPr>
            <w:tcW w:w="49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Interest expense</w:t>
            </w:r>
          </w:p>
        </w:tc>
        <w:tc>
          <w:tcPr>
            <w:tcW w:w="26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2,581</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1,528</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7,185</w:t>
            </w:r>
          </w:p>
        </w:tc>
        <w:tc>
          <w:tcPr>
            <w:tcW w:w="10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7,752</w:t>
            </w:r>
          </w:p>
        </w:tc>
        <w:tc>
          <w:tcPr>
            <w:tcW w:w="0" w:type="dxa"/>
            <w:vAlign w:val="bottom"/>
          </w:tcPr>
          <w:p>
            <w:pPr>
              <w:spacing w:after="0"/>
              <w:rPr>
                <w:sz w:val="1"/>
                <w:szCs w:val="1"/>
                <w:color w:val="auto"/>
              </w:rPr>
            </w:pPr>
          </w:p>
        </w:tc>
      </w:tr>
      <w:tr>
        <w:trPr>
          <w:trHeight w:val="229"/>
        </w:trPr>
        <w:tc>
          <w:tcPr>
            <w:tcW w:w="4940" w:type="dxa"/>
            <w:vAlign w:val="bottom"/>
          </w:tcPr>
          <w:p>
            <w:pPr>
              <w:spacing w:after="0"/>
              <w:rPr>
                <w:sz w:val="20"/>
                <w:szCs w:val="20"/>
                <w:color w:val="auto"/>
              </w:rPr>
            </w:pPr>
            <w:r>
              <w:rPr>
                <w:rFonts w:ascii="Times New Roman" w:cs="Times New Roman" w:eastAsia="Times New Roman" w:hAnsi="Times New Roman"/>
                <w:sz w:val="18"/>
                <w:szCs w:val="18"/>
                <w:color w:val="auto"/>
              </w:rPr>
              <w:t>Loss (gain) on extinguishment of debt</w:t>
            </w:r>
          </w:p>
        </w:tc>
        <w:tc>
          <w:tcPr>
            <w:tcW w:w="26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588</w:t>
            </w: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8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588</w:t>
            </w:r>
          </w:p>
        </w:tc>
        <w:tc>
          <w:tcPr>
            <w:tcW w:w="1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(889)</w:t>
            </w:r>
          </w:p>
        </w:tc>
        <w:tc>
          <w:tcPr>
            <w:tcW w:w="0" w:type="dxa"/>
            <w:vAlign w:val="bottom"/>
          </w:tcPr>
          <w:p>
            <w:pPr>
              <w:spacing w:after="0"/>
              <w:rPr>
                <w:sz w:val="1"/>
                <w:szCs w:val="1"/>
                <w:color w:val="auto"/>
              </w:rPr>
            </w:pPr>
          </w:p>
        </w:tc>
      </w:tr>
      <w:tr>
        <w:trPr>
          <w:trHeight w:val="230"/>
        </w:trPr>
        <w:tc>
          <w:tcPr>
            <w:tcW w:w="49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loss</w:t>
            </w:r>
          </w:p>
        </w:tc>
        <w:tc>
          <w:tcPr>
            <w:tcW w:w="26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1,397</w:t>
            </w:r>
          </w:p>
        </w:tc>
        <w:tc>
          <w:tcPr>
            <w:tcW w:w="100" w:type="dxa"/>
            <w:vAlign w:val="bottom"/>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spacing w:after="0"/>
              <w:rPr>
                <w:sz w:val="19"/>
                <w:szCs w:val="19"/>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4,141</w:t>
            </w:r>
          </w:p>
        </w:tc>
        <w:tc>
          <w:tcPr>
            <w:tcW w:w="100" w:type="dxa"/>
            <w:vAlign w:val="bottom"/>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1,703</w:t>
            </w:r>
          </w:p>
        </w:tc>
        <w:tc>
          <w:tcPr>
            <w:tcW w:w="100" w:type="dxa"/>
            <w:vAlign w:val="bottom"/>
            <w:shd w:val="clear" w:color="auto" w:fill="CCEEFF"/>
          </w:tcPr>
          <w:p>
            <w:pPr>
              <w:spacing w:after="0"/>
              <w:rPr>
                <w:sz w:val="19"/>
                <w:szCs w:val="19"/>
                <w:color w:val="auto"/>
              </w:rPr>
            </w:pPr>
          </w:p>
        </w:tc>
        <w:tc>
          <w:tcPr>
            <w:tcW w:w="420" w:type="dxa"/>
            <w:vAlign w:val="bottom"/>
            <w:tcBorders>
              <w:bottom w:val="single" w:sz="8" w:color="auto"/>
            </w:tcBorders>
            <w:shd w:val="clear" w:color="auto" w:fill="CCEEFF"/>
          </w:tcPr>
          <w:p>
            <w:pPr>
              <w:spacing w:after="0"/>
              <w:rPr>
                <w:sz w:val="19"/>
                <w:szCs w:val="19"/>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7,350</w:t>
            </w:r>
          </w:p>
        </w:tc>
        <w:tc>
          <w:tcPr>
            <w:tcW w:w="0" w:type="dxa"/>
            <w:vAlign w:val="bottom"/>
          </w:tcPr>
          <w:p>
            <w:pPr>
              <w:spacing w:after="0"/>
              <w:rPr>
                <w:sz w:val="1"/>
                <w:szCs w:val="1"/>
                <w:color w:val="auto"/>
              </w:rPr>
            </w:pPr>
          </w:p>
        </w:tc>
      </w:tr>
      <w:tr>
        <w:trPr>
          <w:trHeight w:val="223"/>
        </w:trPr>
        <w:tc>
          <w:tcPr>
            <w:tcW w:w="4940" w:type="dxa"/>
            <w:vAlign w:val="bottom"/>
            <w:tcBorders>
              <w:bottom w:val="single" w:sz="8" w:color="CCEEFF"/>
            </w:tcBorders>
          </w:tcPr>
          <w:p>
            <w:pPr>
              <w:ind w:left="380"/>
              <w:spacing w:after="0"/>
              <w:rPr>
                <w:sz w:val="20"/>
                <w:szCs w:val="20"/>
                <w:color w:val="auto"/>
              </w:rPr>
            </w:pPr>
            <w:r>
              <w:rPr>
                <w:rFonts w:ascii="Times New Roman" w:cs="Times New Roman" w:eastAsia="Times New Roman" w:hAnsi="Times New Roman"/>
                <w:sz w:val="18"/>
                <w:szCs w:val="18"/>
                <w:color w:val="auto"/>
              </w:rPr>
              <w:t>(Loss) income before income taxes</w:t>
            </w:r>
          </w:p>
        </w:tc>
        <w:tc>
          <w:tcPr>
            <w:tcW w:w="26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(176,243)</w:t>
            </w:r>
          </w:p>
        </w:tc>
        <w:tc>
          <w:tcPr>
            <w:tcW w:w="10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(41,007)</w:t>
            </w:r>
          </w:p>
        </w:tc>
        <w:tc>
          <w:tcPr>
            <w:tcW w:w="10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26,719</w:t>
            </w:r>
          </w:p>
        </w:tc>
        <w:tc>
          <w:tcPr>
            <w:tcW w:w="100" w:type="dxa"/>
            <w:vAlign w:val="bottom"/>
            <w:tcBorders>
              <w:bottom w:val="single" w:sz="8" w:color="CCEEFF"/>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(75,038)</w:t>
            </w:r>
          </w:p>
        </w:tc>
        <w:tc>
          <w:tcPr>
            <w:tcW w:w="0" w:type="dxa"/>
            <w:vAlign w:val="bottom"/>
          </w:tcPr>
          <w:p>
            <w:pPr>
              <w:spacing w:after="0"/>
              <w:rPr>
                <w:sz w:val="1"/>
                <w:szCs w:val="1"/>
                <w:color w:val="auto"/>
              </w:rPr>
            </w:pPr>
          </w:p>
        </w:tc>
      </w:tr>
      <w:tr>
        <w:trPr>
          <w:trHeight w:val="223"/>
        </w:trPr>
        <w:tc>
          <w:tcPr>
            <w:tcW w:w="49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Income tax benefit</w:t>
            </w:r>
          </w:p>
        </w:tc>
        <w:tc>
          <w:tcPr>
            <w:tcW w:w="26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(57,058)</w:t>
            </w:r>
          </w:p>
        </w:tc>
        <w:tc>
          <w:tcPr>
            <w:tcW w:w="100" w:type="dxa"/>
            <w:vAlign w:val="bottom"/>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spacing w:after="0"/>
              <w:rPr>
                <w:sz w:val="19"/>
                <w:szCs w:val="19"/>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(792)</w:t>
            </w:r>
          </w:p>
        </w:tc>
        <w:tc>
          <w:tcPr>
            <w:tcW w:w="100" w:type="dxa"/>
            <w:vAlign w:val="bottom"/>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(1,348)</w:t>
            </w:r>
          </w:p>
        </w:tc>
        <w:tc>
          <w:tcPr>
            <w:tcW w:w="100" w:type="dxa"/>
            <w:vAlign w:val="bottom"/>
            <w:shd w:val="clear" w:color="auto" w:fill="CCEEFF"/>
          </w:tcPr>
          <w:p>
            <w:pPr>
              <w:spacing w:after="0"/>
              <w:rPr>
                <w:sz w:val="19"/>
                <w:szCs w:val="19"/>
                <w:color w:val="auto"/>
              </w:rPr>
            </w:pPr>
          </w:p>
        </w:tc>
        <w:tc>
          <w:tcPr>
            <w:tcW w:w="420" w:type="dxa"/>
            <w:vAlign w:val="bottom"/>
            <w:tcBorders>
              <w:bottom w:val="single" w:sz="8" w:color="auto"/>
            </w:tcBorders>
            <w:shd w:val="clear" w:color="auto" w:fill="CCEEFF"/>
          </w:tcPr>
          <w:p>
            <w:pPr>
              <w:spacing w:after="0"/>
              <w:rPr>
                <w:sz w:val="19"/>
                <w:szCs w:val="19"/>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(3,759)</w:t>
            </w:r>
          </w:p>
        </w:tc>
        <w:tc>
          <w:tcPr>
            <w:tcW w:w="0" w:type="dxa"/>
            <w:vAlign w:val="bottom"/>
          </w:tcPr>
          <w:p>
            <w:pPr>
              <w:spacing w:after="0"/>
              <w:rPr>
                <w:sz w:val="1"/>
                <w:szCs w:val="1"/>
                <w:color w:val="auto"/>
              </w:rPr>
            </w:pPr>
          </w:p>
        </w:tc>
      </w:tr>
      <w:tr>
        <w:trPr>
          <w:trHeight w:val="223"/>
        </w:trPr>
        <w:tc>
          <w:tcPr>
            <w:tcW w:w="494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Net (loss) income</w:t>
            </w:r>
          </w:p>
        </w:tc>
        <w:tc>
          <w:tcPr>
            <w:tcW w:w="260" w:type="dxa"/>
            <w:vAlign w:val="bottom"/>
            <w:tcBorders>
              <w:bottom w:val="single" w:sz="8" w:color="auto"/>
            </w:tcBorders>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(119,185)</w:t>
            </w:r>
          </w:p>
        </w:tc>
        <w:tc>
          <w:tcPr>
            <w:tcW w:w="100" w:type="dxa"/>
            <w:vAlign w:val="bottom"/>
          </w:tcPr>
          <w:p>
            <w:pPr>
              <w:spacing w:after="0"/>
              <w:rPr>
                <w:sz w:val="19"/>
                <w:szCs w:val="19"/>
                <w:color w:val="auto"/>
              </w:rPr>
            </w:pPr>
          </w:p>
        </w:tc>
        <w:tc>
          <w:tcPr>
            <w:tcW w:w="400" w:type="dxa"/>
            <w:vAlign w:val="bottom"/>
            <w:tcBorders>
              <w:bottom w:val="single" w:sz="8" w:color="auto"/>
            </w:tcBorders>
          </w:tcPr>
          <w:p>
            <w:pPr>
              <w:jc w:val="right"/>
              <w:ind w:right="210"/>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(40,215)</w:t>
            </w:r>
          </w:p>
        </w:tc>
        <w:tc>
          <w:tcPr>
            <w:tcW w:w="100" w:type="dxa"/>
            <w:vAlign w:val="bottom"/>
          </w:tcPr>
          <w:p>
            <w:pPr>
              <w:spacing w:after="0"/>
              <w:rPr>
                <w:sz w:val="19"/>
                <w:szCs w:val="19"/>
                <w:color w:val="auto"/>
              </w:rPr>
            </w:pPr>
          </w:p>
        </w:tc>
        <w:tc>
          <w:tcPr>
            <w:tcW w:w="260" w:type="dxa"/>
            <w:vAlign w:val="bottom"/>
            <w:tcBorders>
              <w:bottom w:val="single" w:sz="8" w:color="auto"/>
            </w:tcBorders>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28,067</w:t>
            </w:r>
          </w:p>
        </w:tc>
        <w:tc>
          <w:tcPr>
            <w:tcW w:w="100" w:type="dxa"/>
            <w:vAlign w:val="bottom"/>
          </w:tcPr>
          <w:p>
            <w:pPr>
              <w:spacing w:after="0"/>
              <w:rPr>
                <w:sz w:val="19"/>
                <w:szCs w:val="19"/>
                <w:color w:val="auto"/>
              </w:rPr>
            </w:pPr>
          </w:p>
        </w:tc>
        <w:tc>
          <w:tcPr>
            <w:tcW w:w="420" w:type="dxa"/>
            <w:vAlign w:val="bottom"/>
            <w:tcBorders>
              <w:bottom w:val="single" w:sz="8" w:color="auto"/>
            </w:tcBorders>
          </w:tcPr>
          <w:p>
            <w:pPr>
              <w:jc w:val="right"/>
              <w:ind w:right="23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(71,279)</w:t>
            </w:r>
          </w:p>
        </w:tc>
        <w:tc>
          <w:tcPr>
            <w:tcW w:w="0" w:type="dxa"/>
            <w:vAlign w:val="bottom"/>
          </w:tcPr>
          <w:p>
            <w:pPr>
              <w:spacing w:after="0"/>
              <w:rPr>
                <w:sz w:val="1"/>
                <w:szCs w:val="1"/>
                <w:color w:val="auto"/>
              </w:rPr>
            </w:pPr>
          </w:p>
        </w:tc>
      </w:tr>
      <w:tr>
        <w:trPr>
          <w:trHeight w:val="20"/>
        </w:trPr>
        <w:tc>
          <w:tcPr>
            <w:tcW w:w="494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4940" w:type="dxa"/>
            <w:vAlign w:val="bottom"/>
            <w:shd w:val="clear" w:color="auto" w:fill="CCEEFF"/>
          </w:tcPr>
          <w:p>
            <w:pPr>
              <w:spacing w:after="0" w:line="196" w:lineRule="exact"/>
              <w:rPr>
                <w:sz w:val="20"/>
                <w:szCs w:val="20"/>
                <w:color w:val="auto"/>
              </w:rPr>
            </w:pPr>
            <w:r>
              <w:rPr>
                <w:rFonts w:ascii="Times New Roman" w:cs="Times New Roman" w:eastAsia="Times New Roman" w:hAnsi="Times New Roman"/>
                <w:sz w:val="18"/>
                <w:szCs w:val="18"/>
                <w:color w:val="auto"/>
              </w:rPr>
              <w:t>Net (loss) income per common share:</w:t>
            </w:r>
          </w:p>
        </w:tc>
        <w:tc>
          <w:tcPr>
            <w:tcW w:w="26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494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Basic</w:t>
            </w:r>
          </w:p>
        </w:tc>
        <w:tc>
          <w:tcPr>
            <w:tcW w:w="260" w:type="dxa"/>
            <w:vAlign w:val="bottom"/>
            <w:tcBorders>
              <w:bottom w:val="single" w:sz="8" w:color="auto"/>
            </w:tcBorders>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(1.74)</w:t>
            </w:r>
          </w:p>
        </w:tc>
        <w:tc>
          <w:tcPr>
            <w:tcW w:w="100" w:type="dxa"/>
            <w:vAlign w:val="bottom"/>
          </w:tcPr>
          <w:p>
            <w:pPr>
              <w:spacing w:after="0"/>
              <w:rPr>
                <w:sz w:val="19"/>
                <w:szCs w:val="19"/>
                <w:color w:val="auto"/>
              </w:rPr>
            </w:pPr>
          </w:p>
        </w:tc>
        <w:tc>
          <w:tcPr>
            <w:tcW w:w="400" w:type="dxa"/>
            <w:vAlign w:val="bottom"/>
            <w:tcBorders>
              <w:bottom w:val="single" w:sz="8" w:color="auto"/>
            </w:tcBorders>
          </w:tcPr>
          <w:p>
            <w:pPr>
              <w:jc w:val="right"/>
              <w:ind w:right="210"/>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(0.59)</w:t>
            </w:r>
          </w:p>
        </w:tc>
        <w:tc>
          <w:tcPr>
            <w:tcW w:w="100" w:type="dxa"/>
            <w:vAlign w:val="bottom"/>
          </w:tcPr>
          <w:p>
            <w:pPr>
              <w:spacing w:after="0"/>
              <w:rPr>
                <w:sz w:val="19"/>
                <w:szCs w:val="19"/>
                <w:color w:val="auto"/>
              </w:rPr>
            </w:pPr>
          </w:p>
        </w:tc>
        <w:tc>
          <w:tcPr>
            <w:tcW w:w="260" w:type="dxa"/>
            <w:vAlign w:val="bottom"/>
            <w:tcBorders>
              <w:bottom w:val="single" w:sz="8" w:color="auto"/>
            </w:tcBorders>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0.41</w:t>
            </w:r>
          </w:p>
        </w:tc>
        <w:tc>
          <w:tcPr>
            <w:tcW w:w="100" w:type="dxa"/>
            <w:vAlign w:val="bottom"/>
          </w:tcPr>
          <w:p>
            <w:pPr>
              <w:spacing w:after="0"/>
              <w:rPr>
                <w:sz w:val="19"/>
                <w:szCs w:val="19"/>
                <w:color w:val="auto"/>
              </w:rPr>
            </w:pPr>
          </w:p>
        </w:tc>
        <w:tc>
          <w:tcPr>
            <w:tcW w:w="420" w:type="dxa"/>
            <w:vAlign w:val="bottom"/>
            <w:tcBorders>
              <w:bottom w:val="single" w:sz="8" w:color="auto"/>
            </w:tcBorders>
          </w:tcPr>
          <w:p>
            <w:pPr>
              <w:jc w:val="right"/>
              <w:ind w:right="23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(1.06)</w:t>
            </w:r>
          </w:p>
        </w:tc>
        <w:tc>
          <w:tcPr>
            <w:tcW w:w="0" w:type="dxa"/>
            <w:vAlign w:val="bottom"/>
          </w:tcPr>
          <w:p>
            <w:pPr>
              <w:spacing w:after="0"/>
              <w:rPr>
                <w:sz w:val="1"/>
                <w:szCs w:val="1"/>
                <w:color w:val="auto"/>
              </w:rPr>
            </w:pPr>
          </w:p>
        </w:tc>
      </w:tr>
      <w:tr>
        <w:trPr>
          <w:trHeight w:val="20"/>
        </w:trPr>
        <w:tc>
          <w:tcPr>
            <w:tcW w:w="494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8"/>
        </w:trPr>
        <w:tc>
          <w:tcPr>
            <w:tcW w:w="4940" w:type="dxa"/>
            <w:vAlign w:val="bottom"/>
            <w:tcBorders>
              <w:bottom w:val="single" w:sz="8" w:color="CCEEFF"/>
            </w:tcBorders>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Diluted</w:t>
            </w:r>
          </w:p>
        </w:tc>
        <w:tc>
          <w:tcPr>
            <w:tcW w:w="260" w:type="dxa"/>
            <w:vAlign w:val="bottom"/>
            <w:tcBorders>
              <w:bottom w:val="single" w:sz="8" w:color="auto"/>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(1.74)</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auto"/>
            </w:tcBorders>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(0.59)</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0.40</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auto"/>
            </w:tcBorders>
            <w:shd w:val="clear" w:color="auto" w:fill="CCEEFF"/>
          </w:tcPr>
          <w:p>
            <w:pPr>
              <w:jc w:val="right"/>
              <w:ind w:right="23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(1.06)</w:t>
            </w:r>
          </w:p>
        </w:tc>
        <w:tc>
          <w:tcPr>
            <w:tcW w:w="0" w:type="dxa"/>
            <w:vAlign w:val="bottom"/>
          </w:tcPr>
          <w:p>
            <w:pPr>
              <w:spacing w:after="0"/>
              <w:rPr>
                <w:sz w:val="1"/>
                <w:szCs w:val="1"/>
                <w:color w:val="auto"/>
              </w:rPr>
            </w:pPr>
          </w:p>
        </w:tc>
      </w:tr>
      <w:tr>
        <w:trPr>
          <w:trHeight w:val="20"/>
        </w:trPr>
        <w:tc>
          <w:tcPr>
            <w:tcW w:w="4940" w:type="dxa"/>
            <w:vAlign w:val="bottom"/>
            <w:tcBorders>
              <w:top w:val="single" w:sz="8" w:color="CCEEFF"/>
              <w:bottom w:val="single" w:sz="8" w:color="CCEEFF"/>
            </w:tcBorders>
            <w:vMerge w:val="restart"/>
          </w:tcPr>
          <w:p>
            <w:pPr>
              <w:spacing w:after="0"/>
              <w:rPr>
                <w:sz w:val="20"/>
                <w:szCs w:val="20"/>
                <w:color w:val="auto"/>
              </w:rPr>
            </w:pPr>
            <w:r>
              <w:rPr>
                <w:rFonts w:ascii="Times New Roman" w:cs="Times New Roman" w:eastAsia="Times New Roman" w:hAnsi="Times New Roman"/>
                <w:sz w:val="18"/>
                <w:szCs w:val="18"/>
                <w:color w:val="auto"/>
              </w:rPr>
              <w:t>Weighted-average common shares outstanding:</w:t>
            </w: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7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CCEEFF"/>
              <w:bottom w:val="single" w:sz="8" w:color="auto"/>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6"/>
        </w:trPr>
        <w:tc>
          <w:tcPr>
            <w:tcW w:w="4940" w:type="dxa"/>
            <w:vAlign w:val="bottom"/>
            <w:vMerge w:val="continue"/>
          </w:tcPr>
          <w:p>
            <w:pPr>
              <w:spacing w:after="0"/>
              <w:rPr>
                <w:sz w:val="15"/>
                <w:szCs w:val="15"/>
                <w:color w:val="auto"/>
              </w:rPr>
            </w:pPr>
          </w:p>
        </w:tc>
        <w:tc>
          <w:tcPr>
            <w:tcW w:w="2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55"/>
        </w:trPr>
        <w:tc>
          <w:tcPr>
            <w:tcW w:w="4940" w:type="dxa"/>
            <w:vAlign w:val="bottom"/>
            <w:tcBorders>
              <w:bottom w:val="single" w:sz="8" w:color="CCEEFF"/>
            </w:tcBorders>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Basic</w:t>
            </w:r>
          </w:p>
        </w:tc>
        <w:tc>
          <w:tcPr>
            <w:tcW w:w="260" w:type="dxa"/>
            <w:vAlign w:val="bottom"/>
            <w:tcBorders>
              <w:bottom w:val="single" w:sz="8" w:color="auto"/>
            </w:tcBorders>
            <w:shd w:val="clear" w:color="auto" w:fill="CCEEFF"/>
          </w:tcPr>
          <w:p>
            <w:pPr>
              <w:spacing w:after="0"/>
              <w:rPr>
                <w:sz w:val="21"/>
                <w:szCs w:val="21"/>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68,500</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auto"/>
            </w:tcBorders>
            <w:shd w:val="clear" w:color="auto" w:fill="CCEEFF"/>
          </w:tcPr>
          <w:p>
            <w:pPr>
              <w:spacing w:after="0"/>
              <w:rPr>
                <w:sz w:val="21"/>
                <w:szCs w:val="21"/>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67,713</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spacing w:after="0"/>
              <w:rPr>
                <w:sz w:val="21"/>
                <w:szCs w:val="21"/>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68,487</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auto"/>
            </w:tcBorders>
            <w:shd w:val="clear" w:color="auto" w:fill="CCEEFF"/>
          </w:tcPr>
          <w:p>
            <w:pPr>
              <w:spacing w:after="0"/>
              <w:rPr>
                <w:sz w:val="21"/>
                <w:szCs w:val="21"/>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67,486</w:t>
            </w:r>
          </w:p>
        </w:tc>
        <w:tc>
          <w:tcPr>
            <w:tcW w:w="0" w:type="dxa"/>
            <w:vAlign w:val="bottom"/>
          </w:tcPr>
          <w:p>
            <w:pPr>
              <w:spacing w:after="0"/>
              <w:rPr>
                <w:sz w:val="1"/>
                <w:szCs w:val="1"/>
                <w:color w:val="auto"/>
              </w:rPr>
            </w:pPr>
          </w:p>
        </w:tc>
      </w:tr>
      <w:tr>
        <w:trPr>
          <w:trHeight w:val="20"/>
        </w:trPr>
        <w:tc>
          <w:tcPr>
            <w:tcW w:w="4940" w:type="dxa"/>
            <w:vAlign w:val="bottom"/>
            <w:tcBorders>
              <w:top w:val="single" w:sz="8" w:color="CCEEFF"/>
              <w:bottom w:val="single" w:sz="8" w:color="CCEEFF"/>
            </w:tcBorders>
            <w:vMerge w:val="restart"/>
          </w:tcPr>
          <w:p>
            <w:pPr>
              <w:ind w:left="340"/>
              <w:spacing w:after="0"/>
              <w:rPr>
                <w:sz w:val="20"/>
                <w:szCs w:val="20"/>
                <w:color w:val="auto"/>
              </w:rPr>
            </w:pPr>
            <w:r>
              <w:rPr>
                <w:rFonts w:ascii="Times New Roman" w:cs="Times New Roman" w:eastAsia="Times New Roman" w:hAnsi="Times New Roman"/>
                <w:sz w:val="18"/>
                <w:szCs w:val="18"/>
                <w:color w:val="auto"/>
              </w:rPr>
              <w:t>Diluted</w:t>
            </w: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7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CCEEFF"/>
              <w:bottom w:val="single" w:sz="8" w:color="auto"/>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4940" w:type="dxa"/>
            <w:vAlign w:val="bottom"/>
            <w:vMerge w:val="continue"/>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68,500</w:t>
            </w:r>
          </w:p>
        </w:tc>
        <w:tc>
          <w:tcPr>
            <w:tcW w:w="100" w:type="dxa"/>
            <w:vAlign w:val="bottom"/>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67,713</w:t>
            </w:r>
          </w:p>
        </w:tc>
        <w:tc>
          <w:tcPr>
            <w:tcW w:w="100" w:type="dxa"/>
            <w:vAlign w:val="bottom"/>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70,671</w:t>
            </w:r>
          </w:p>
        </w:tc>
        <w:tc>
          <w:tcPr>
            <w:tcW w:w="100" w:type="dxa"/>
            <w:vAlign w:val="bottom"/>
          </w:tcPr>
          <w:p>
            <w:pPr>
              <w:spacing w:after="0"/>
              <w:rPr>
                <w:sz w:val="17"/>
                <w:szCs w:val="17"/>
                <w:color w:val="auto"/>
              </w:rPr>
            </w:pPr>
          </w:p>
        </w:tc>
        <w:tc>
          <w:tcPr>
            <w:tcW w:w="42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67,486</w:t>
            </w:r>
          </w:p>
        </w:tc>
        <w:tc>
          <w:tcPr>
            <w:tcW w:w="0" w:type="dxa"/>
            <w:vAlign w:val="bottom"/>
          </w:tcPr>
          <w:p>
            <w:pPr>
              <w:spacing w:after="0"/>
              <w:rPr>
                <w:sz w:val="1"/>
                <w:szCs w:val="1"/>
                <w:color w:val="auto"/>
              </w:rPr>
            </w:pPr>
          </w:p>
        </w:tc>
      </w:tr>
      <w:tr>
        <w:trPr>
          <w:trHeight w:val="21"/>
        </w:trPr>
        <w:tc>
          <w:tcPr>
            <w:tcW w:w="49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184"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Page 4 of 9</w:t>
      </w:r>
    </w:p>
    <w:p>
      <w:pPr>
        <w:sectPr>
          <w:pgSz w:w="11900" w:h="16838" w:orient="portrait"/>
          <w:cols w:equalWidth="0" w:num="1">
            <w:col w:w="9940"/>
          </w:cols>
          <w:pgMar w:left="980" w:top="711" w:right="979" w:bottom="1440" w:gutter="0" w:footer="0" w:header="0"/>
        </w:sectPr>
      </w:pPr>
    </w:p>
    <w:bookmarkStart w:id="7" w:name="page8"/>
    <w:bookmarkEnd w:id="7"/>
    <w:p>
      <w:pPr>
        <w:jc w:val="center"/>
        <w:spacing w:after="0"/>
        <w:rPr>
          <w:sz w:val="20"/>
          <w:szCs w:val="20"/>
          <w:color w:val="auto"/>
        </w:rPr>
      </w:pPr>
      <w:r>
        <w:rPr>
          <w:rFonts w:ascii="Times New Roman" w:cs="Times New Roman" w:eastAsia="Times New Roman" w:hAnsi="Times New Roman"/>
          <w:sz w:val="18"/>
          <w:szCs w:val="18"/>
          <w:b w:val="1"/>
          <w:bCs w:val="1"/>
          <w:color w:val="auto"/>
        </w:rPr>
        <w:t>Lantheus Holdings, Inc.</w:t>
      </w:r>
    </w:p>
    <w:p>
      <w:pPr>
        <w:spacing w:after="0" w:line="6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Consolidated Revenues Analysis</w:t>
      </w:r>
    </w:p>
    <w:p>
      <w:pPr>
        <w:spacing w:after="0" w:line="6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(in thousands – unaudited)</w:t>
      </w: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0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420" w:type="dxa"/>
            <w:vAlign w:val="bottom"/>
            <w:gridSpan w:val="6"/>
          </w:tcPr>
          <w:p>
            <w:pPr>
              <w:jc w:val="center"/>
              <w:ind w:right="60"/>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9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0" w:type="dxa"/>
            <w:vAlign w:val="bottom"/>
            <w:gridSpan w:val="2"/>
          </w:tcPr>
          <w:p>
            <w:pPr>
              <w:jc w:val="center"/>
              <w:ind w:right="160"/>
              <w:spacing w:after="0"/>
              <w:rPr>
                <w:sz w:val="20"/>
                <w:szCs w:val="20"/>
                <w:color w:val="auto"/>
              </w:rPr>
            </w:pPr>
            <w:r>
              <w:rPr>
                <w:rFonts w:ascii="Times New Roman" w:cs="Times New Roman" w:eastAsia="Times New Roman" w:hAnsi="Times New Roman"/>
                <w:sz w:val="14"/>
                <w:szCs w:val="14"/>
                <w:b w:val="1"/>
                <w:bCs w:val="1"/>
                <w:color w:val="auto"/>
              </w:rPr>
              <w:t>Year Ended</w:t>
            </w:r>
          </w:p>
        </w:tc>
        <w:tc>
          <w:tcPr>
            <w:tcW w:w="1160" w:type="dxa"/>
            <w:vAlign w:val="bottom"/>
          </w:tcPr>
          <w:p>
            <w:pPr>
              <w:spacing w:after="0"/>
              <w:rPr>
                <w:sz w:val="13"/>
                <w:szCs w:val="13"/>
                <w:color w:val="auto"/>
              </w:rPr>
            </w:pPr>
          </w:p>
        </w:tc>
      </w:tr>
      <w:tr>
        <w:trPr>
          <w:trHeight w:val="195"/>
        </w:trPr>
        <w:tc>
          <w:tcPr>
            <w:tcW w:w="30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gridSpan w:val="3"/>
          </w:tcPr>
          <w:p>
            <w:pPr>
              <w:jc w:val="center"/>
              <w:ind w:right="280"/>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9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gridSpan w:val="2"/>
          </w:tcPr>
          <w:p>
            <w:pPr>
              <w:jc w:val="center"/>
              <w:ind w:right="120"/>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1160" w:type="dxa"/>
            <w:vAlign w:val="bottom"/>
            <w:tcBorders>
              <w:bottom w:val="single" w:sz="8" w:color="auto"/>
            </w:tcBorders>
          </w:tcPr>
          <w:p>
            <w:pPr>
              <w:spacing w:after="0"/>
              <w:rPr>
                <w:sz w:val="16"/>
                <w:szCs w:val="16"/>
                <w:color w:val="auto"/>
              </w:rPr>
            </w:pPr>
          </w:p>
        </w:tc>
      </w:tr>
      <w:tr>
        <w:trPr>
          <w:trHeight w:val="195"/>
        </w:trPr>
        <w:tc>
          <w:tcPr>
            <w:tcW w:w="304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right"/>
              <w:ind w:right="192"/>
              <w:spacing w:after="0"/>
              <w:rPr>
                <w:sz w:val="20"/>
                <w:szCs w:val="20"/>
                <w:color w:val="auto"/>
              </w:rPr>
            </w:pPr>
            <w:r>
              <w:rPr>
                <w:rFonts w:ascii="Times New Roman" w:cs="Times New Roman" w:eastAsia="Times New Roman" w:hAnsi="Times New Roman"/>
                <w:sz w:val="14"/>
                <w:szCs w:val="14"/>
                <w:b w:val="1"/>
                <w:bCs w:val="1"/>
                <w:color w:val="auto"/>
              </w:rPr>
              <w:t>2022</w:t>
            </w:r>
          </w:p>
        </w:tc>
        <w:tc>
          <w:tcPr>
            <w:tcW w:w="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w w:val="99"/>
              </w:rPr>
              <w:t>2021</w:t>
            </w:r>
          </w:p>
        </w:tc>
        <w:tc>
          <w:tcPr>
            <w:tcW w:w="10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4"/>
                <w:szCs w:val="14"/>
                <w:b w:val="1"/>
                <w:bCs w:val="1"/>
                <w:color w:val="auto"/>
              </w:rPr>
              <w:t>% Change</w:t>
            </w:r>
          </w:p>
        </w:tc>
        <w:tc>
          <w:tcPr>
            <w:tcW w:w="10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2022</w:t>
            </w:r>
          </w:p>
        </w:tc>
        <w:tc>
          <w:tcPr>
            <w:tcW w:w="10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w w:val="99"/>
              </w:rPr>
              <w:t>2021</w:t>
            </w:r>
          </w:p>
        </w:tc>
        <w:tc>
          <w:tcPr>
            <w:tcW w:w="10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jc w:val="right"/>
              <w:ind w:right="172"/>
              <w:spacing w:after="0"/>
              <w:rPr>
                <w:sz w:val="20"/>
                <w:szCs w:val="20"/>
                <w:color w:val="auto"/>
              </w:rPr>
            </w:pPr>
            <w:r>
              <w:rPr>
                <w:rFonts w:ascii="Times New Roman" w:cs="Times New Roman" w:eastAsia="Times New Roman" w:hAnsi="Times New Roman"/>
                <w:sz w:val="14"/>
                <w:szCs w:val="14"/>
                <w:b w:val="1"/>
                <w:bCs w:val="1"/>
                <w:color w:val="auto"/>
              </w:rPr>
              <w:t>% Change</w:t>
            </w:r>
          </w:p>
        </w:tc>
      </w:tr>
      <w:tr>
        <w:trPr>
          <w:trHeight w:val="229"/>
        </w:trPr>
        <w:tc>
          <w:tcPr>
            <w:tcW w:w="304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DEFINITY</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63,619</w:t>
            </w:r>
          </w:p>
        </w:tc>
        <w:tc>
          <w:tcPr>
            <w:tcW w:w="260" w:type="dxa"/>
            <w:vAlign w:val="bottom"/>
            <w:gridSpan w:val="3"/>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59,311</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7.3 %</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244,993</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232,759</w:t>
            </w:r>
          </w:p>
        </w:tc>
        <w:tc>
          <w:tcPr>
            <w:tcW w:w="100" w:type="dxa"/>
            <w:vAlign w:val="bottom"/>
            <w:shd w:val="clear" w:color="auto" w:fill="CCEEFF"/>
          </w:tcPr>
          <w:p>
            <w:pPr>
              <w:spacing w:after="0"/>
              <w:rPr>
                <w:sz w:val="19"/>
                <w:szCs w:val="19"/>
                <w:color w:val="auto"/>
              </w:rPr>
            </w:pP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5.3 %</w:t>
            </w:r>
          </w:p>
        </w:tc>
      </w:tr>
      <w:tr>
        <w:trPr>
          <w:trHeight w:val="229"/>
        </w:trPr>
        <w:tc>
          <w:tcPr>
            <w:tcW w:w="3140" w:type="dxa"/>
            <w:vAlign w:val="bottom"/>
            <w:gridSpan w:val="2"/>
          </w:tcPr>
          <w:p>
            <w:pPr>
              <w:ind w:left="180"/>
              <w:spacing w:after="0"/>
              <w:rPr>
                <w:sz w:val="20"/>
                <w:szCs w:val="20"/>
                <w:color w:val="auto"/>
              </w:rPr>
            </w:pPr>
            <w:r>
              <w:rPr>
                <w:rFonts w:ascii="Times New Roman" w:cs="Times New Roman" w:eastAsia="Times New Roman" w:hAnsi="Times New Roman"/>
                <w:sz w:val="18"/>
                <w:szCs w:val="18"/>
                <w:color w:val="auto"/>
              </w:rPr>
              <w:t>TechneLite</w:t>
            </w:r>
          </w:p>
        </w:tc>
        <w:tc>
          <w:tcPr>
            <w:tcW w:w="24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24,725</w:t>
            </w: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22,041</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12.2 %</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88,864</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91,293</w:t>
            </w:r>
          </w:p>
        </w:tc>
        <w:tc>
          <w:tcPr>
            <w:tcW w:w="10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w:t>
            </w:r>
          </w:p>
        </w:tc>
      </w:tr>
      <w:tr>
        <w:trPr>
          <w:trHeight w:val="229"/>
        </w:trPr>
        <w:tc>
          <w:tcPr>
            <w:tcW w:w="3140" w:type="dxa"/>
            <w:vAlign w:val="bottom"/>
            <w:gridSpan w:val="2"/>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Other precision diagnostics</w:t>
            </w:r>
          </w:p>
        </w:tc>
        <w:tc>
          <w:tcPr>
            <w:tcW w:w="240" w:type="dxa"/>
            <w:vAlign w:val="bottom"/>
            <w:tcBorders>
              <w:bottom w:val="single" w:sz="8" w:color="auto"/>
            </w:tcBorders>
            <w:shd w:val="clear" w:color="auto" w:fill="CCEEFF"/>
          </w:tcPr>
          <w:p>
            <w:pPr>
              <w:spacing w:after="0"/>
              <w:rPr>
                <w:sz w:val="19"/>
                <w:szCs w:val="19"/>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6,022</w:t>
            </w:r>
          </w:p>
        </w:tc>
        <w:tc>
          <w:tcPr>
            <w:tcW w:w="40" w:type="dxa"/>
            <w:vAlign w:val="bottom"/>
            <w:tcBorders>
              <w:bottom w:val="single" w:sz="8" w:color="auto"/>
            </w:tcBorders>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5,684</w:t>
            </w:r>
          </w:p>
        </w:tc>
        <w:tc>
          <w:tcPr>
            <w:tcW w:w="10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5.9 %</w:t>
            </w:r>
          </w:p>
        </w:tc>
        <w:tc>
          <w:tcPr>
            <w:tcW w:w="100" w:type="dxa"/>
            <w:vAlign w:val="bottom"/>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22,825</w:t>
            </w:r>
          </w:p>
        </w:tc>
        <w:tc>
          <w:tcPr>
            <w:tcW w:w="100" w:type="dxa"/>
            <w:vAlign w:val="bottom"/>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26,973</w:t>
            </w:r>
          </w:p>
        </w:tc>
        <w:tc>
          <w:tcPr>
            <w:tcW w:w="100" w:type="dxa"/>
            <w:vAlign w:val="bottom"/>
            <w:shd w:val="clear" w:color="auto" w:fill="CCEEFF"/>
          </w:tcPr>
          <w:p>
            <w:pPr>
              <w:spacing w:after="0"/>
              <w:rPr>
                <w:sz w:val="19"/>
                <w:szCs w:val="19"/>
                <w:color w:val="auto"/>
              </w:rPr>
            </w:pPr>
          </w:p>
        </w:tc>
        <w:tc>
          <w:tcPr>
            <w:tcW w:w="1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(15.4)%</w:t>
            </w:r>
          </w:p>
        </w:tc>
      </w:tr>
      <w:tr>
        <w:trPr>
          <w:trHeight w:val="223"/>
        </w:trPr>
        <w:tc>
          <w:tcPr>
            <w:tcW w:w="3140" w:type="dxa"/>
            <w:vAlign w:val="bottom"/>
            <w:tcBorders>
              <w:bottom w:val="single" w:sz="8" w:color="CCEEFF"/>
            </w:tcBorders>
            <w:gridSpan w:val="2"/>
          </w:tcPr>
          <w:p>
            <w:pPr>
              <w:ind w:left="20"/>
              <w:spacing w:after="0"/>
              <w:rPr>
                <w:sz w:val="20"/>
                <w:szCs w:val="20"/>
                <w:color w:val="auto"/>
              </w:rPr>
            </w:pPr>
            <w:r>
              <w:rPr>
                <w:rFonts w:ascii="Times New Roman" w:cs="Times New Roman" w:eastAsia="Times New Roman" w:hAnsi="Times New Roman"/>
                <w:sz w:val="18"/>
                <w:szCs w:val="18"/>
                <w:color w:val="auto"/>
              </w:rPr>
              <w:t>Total precision diagnostics</w:t>
            </w:r>
          </w:p>
        </w:tc>
        <w:tc>
          <w:tcPr>
            <w:tcW w:w="24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94,366</w:t>
            </w:r>
          </w:p>
        </w:tc>
        <w:tc>
          <w:tcPr>
            <w:tcW w:w="40" w:type="dxa"/>
            <w:vAlign w:val="bottom"/>
            <w:tcBorders>
              <w:bottom w:val="single" w:sz="8" w:color="auto"/>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87,036</w:t>
            </w:r>
          </w:p>
        </w:tc>
        <w:tc>
          <w:tcPr>
            <w:tcW w:w="10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8.4 %</w:t>
            </w:r>
          </w:p>
        </w:tc>
        <w:tc>
          <w:tcPr>
            <w:tcW w:w="100" w:type="dxa"/>
            <w:vAlign w:val="bottom"/>
            <w:tcBorders>
              <w:bottom w:val="single" w:sz="8" w:color="CCEEFF"/>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356,682</w:t>
            </w:r>
          </w:p>
        </w:tc>
        <w:tc>
          <w:tcPr>
            <w:tcW w:w="10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351,025</w:t>
            </w:r>
          </w:p>
        </w:tc>
        <w:tc>
          <w:tcPr>
            <w:tcW w:w="100" w:type="dxa"/>
            <w:vAlign w:val="bottom"/>
            <w:tcBorders>
              <w:bottom w:val="single" w:sz="8" w:color="CCEEFF"/>
            </w:tcBorders>
          </w:tcPr>
          <w:p>
            <w:pPr>
              <w:spacing w:after="0"/>
              <w:rPr>
                <w:sz w:val="19"/>
                <w:szCs w:val="19"/>
                <w:color w:val="auto"/>
              </w:rPr>
            </w:pP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1.6 %</w:t>
            </w:r>
          </w:p>
        </w:tc>
      </w:tr>
      <w:tr>
        <w:trPr>
          <w:trHeight w:val="223"/>
        </w:trPr>
        <w:tc>
          <w:tcPr>
            <w:tcW w:w="3140" w:type="dxa"/>
            <w:vAlign w:val="bottom"/>
            <w:gridSpan w:val="2"/>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PYLARIFY</w:t>
            </w:r>
          </w:p>
        </w:tc>
        <w:tc>
          <w:tcPr>
            <w:tcW w:w="240" w:type="dxa"/>
            <w:vAlign w:val="bottom"/>
            <w:shd w:val="clear" w:color="auto" w:fill="CCEEFF"/>
          </w:tcPr>
          <w:p>
            <w:pPr>
              <w:spacing w:after="0"/>
              <w:rPr>
                <w:sz w:val="19"/>
                <w:szCs w:val="19"/>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160,642</w:t>
            </w:r>
          </w:p>
        </w:tc>
        <w:tc>
          <w:tcPr>
            <w:tcW w:w="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35,417</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353.6 %</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527,405</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43,414</w:t>
            </w:r>
          </w:p>
        </w:tc>
        <w:tc>
          <w:tcPr>
            <w:tcW w:w="100" w:type="dxa"/>
            <w:vAlign w:val="bottom"/>
            <w:shd w:val="clear" w:color="auto" w:fill="CCEEFF"/>
          </w:tcPr>
          <w:p>
            <w:pPr>
              <w:spacing w:after="0"/>
              <w:rPr>
                <w:sz w:val="19"/>
                <w:szCs w:val="19"/>
                <w:color w:val="auto"/>
              </w:rPr>
            </w:pP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1,114.8 %</w:t>
            </w:r>
          </w:p>
        </w:tc>
      </w:tr>
      <w:tr>
        <w:trPr>
          <w:trHeight w:val="229"/>
        </w:trPr>
        <w:tc>
          <w:tcPr>
            <w:tcW w:w="3140" w:type="dxa"/>
            <w:vAlign w:val="bottom"/>
            <w:tcBorders>
              <w:bottom w:val="single" w:sz="8" w:color="CCEEFF"/>
            </w:tcBorders>
            <w:gridSpan w:val="2"/>
          </w:tcPr>
          <w:p>
            <w:pPr>
              <w:ind w:left="180"/>
              <w:spacing w:after="0"/>
              <w:rPr>
                <w:sz w:val="20"/>
                <w:szCs w:val="20"/>
                <w:color w:val="auto"/>
              </w:rPr>
            </w:pPr>
            <w:r>
              <w:rPr>
                <w:rFonts w:ascii="Times New Roman" w:cs="Times New Roman" w:eastAsia="Times New Roman" w:hAnsi="Times New Roman"/>
                <w:sz w:val="18"/>
                <w:szCs w:val="18"/>
                <w:color w:val="auto"/>
              </w:rPr>
              <w:t>Other radiopharmaceutical oncology</w:t>
            </w:r>
          </w:p>
        </w:tc>
        <w:tc>
          <w:tcPr>
            <w:tcW w:w="24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919</w:t>
            </w:r>
          </w:p>
        </w:tc>
        <w:tc>
          <w:tcPr>
            <w:tcW w:w="40" w:type="dxa"/>
            <w:vAlign w:val="bottom"/>
            <w:tcBorders>
              <w:bottom w:val="single" w:sz="8" w:color="auto"/>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267</w:t>
            </w:r>
          </w:p>
        </w:tc>
        <w:tc>
          <w:tcPr>
            <w:tcW w:w="10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244.2 %</w:t>
            </w:r>
          </w:p>
        </w:tc>
        <w:tc>
          <w:tcPr>
            <w:tcW w:w="100" w:type="dxa"/>
            <w:vAlign w:val="bottom"/>
            <w:tcBorders>
              <w:bottom w:val="single" w:sz="8" w:color="CCEEFF"/>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4,102</w:t>
            </w:r>
          </w:p>
        </w:tc>
        <w:tc>
          <w:tcPr>
            <w:tcW w:w="10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5,473</w:t>
            </w:r>
          </w:p>
        </w:tc>
        <w:tc>
          <w:tcPr>
            <w:tcW w:w="100" w:type="dxa"/>
            <w:vAlign w:val="bottom"/>
            <w:tcBorders>
              <w:bottom w:val="single" w:sz="8" w:color="CCEEFF"/>
            </w:tcBorders>
          </w:tcPr>
          <w:p>
            <w:pPr>
              <w:spacing w:after="0"/>
              <w:rPr>
                <w:sz w:val="19"/>
                <w:szCs w:val="19"/>
                <w:color w:val="auto"/>
              </w:rPr>
            </w:pP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(25.1)%</w:t>
            </w:r>
          </w:p>
        </w:tc>
      </w:tr>
      <w:tr>
        <w:trPr>
          <w:trHeight w:val="223"/>
        </w:trPr>
        <w:tc>
          <w:tcPr>
            <w:tcW w:w="314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Total radiopharmaceutical oncology</w:t>
            </w:r>
          </w:p>
        </w:tc>
        <w:tc>
          <w:tcPr>
            <w:tcW w:w="240" w:type="dxa"/>
            <w:vAlign w:val="bottom"/>
            <w:tcBorders>
              <w:bottom w:val="single" w:sz="8" w:color="auto"/>
            </w:tcBorders>
            <w:shd w:val="clear" w:color="auto" w:fill="CCEEFF"/>
          </w:tcPr>
          <w:p>
            <w:pPr>
              <w:spacing w:after="0"/>
              <w:rPr>
                <w:sz w:val="19"/>
                <w:szCs w:val="19"/>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161,561</w:t>
            </w:r>
          </w:p>
        </w:tc>
        <w:tc>
          <w:tcPr>
            <w:tcW w:w="40" w:type="dxa"/>
            <w:vAlign w:val="bottom"/>
            <w:tcBorders>
              <w:bottom w:val="single" w:sz="8" w:color="auto"/>
            </w:tcBorders>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35,684</w:t>
            </w:r>
          </w:p>
        </w:tc>
        <w:tc>
          <w:tcPr>
            <w:tcW w:w="10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352.8 %</w:t>
            </w:r>
          </w:p>
        </w:tc>
        <w:tc>
          <w:tcPr>
            <w:tcW w:w="100" w:type="dxa"/>
            <w:vAlign w:val="bottom"/>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531,507</w:t>
            </w:r>
          </w:p>
        </w:tc>
        <w:tc>
          <w:tcPr>
            <w:tcW w:w="100" w:type="dxa"/>
            <w:vAlign w:val="bottom"/>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48,887</w:t>
            </w:r>
          </w:p>
        </w:tc>
        <w:tc>
          <w:tcPr>
            <w:tcW w:w="100" w:type="dxa"/>
            <w:vAlign w:val="bottom"/>
            <w:shd w:val="clear" w:color="auto" w:fill="CCEEFF"/>
          </w:tcPr>
          <w:p>
            <w:pPr>
              <w:spacing w:after="0"/>
              <w:rPr>
                <w:sz w:val="19"/>
                <w:szCs w:val="19"/>
                <w:color w:val="auto"/>
              </w:rPr>
            </w:pPr>
          </w:p>
        </w:tc>
        <w:tc>
          <w:tcPr>
            <w:tcW w:w="1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987.2 %</w:t>
            </w:r>
          </w:p>
        </w:tc>
      </w:tr>
      <w:tr>
        <w:trPr>
          <w:trHeight w:val="223"/>
        </w:trPr>
        <w:tc>
          <w:tcPr>
            <w:tcW w:w="3140" w:type="dxa"/>
            <w:vAlign w:val="bottom"/>
            <w:tcBorders>
              <w:bottom w:val="single" w:sz="8" w:color="CCEEFF"/>
            </w:tcBorders>
            <w:gridSpan w:val="2"/>
          </w:tcPr>
          <w:p>
            <w:pPr>
              <w:ind w:left="20"/>
              <w:spacing w:after="0"/>
              <w:rPr>
                <w:sz w:val="20"/>
                <w:szCs w:val="20"/>
                <w:color w:val="auto"/>
              </w:rPr>
            </w:pPr>
            <w:r>
              <w:rPr>
                <w:rFonts w:ascii="Times New Roman" w:cs="Times New Roman" w:eastAsia="Times New Roman" w:hAnsi="Times New Roman"/>
                <w:sz w:val="18"/>
                <w:szCs w:val="18"/>
                <w:color w:val="auto"/>
              </w:rPr>
              <w:t>Strategic Partnerships and other revenue</w:t>
            </w:r>
          </w:p>
        </w:tc>
        <w:tc>
          <w:tcPr>
            <w:tcW w:w="24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7,239</w:t>
            </w:r>
          </w:p>
        </w:tc>
        <w:tc>
          <w:tcPr>
            <w:tcW w:w="40" w:type="dxa"/>
            <w:vAlign w:val="bottom"/>
            <w:tcBorders>
              <w:bottom w:val="single" w:sz="8" w:color="auto"/>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6,842</w:t>
            </w:r>
          </w:p>
        </w:tc>
        <w:tc>
          <w:tcPr>
            <w:tcW w:w="10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5.8 %</w:t>
            </w:r>
          </w:p>
        </w:tc>
        <w:tc>
          <w:tcPr>
            <w:tcW w:w="100" w:type="dxa"/>
            <w:vAlign w:val="bottom"/>
            <w:tcBorders>
              <w:bottom w:val="single" w:sz="8" w:color="CCEEFF"/>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46,872</w:t>
            </w:r>
          </w:p>
        </w:tc>
        <w:tc>
          <w:tcPr>
            <w:tcW w:w="10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25,296</w:t>
            </w:r>
          </w:p>
        </w:tc>
        <w:tc>
          <w:tcPr>
            <w:tcW w:w="100" w:type="dxa"/>
            <w:vAlign w:val="bottom"/>
            <w:tcBorders>
              <w:bottom w:val="single" w:sz="8" w:color="CCEEFF"/>
            </w:tcBorders>
          </w:tcPr>
          <w:p>
            <w:pPr>
              <w:spacing w:after="0"/>
              <w:rPr>
                <w:sz w:val="19"/>
                <w:szCs w:val="19"/>
                <w:color w:val="auto"/>
              </w:rPr>
            </w:pP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85.3 %</w:t>
            </w:r>
          </w:p>
        </w:tc>
      </w:tr>
      <w:tr>
        <w:trPr>
          <w:trHeight w:val="248"/>
        </w:trPr>
        <w:tc>
          <w:tcPr>
            <w:tcW w:w="314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Total revenues</w:t>
            </w:r>
          </w:p>
        </w:tc>
        <w:tc>
          <w:tcPr>
            <w:tcW w:w="240" w:type="dxa"/>
            <w:vAlign w:val="bottom"/>
            <w:tcBorders>
              <w:bottom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263,166</w:t>
            </w:r>
          </w:p>
        </w:tc>
        <w:tc>
          <w:tcPr>
            <w:tcW w:w="40" w:type="dxa"/>
            <w:vAlign w:val="bottom"/>
            <w:tcBorders>
              <w:bottom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129,562</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spacing w:after="0"/>
              <w:rPr>
                <w:sz w:val="21"/>
                <w:szCs w:val="21"/>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103.1 %</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935,061</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425,208</w:t>
            </w:r>
          </w:p>
        </w:tc>
        <w:tc>
          <w:tcPr>
            <w:tcW w:w="1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119.9 %</w:t>
            </w:r>
          </w:p>
        </w:tc>
      </w:tr>
      <w:tr>
        <w:trPr>
          <w:trHeight w:val="20"/>
        </w:trPr>
        <w:tc>
          <w:tcPr>
            <w:tcW w:w="30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r>
    </w:tbl>
    <w:p>
      <w:pPr>
        <w:spacing w:after="0" w:line="1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Page 5 of 9</w:t>
      </w:r>
    </w:p>
    <w:p>
      <w:pPr>
        <w:sectPr>
          <w:pgSz w:w="11900" w:h="16838" w:orient="portrait"/>
          <w:cols w:equalWidth="0" w:num="1">
            <w:col w:w="10040"/>
          </w:cols>
          <w:pgMar w:left="920" w:top="711" w:right="939" w:bottom="1440" w:gutter="0" w:footer="0" w:header="0"/>
        </w:sectPr>
      </w:pPr>
    </w:p>
    <w:bookmarkStart w:id="8" w:name="page9"/>
    <w:bookmarkEnd w:id="8"/>
    <w:p>
      <w:pPr>
        <w:jc w:val="center"/>
        <w:ind w:right="376"/>
        <w:spacing w:after="0"/>
        <w:rPr>
          <w:sz w:val="20"/>
          <w:szCs w:val="20"/>
          <w:color w:val="auto"/>
        </w:rPr>
      </w:pPr>
      <w:r>
        <w:rPr>
          <w:rFonts w:ascii="Times New Roman" w:cs="Times New Roman" w:eastAsia="Times New Roman" w:hAnsi="Times New Roman"/>
          <w:sz w:val="18"/>
          <w:szCs w:val="18"/>
          <w:b w:val="1"/>
          <w:bCs w:val="1"/>
          <w:color w:val="auto"/>
        </w:rPr>
        <w:t>Lantheus Holdings, Inc.</w:t>
      </w:r>
    </w:p>
    <w:p>
      <w:pPr>
        <w:spacing w:after="0" w:line="63" w:lineRule="exact"/>
        <w:rPr>
          <w:sz w:val="20"/>
          <w:szCs w:val="20"/>
          <w:color w:val="auto"/>
        </w:rPr>
      </w:pPr>
    </w:p>
    <w:p>
      <w:pPr>
        <w:jc w:val="center"/>
        <w:ind w:right="376"/>
        <w:spacing w:after="0"/>
        <w:rPr>
          <w:sz w:val="20"/>
          <w:szCs w:val="20"/>
          <w:color w:val="auto"/>
        </w:rPr>
      </w:pPr>
      <w:r>
        <w:rPr>
          <w:rFonts w:ascii="Times New Roman" w:cs="Times New Roman" w:eastAsia="Times New Roman" w:hAnsi="Times New Roman"/>
          <w:sz w:val="18"/>
          <w:szCs w:val="18"/>
          <w:b w:val="1"/>
          <w:bCs w:val="1"/>
          <w:color w:val="auto"/>
        </w:rPr>
        <w:t>Reconciliation of GAAP to Non-GAAP Financial Measures</w:t>
      </w:r>
    </w:p>
    <w:p>
      <w:pPr>
        <w:spacing w:after="0" w:line="67" w:lineRule="exact"/>
        <w:rPr>
          <w:sz w:val="20"/>
          <w:szCs w:val="20"/>
          <w:color w:val="auto"/>
        </w:rPr>
      </w:pPr>
    </w:p>
    <w:p>
      <w:pPr>
        <w:jc w:val="center"/>
        <w:ind w:right="376"/>
        <w:spacing w:after="0"/>
        <w:rPr>
          <w:sz w:val="20"/>
          <w:szCs w:val="20"/>
          <w:color w:val="auto"/>
        </w:rPr>
      </w:pPr>
      <w:r>
        <w:rPr>
          <w:rFonts w:ascii="Times New Roman" w:cs="Times New Roman" w:eastAsia="Times New Roman" w:hAnsi="Times New Roman"/>
          <w:sz w:val="18"/>
          <w:szCs w:val="18"/>
          <w:color w:val="auto"/>
        </w:rPr>
        <w:t>(in thousands, except per share data – unaudited)</w:t>
      </w:r>
    </w:p>
    <w:p>
      <w:pPr>
        <w:spacing w:after="0" w:line="247" w:lineRule="exact"/>
        <w:rPr>
          <w:sz w:val="20"/>
          <w:szCs w:val="20"/>
          <w:color w:val="auto"/>
        </w:rPr>
      </w:pPr>
    </w:p>
    <w:tbl>
      <w:tblPr>
        <w:tblLayout w:type="fixed"/>
        <w:tblInd w:w="44" w:type="dxa"/>
        <w:tblCellMar>
          <w:top w:w="0" w:type="dxa"/>
          <w:left w:w="0" w:type="dxa"/>
          <w:bottom w:w="0" w:type="dxa"/>
          <w:right w:w="0" w:type="dxa"/>
        </w:tblCellMar>
      </w:tblPr>
      <w:tr>
        <w:trPr>
          <w:trHeight w:val="161"/>
        </w:trPr>
        <w:tc>
          <w:tcPr>
            <w:tcW w:w="60" w:type="dxa"/>
            <w:vAlign w:val="bottom"/>
          </w:tcPr>
          <w:p>
            <w:pPr>
              <w:spacing w:after="0"/>
              <w:rPr>
                <w:sz w:val="13"/>
                <w:szCs w:val="13"/>
                <w:color w:val="auto"/>
              </w:rPr>
            </w:pPr>
          </w:p>
        </w:tc>
        <w:tc>
          <w:tcPr>
            <w:tcW w:w="43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300" w:type="dxa"/>
            <w:vAlign w:val="bottom"/>
            <w:gridSpan w:val="8"/>
          </w:tcPr>
          <w:p>
            <w:pPr>
              <w:jc w:val="right"/>
              <w:ind w:right="800"/>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440" w:type="dxa"/>
            <w:vAlign w:val="bottom"/>
            <w:gridSpan w:val="5"/>
          </w:tcPr>
          <w:p>
            <w:pPr>
              <w:jc w:val="right"/>
              <w:ind w:right="70"/>
              <w:spacing w:after="0"/>
              <w:rPr>
                <w:sz w:val="20"/>
                <w:szCs w:val="20"/>
                <w:color w:val="auto"/>
              </w:rPr>
            </w:pPr>
            <w:r>
              <w:rPr>
                <w:rFonts w:ascii="Times New Roman" w:cs="Times New Roman" w:eastAsia="Times New Roman" w:hAnsi="Times New Roman"/>
                <w:sz w:val="14"/>
                <w:szCs w:val="14"/>
                <w:b w:val="1"/>
                <w:bCs w:val="1"/>
                <w:color w:val="auto"/>
              </w:rPr>
              <w:t>Year Ended</w:t>
            </w:r>
          </w:p>
        </w:tc>
        <w:tc>
          <w:tcPr>
            <w:tcW w:w="8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5"/>
        </w:trPr>
        <w:tc>
          <w:tcPr>
            <w:tcW w:w="60" w:type="dxa"/>
            <w:vAlign w:val="bottom"/>
          </w:tcPr>
          <w:p>
            <w:pPr>
              <w:spacing w:after="0"/>
              <w:rPr>
                <w:sz w:val="16"/>
                <w:szCs w:val="16"/>
                <w:color w:val="auto"/>
              </w:rPr>
            </w:pPr>
          </w:p>
        </w:tc>
        <w:tc>
          <w:tcPr>
            <w:tcW w:w="436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gridSpan w:val="6"/>
          </w:tcPr>
          <w:p>
            <w:pPr>
              <w:jc w:val="right"/>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8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440" w:type="dxa"/>
            <w:vAlign w:val="bottom"/>
            <w:tcBorders>
              <w:bottom w:val="single" w:sz="8" w:color="auto"/>
            </w:tcBorders>
            <w:gridSpan w:val="5"/>
          </w:tcPr>
          <w:p>
            <w:pPr>
              <w:jc w:val="right"/>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840" w:type="dxa"/>
            <w:vAlign w:val="bottom"/>
            <w:tcBorders>
              <w:bottom w:val="single" w:sz="8" w:color="auto"/>
            </w:tcBorders>
          </w:tcPr>
          <w:p>
            <w:pPr>
              <w:spacing w:after="0"/>
              <w:rPr>
                <w:sz w:val="16"/>
                <w:szCs w:val="16"/>
                <w:color w:val="auto"/>
              </w:rPr>
            </w:pP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5"/>
        </w:trPr>
        <w:tc>
          <w:tcPr>
            <w:tcW w:w="60" w:type="dxa"/>
            <w:vAlign w:val="bottom"/>
          </w:tcPr>
          <w:p>
            <w:pPr>
              <w:spacing w:after="0"/>
              <w:rPr>
                <w:sz w:val="16"/>
                <w:szCs w:val="16"/>
                <w:color w:val="auto"/>
              </w:rPr>
            </w:pPr>
          </w:p>
        </w:tc>
        <w:tc>
          <w:tcPr>
            <w:tcW w:w="436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jc w:val="right"/>
              <w:ind w:right="273"/>
              <w:spacing w:after="0"/>
              <w:rPr>
                <w:sz w:val="20"/>
                <w:szCs w:val="20"/>
                <w:color w:val="auto"/>
              </w:rPr>
            </w:pPr>
            <w:r>
              <w:rPr>
                <w:rFonts w:ascii="Times New Roman" w:cs="Times New Roman" w:eastAsia="Times New Roman" w:hAnsi="Times New Roman"/>
                <w:sz w:val="14"/>
                <w:szCs w:val="14"/>
                <w:b w:val="1"/>
                <w:bCs w:val="1"/>
                <w:color w:val="auto"/>
              </w:rPr>
              <w:t>2022</w:t>
            </w:r>
          </w:p>
        </w:tc>
        <w:tc>
          <w:tcPr>
            <w:tcW w:w="160" w:type="dxa"/>
            <w:vAlign w:val="bottom"/>
            <w:tcBorders>
              <w:bottom w:val="single" w:sz="8" w:color="auto"/>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right"/>
              <w:ind w:right="411"/>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Borders>
              <w:bottom w:val="single" w:sz="8" w:color="CCEEFF"/>
            </w:tcBorders>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432"/>
              <w:spacing w:after="0"/>
              <w:rPr>
                <w:sz w:val="20"/>
                <w:szCs w:val="20"/>
                <w:color w:val="auto"/>
              </w:rPr>
            </w:pPr>
            <w:r>
              <w:rPr>
                <w:rFonts w:ascii="Times New Roman" w:cs="Times New Roman" w:eastAsia="Times New Roman" w:hAnsi="Times New Roman"/>
                <w:sz w:val="14"/>
                <w:szCs w:val="14"/>
                <w:b w:val="1"/>
                <w:bCs w:val="1"/>
                <w:color w:val="auto"/>
              </w:rPr>
              <w:t>2022</w:t>
            </w:r>
          </w:p>
        </w:tc>
        <w:tc>
          <w:tcPr>
            <w:tcW w:w="80" w:type="dxa"/>
            <w:vAlign w:val="bottom"/>
            <w:tcBorders>
              <w:bottom w:val="single" w:sz="8" w:color="CCEEFF"/>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jc w:val="right"/>
              <w:ind w:right="431"/>
              <w:spacing w:after="0"/>
              <w:rPr>
                <w:sz w:val="20"/>
                <w:szCs w:val="20"/>
                <w:color w:val="auto"/>
              </w:rPr>
            </w:pPr>
            <w:r>
              <w:rPr>
                <w:rFonts w:ascii="Times New Roman" w:cs="Times New Roman" w:eastAsia="Times New Roman" w:hAnsi="Times New Roman"/>
                <w:sz w:val="14"/>
                <w:szCs w:val="14"/>
                <w:b w:val="1"/>
                <w:bCs w:val="1"/>
                <w:color w:val="auto"/>
              </w:rPr>
              <w:t>2021</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54"/>
        </w:trPr>
        <w:tc>
          <w:tcPr>
            <w:tcW w:w="60" w:type="dxa"/>
            <w:vAlign w:val="bottom"/>
          </w:tcPr>
          <w:p>
            <w:pPr>
              <w:spacing w:after="0"/>
              <w:rPr>
                <w:sz w:val="21"/>
                <w:szCs w:val="21"/>
                <w:color w:val="auto"/>
              </w:rPr>
            </w:pPr>
          </w:p>
        </w:tc>
        <w:tc>
          <w:tcPr>
            <w:tcW w:w="436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income (loss)</w:t>
            </w:r>
          </w:p>
        </w:tc>
        <w:tc>
          <w:tcPr>
            <w:tcW w:w="300" w:type="dxa"/>
            <w:vAlign w:val="bottom"/>
            <w:tcBorders>
              <w:bottom w:val="single" w:sz="8" w:color="auto"/>
            </w:tcBorders>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Borders>
              <w:bottom w:val="single" w:sz="8" w:color="auto"/>
            </w:tcBorders>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(119,185)</w:t>
            </w:r>
          </w:p>
        </w:tc>
        <w:tc>
          <w:tcPr>
            <w:tcW w:w="160" w:type="dxa"/>
            <w:vAlign w:val="bottom"/>
            <w:tcBorders>
              <w:bottom w:val="single" w:sz="8" w:color="auto"/>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0" w:type="dxa"/>
            <w:vAlign w:val="bottom"/>
            <w:tcBorders>
              <w:bottom w:val="single" w:sz="8" w:color="auto"/>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spacing w:after="0"/>
              <w:rPr>
                <w:sz w:val="21"/>
                <w:szCs w:val="21"/>
                <w:color w:val="auto"/>
              </w:rPr>
            </w:pPr>
          </w:p>
        </w:tc>
        <w:tc>
          <w:tcPr>
            <w:tcW w:w="860" w:type="dxa"/>
            <w:vAlign w:val="bottom"/>
            <w:tcBorders>
              <w:bottom w:val="single" w:sz="8" w:color="auto"/>
            </w:tcBorders>
            <w:shd w:val="clear" w:color="auto" w:fill="CCEEFF"/>
          </w:tcPr>
          <w:p>
            <w:pPr>
              <w:jc w:val="right"/>
              <w:ind w:right="91"/>
              <w:spacing w:after="0"/>
              <w:rPr>
                <w:sz w:val="20"/>
                <w:szCs w:val="20"/>
                <w:color w:val="auto"/>
              </w:rPr>
            </w:pPr>
            <w:r>
              <w:rPr>
                <w:rFonts w:ascii="Times New Roman" w:cs="Times New Roman" w:eastAsia="Times New Roman" w:hAnsi="Times New Roman"/>
                <w:sz w:val="18"/>
                <w:szCs w:val="18"/>
                <w:color w:val="auto"/>
              </w:rPr>
              <w:t>(40,215)</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w w:val="88"/>
              </w:rPr>
              <w:t>$</w:t>
            </w:r>
          </w:p>
        </w:tc>
        <w:tc>
          <w:tcPr>
            <w:tcW w:w="180" w:type="dxa"/>
            <w:vAlign w:val="bottom"/>
            <w:tcBorders>
              <w:bottom w:val="single" w:sz="8" w:color="auto"/>
            </w:tcBorders>
            <w:shd w:val="clear" w:color="auto" w:fill="CCEEFF"/>
          </w:tcPr>
          <w:p>
            <w:pPr>
              <w:spacing w:after="0"/>
              <w:rPr>
                <w:sz w:val="21"/>
                <w:szCs w:val="21"/>
                <w:color w:val="auto"/>
              </w:rPr>
            </w:pPr>
          </w:p>
        </w:tc>
        <w:tc>
          <w:tcPr>
            <w:tcW w:w="900" w:type="dxa"/>
            <w:vAlign w:val="bottom"/>
            <w:tcBorders>
              <w:bottom w:val="single" w:sz="8" w:color="auto"/>
            </w:tcBorders>
            <w:shd w:val="clear" w:color="auto" w:fill="CCEEFF"/>
          </w:tcPr>
          <w:p>
            <w:pPr>
              <w:jc w:val="right"/>
              <w:ind w:right="152"/>
              <w:spacing w:after="0"/>
              <w:rPr>
                <w:sz w:val="20"/>
                <w:szCs w:val="20"/>
                <w:color w:val="auto"/>
              </w:rPr>
            </w:pPr>
            <w:r>
              <w:rPr>
                <w:rFonts w:ascii="Times New Roman" w:cs="Times New Roman" w:eastAsia="Times New Roman" w:hAnsi="Times New Roman"/>
                <w:sz w:val="18"/>
                <w:szCs w:val="18"/>
                <w:color w:val="auto"/>
              </w:rPr>
              <w:t>28,067</w:t>
            </w:r>
          </w:p>
        </w:tc>
        <w:tc>
          <w:tcPr>
            <w:tcW w:w="8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gridSpan w:val="2"/>
            <w:shd w:val="clear" w:color="auto" w:fill="CCEEFF"/>
          </w:tcPr>
          <w:p>
            <w:pPr>
              <w:jc w:val="center"/>
              <w:ind w:right="40"/>
              <w:spacing w:after="0"/>
              <w:rPr>
                <w:sz w:val="20"/>
                <w:szCs w:val="20"/>
                <w:color w:val="auto"/>
              </w:rPr>
            </w:pPr>
            <w:r>
              <w:rPr>
                <w:rFonts w:ascii="Times New Roman" w:cs="Times New Roman" w:eastAsia="Times New Roman" w:hAnsi="Times New Roman"/>
                <w:sz w:val="18"/>
                <w:szCs w:val="18"/>
                <w:color w:val="auto"/>
                <w:w w:val="88"/>
              </w:rPr>
              <w:t>$</w:t>
            </w:r>
          </w:p>
        </w:tc>
        <w:tc>
          <w:tcPr>
            <w:tcW w:w="300" w:type="dxa"/>
            <w:vAlign w:val="bottom"/>
            <w:tcBorders>
              <w:bottom w:val="single" w:sz="8" w:color="auto"/>
            </w:tcBorders>
            <w:shd w:val="clear" w:color="auto" w:fill="CCEEFF"/>
          </w:tcPr>
          <w:p>
            <w:pPr>
              <w:spacing w:after="0"/>
              <w:rPr>
                <w:sz w:val="21"/>
                <w:szCs w:val="21"/>
                <w:color w:val="auto"/>
              </w:rPr>
            </w:pPr>
          </w:p>
        </w:tc>
        <w:tc>
          <w:tcPr>
            <w:tcW w:w="840" w:type="dxa"/>
            <w:vAlign w:val="bottom"/>
            <w:tcBorders>
              <w:bottom w:val="single" w:sz="8" w:color="auto"/>
            </w:tcBorders>
            <w:shd w:val="clear" w:color="auto" w:fill="CCEEFF"/>
          </w:tcPr>
          <w:p>
            <w:pPr>
              <w:jc w:val="right"/>
              <w:ind w:right="111"/>
              <w:spacing w:after="0"/>
              <w:rPr>
                <w:sz w:val="20"/>
                <w:szCs w:val="20"/>
                <w:color w:val="auto"/>
              </w:rPr>
            </w:pPr>
            <w:r>
              <w:rPr>
                <w:rFonts w:ascii="Times New Roman" w:cs="Times New Roman" w:eastAsia="Times New Roman" w:hAnsi="Times New Roman"/>
                <w:sz w:val="18"/>
                <w:szCs w:val="18"/>
                <w:color w:val="auto"/>
              </w:rPr>
              <w:t>(71,279)</w:t>
            </w: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60" w:type="dxa"/>
            <w:vAlign w:val="bottom"/>
          </w:tcPr>
          <w:p>
            <w:pPr>
              <w:spacing w:after="0" w:line="20" w:lineRule="exact"/>
              <w:rPr>
                <w:sz w:val="1"/>
                <w:szCs w:val="1"/>
                <w:color w:val="auto"/>
              </w:rPr>
            </w:pPr>
          </w:p>
        </w:tc>
        <w:tc>
          <w:tcPr>
            <w:tcW w:w="4360" w:type="dxa"/>
            <w:vAlign w:val="bottom"/>
            <w:tcBorders>
              <w:top w:val="single" w:sz="8" w:color="CCEEFF"/>
              <w:bottom w:val="single" w:sz="8" w:color="CCEEFF"/>
            </w:tcBorders>
            <w:vMerge w:val="restart"/>
          </w:tcPr>
          <w:p>
            <w:pPr>
              <w:ind w:left="200"/>
              <w:spacing w:after="0"/>
              <w:rPr>
                <w:sz w:val="20"/>
                <w:szCs w:val="20"/>
                <w:color w:val="auto"/>
              </w:rPr>
            </w:pPr>
            <w:r>
              <w:rPr>
                <w:rFonts w:ascii="Times New Roman" w:cs="Times New Roman" w:eastAsia="Times New Roman" w:hAnsi="Times New Roman"/>
                <w:sz w:val="18"/>
                <w:szCs w:val="18"/>
                <w:color w:val="auto"/>
              </w:rPr>
              <w:t>Stock and incentive plan compensation</w:t>
            </w: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68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60" w:type="dxa"/>
            <w:vAlign w:val="bottom"/>
          </w:tcPr>
          <w:p>
            <w:pPr>
              <w:spacing w:after="0"/>
              <w:rPr>
                <w:sz w:val="17"/>
                <w:szCs w:val="17"/>
                <w:color w:val="auto"/>
              </w:rPr>
            </w:pPr>
          </w:p>
        </w:tc>
        <w:tc>
          <w:tcPr>
            <w:tcW w:w="4360" w:type="dxa"/>
            <w:vAlign w:val="bottom"/>
            <w:vMerge w:val="continue"/>
          </w:tcPr>
          <w:p>
            <w:pPr>
              <w:spacing w:after="0"/>
              <w:rPr>
                <w:sz w:val="17"/>
                <w:szCs w:val="17"/>
                <w:color w:val="auto"/>
              </w:rPr>
            </w:pPr>
          </w:p>
        </w:tc>
        <w:tc>
          <w:tcPr>
            <w:tcW w:w="3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80" w:type="dxa"/>
            <w:vAlign w:val="bottom"/>
          </w:tcPr>
          <w:p>
            <w:pPr>
              <w:jc w:val="right"/>
              <w:spacing w:after="0" w:line="203" w:lineRule="exact"/>
              <w:rPr>
                <w:sz w:val="20"/>
                <w:szCs w:val="20"/>
                <w:color w:val="auto"/>
              </w:rPr>
            </w:pPr>
            <w:r>
              <w:rPr>
                <w:rFonts w:ascii="Times New Roman" w:cs="Times New Roman" w:eastAsia="Times New Roman" w:hAnsi="Times New Roman"/>
                <w:sz w:val="18"/>
                <w:szCs w:val="18"/>
                <w:color w:val="auto"/>
              </w:rPr>
              <w:t>8,124</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60" w:type="dxa"/>
            <w:vAlign w:val="bottom"/>
          </w:tcPr>
          <w:p>
            <w:pPr>
              <w:jc w:val="right"/>
              <w:ind w:right="151"/>
              <w:spacing w:after="0" w:line="203" w:lineRule="exact"/>
              <w:rPr>
                <w:sz w:val="20"/>
                <w:szCs w:val="20"/>
                <w:color w:val="auto"/>
              </w:rPr>
            </w:pPr>
            <w:r>
              <w:rPr>
                <w:rFonts w:ascii="Times New Roman" w:cs="Times New Roman" w:eastAsia="Times New Roman" w:hAnsi="Times New Roman"/>
                <w:sz w:val="18"/>
                <w:szCs w:val="18"/>
                <w:color w:val="auto"/>
              </w:rPr>
              <w:t>4,162</w:t>
            </w: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00" w:type="dxa"/>
            <w:vAlign w:val="bottom"/>
          </w:tcPr>
          <w:p>
            <w:pPr>
              <w:jc w:val="right"/>
              <w:ind w:right="152"/>
              <w:spacing w:after="0" w:line="203" w:lineRule="exact"/>
              <w:rPr>
                <w:sz w:val="20"/>
                <w:szCs w:val="20"/>
                <w:color w:val="auto"/>
              </w:rPr>
            </w:pPr>
            <w:r>
              <w:rPr>
                <w:rFonts w:ascii="Times New Roman" w:cs="Times New Roman" w:eastAsia="Times New Roman" w:hAnsi="Times New Roman"/>
                <w:sz w:val="18"/>
                <w:szCs w:val="18"/>
                <w:color w:val="auto"/>
              </w:rPr>
              <w:t>29,262</w:t>
            </w: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40" w:type="dxa"/>
            <w:vAlign w:val="bottom"/>
          </w:tcPr>
          <w:p>
            <w:pPr>
              <w:jc w:val="right"/>
              <w:ind w:right="151"/>
              <w:spacing w:after="0" w:line="203" w:lineRule="exact"/>
              <w:rPr>
                <w:sz w:val="20"/>
                <w:szCs w:val="20"/>
                <w:color w:val="auto"/>
              </w:rPr>
            </w:pPr>
            <w:r>
              <w:rPr>
                <w:rFonts w:ascii="Times New Roman" w:cs="Times New Roman" w:eastAsia="Times New Roman" w:hAnsi="Times New Roman"/>
                <w:sz w:val="18"/>
                <w:szCs w:val="18"/>
                <w:color w:val="auto"/>
              </w:rPr>
              <w:t>15,934</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9"/>
        </w:trPr>
        <w:tc>
          <w:tcPr>
            <w:tcW w:w="60" w:type="dxa"/>
            <w:vAlign w:val="bottom"/>
          </w:tcPr>
          <w:p>
            <w:pPr>
              <w:spacing w:after="0"/>
              <w:rPr>
                <w:sz w:val="19"/>
                <w:szCs w:val="19"/>
                <w:color w:val="auto"/>
              </w:rPr>
            </w:pPr>
          </w:p>
        </w:tc>
        <w:tc>
          <w:tcPr>
            <w:tcW w:w="4360" w:type="dxa"/>
            <w:vAlign w:val="bottom"/>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Amortization of acquired intangible assets</w:t>
            </w:r>
          </w:p>
        </w:tc>
        <w:tc>
          <w:tcPr>
            <w:tcW w:w="3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8,307</w:t>
            </w:r>
          </w:p>
        </w:tc>
        <w:tc>
          <w:tcPr>
            <w:tcW w:w="16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860" w:type="dxa"/>
            <w:vAlign w:val="bottom"/>
            <w:shd w:val="clear" w:color="auto" w:fill="CCEEFF"/>
          </w:tcPr>
          <w:p>
            <w:pPr>
              <w:jc w:val="right"/>
              <w:ind w:right="151"/>
              <w:spacing w:after="0"/>
              <w:rPr>
                <w:sz w:val="20"/>
                <w:szCs w:val="20"/>
                <w:color w:val="auto"/>
              </w:rPr>
            </w:pPr>
            <w:r>
              <w:rPr>
                <w:rFonts w:ascii="Times New Roman" w:cs="Times New Roman" w:eastAsia="Times New Roman" w:hAnsi="Times New Roman"/>
                <w:sz w:val="18"/>
                <w:szCs w:val="18"/>
                <w:color w:val="auto"/>
              </w:rPr>
              <w:t>8,373</w:t>
            </w:r>
          </w:p>
        </w:tc>
        <w:tc>
          <w:tcPr>
            <w:tcW w:w="10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0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8"/>
                <w:szCs w:val="18"/>
                <w:color w:val="auto"/>
              </w:rPr>
              <w:t>33,225</w:t>
            </w: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840" w:type="dxa"/>
            <w:vAlign w:val="bottom"/>
            <w:shd w:val="clear" w:color="auto" w:fill="CCEEFF"/>
          </w:tcPr>
          <w:p>
            <w:pPr>
              <w:jc w:val="right"/>
              <w:ind w:right="151"/>
              <w:spacing w:after="0"/>
              <w:rPr>
                <w:sz w:val="20"/>
                <w:szCs w:val="20"/>
                <w:color w:val="auto"/>
              </w:rPr>
            </w:pPr>
            <w:r>
              <w:rPr>
                <w:rFonts w:ascii="Times New Roman" w:cs="Times New Roman" w:eastAsia="Times New Roman" w:hAnsi="Times New Roman"/>
                <w:sz w:val="18"/>
                <w:szCs w:val="18"/>
                <w:color w:val="auto"/>
              </w:rPr>
              <w:t>27,506</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0" w:type="dxa"/>
            <w:vAlign w:val="bottom"/>
          </w:tcPr>
          <w:p>
            <w:pPr>
              <w:spacing w:after="0"/>
              <w:rPr>
                <w:sz w:val="19"/>
                <w:szCs w:val="19"/>
                <w:color w:val="auto"/>
              </w:rPr>
            </w:pPr>
          </w:p>
        </w:tc>
        <w:tc>
          <w:tcPr>
            <w:tcW w:w="4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Acquired debt fair value adjustment</w:t>
            </w:r>
          </w:p>
        </w:tc>
        <w:tc>
          <w:tcPr>
            <w:tcW w:w="3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6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8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840" w:type="dxa"/>
            <w:vAlign w:val="bottom"/>
          </w:tcPr>
          <w:p>
            <w:pPr>
              <w:jc w:val="right"/>
              <w:ind w:right="111"/>
              <w:spacing w:after="0"/>
              <w:rPr>
                <w:sz w:val="20"/>
                <w:szCs w:val="20"/>
                <w:color w:val="auto"/>
              </w:rPr>
            </w:pPr>
            <w:r>
              <w:rPr>
                <w:rFonts w:ascii="Times New Roman" w:cs="Times New Roman" w:eastAsia="Times New Roman" w:hAnsi="Times New Roman"/>
                <w:sz w:val="18"/>
                <w:szCs w:val="18"/>
                <w:color w:val="auto"/>
              </w:rPr>
              <w:t>(307)</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0" w:type="dxa"/>
            <w:vAlign w:val="bottom"/>
          </w:tcPr>
          <w:p>
            <w:pPr>
              <w:spacing w:after="0"/>
              <w:rPr>
                <w:sz w:val="19"/>
                <w:szCs w:val="19"/>
                <w:color w:val="auto"/>
              </w:rPr>
            </w:pPr>
          </w:p>
        </w:tc>
        <w:tc>
          <w:tcPr>
            <w:tcW w:w="4360" w:type="dxa"/>
            <w:vAlign w:val="bottom"/>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Contingent consideration fair value adjustments</w:t>
            </w:r>
          </w:p>
        </w:tc>
        <w:tc>
          <w:tcPr>
            <w:tcW w:w="3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9,300</w:t>
            </w:r>
          </w:p>
        </w:tc>
        <w:tc>
          <w:tcPr>
            <w:tcW w:w="16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860" w:type="dxa"/>
            <w:vAlign w:val="bottom"/>
            <w:shd w:val="clear" w:color="auto" w:fill="CCEEFF"/>
          </w:tcPr>
          <w:p>
            <w:pPr>
              <w:jc w:val="right"/>
              <w:ind w:right="151"/>
              <w:spacing w:after="0"/>
              <w:rPr>
                <w:sz w:val="20"/>
                <w:szCs w:val="20"/>
                <w:color w:val="auto"/>
              </w:rPr>
            </w:pPr>
            <w:r>
              <w:rPr>
                <w:rFonts w:ascii="Times New Roman" w:cs="Times New Roman" w:eastAsia="Times New Roman" w:hAnsi="Times New Roman"/>
                <w:sz w:val="18"/>
                <w:szCs w:val="18"/>
                <w:color w:val="auto"/>
              </w:rPr>
              <w:t>43,900</w:t>
            </w:r>
          </w:p>
        </w:tc>
        <w:tc>
          <w:tcPr>
            <w:tcW w:w="10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0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8"/>
                <w:szCs w:val="18"/>
                <w:color w:val="auto"/>
              </w:rPr>
              <w:t>34,700</w:t>
            </w: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840" w:type="dxa"/>
            <w:vAlign w:val="bottom"/>
            <w:shd w:val="clear" w:color="auto" w:fill="CCEEFF"/>
          </w:tcPr>
          <w:p>
            <w:pPr>
              <w:jc w:val="right"/>
              <w:ind w:right="151"/>
              <w:spacing w:after="0"/>
              <w:rPr>
                <w:sz w:val="20"/>
                <w:szCs w:val="20"/>
                <w:color w:val="auto"/>
              </w:rPr>
            </w:pPr>
            <w:r>
              <w:rPr>
                <w:rFonts w:ascii="Times New Roman" w:cs="Times New Roman" w:eastAsia="Times New Roman" w:hAnsi="Times New Roman"/>
                <w:sz w:val="18"/>
                <w:szCs w:val="18"/>
                <w:color w:val="auto"/>
              </w:rPr>
              <w:t>72,400</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0" w:type="dxa"/>
            <w:vAlign w:val="bottom"/>
          </w:tcPr>
          <w:p>
            <w:pPr>
              <w:spacing w:after="0"/>
              <w:rPr>
                <w:sz w:val="19"/>
                <w:szCs w:val="19"/>
                <w:color w:val="auto"/>
              </w:rPr>
            </w:pPr>
          </w:p>
        </w:tc>
        <w:tc>
          <w:tcPr>
            <w:tcW w:w="4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Non-recurring refinancing related fees</w:t>
            </w:r>
          </w:p>
        </w:tc>
        <w:tc>
          <w:tcPr>
            <w:tcW w:w="3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70</w:t>
            </w: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6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00" w:type="dxa"/>
            <w:vAlign w:val="bottom"/>
          </w:tcPr>
          <w:p>
            <w:pPr>
              <w:jc w:val="right"/>
              <w:ind w:right="152"/>
              <w:spacing w:after="0"/>
              <w:rPr>
                <w:sz w:val="20"/>
                <w:szCs w:val="20"/>
                <w:color w:val="auto"/>
              </w:rPr>
            </w:pPr>
            <w:r>
              <w:rPr>
                <w:rFonts w:ascii="Times New Roman" w:cs="Times New Roman" w:eastAsia="Times New Roman" w:hAnsi="Times New Roman"/>
                <w:sz w:val="18"/>
                <w:szCs w:val="18"/>
                <w:color w:val="auto"/>
              </w:rPr>
              <w:t>70</w:t>
            </w: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840" w:type="dxa"/>
            <w:vAlign w:val="bottom"/>
          </w:tcPr>
          <w:p>
            <w:pPr>
              <w:jc w:val="right"/>
              <w:ind w:right="151"/>
              <w:spacing w:after="0"/>
              <w:rPr>
                <w:sz w:val="20"/>
                <w:szCs w:val="20"/>
                <w:color w:val="auto"/>
              </w:rPr>
            </w:pPr>
            <w:r>
              <w:rPr>
                <w:rFonts w:ascii="Times New Roman" w:cs="Times New Roman" w:eastAsia="Times New Roman" w:hAnsi="Times New Roman"/>
                <w:sz w:val="18"/>
                <w:szCs w:val="18"/>
                <w:color w:val="auto"/>
              </w:rPr>
              <w:t>—</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0" w:type="dxa"/>
            <w:vAlign w:val="bottom"/>
          </w:tcPr>
          <w:p>
            <w:pPr>
              <w:spacing w:after="0"/>
              <w:rPr>
                <w:sz w:val="19"/>
                <w:szCs w:val="19"/>
                <w:color w:val="auto"/>
              </w:rPr>
            </w:pPr>
          </w:p>
        </w:tc>
        <w:tc>
          <w:tcPr>
            <w:tcW w:w="4360" w:type="dxa"/>
            <w:vAlign w:val="bottom"/>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Non-recurring severance related fees</w:t>
            </w:r>
          </w:p>
        </w:tc>
        <w:tc>
          <w:tcPr>
            <w:tcW w:w="3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ind w:right="340"/>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8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840" w:type="dxa"/>
            <w:vAlign w:val="bottom"/>
            <w:shd w:val="clear" w:color="auto" w:fill="CCEEFF"/>
          </w:tcPr>
          <w:p>
            <w:pPr>
              <w:jc w:val="right"/>
              <w:ind w:right="151"/>
              <w:spacing w:after="0"/>
              <w:rPr>
                <w:sz w:val="20"/>
                <w:szCs w:val="20"/>
                <w:color w:val="auto"/>
              </w:rPr>
            </w:pPr>
            <w:r>
              <w:rPr>
                <w:rFonts w:ascii="Times New Roman" w:cs="Times New Roman" w:eastAsia="Times New Roman" w:hAnsi="Times New Roman"/>
                <w:sz w:val="18"/>
                <w:szCs w:val="18"/>
                <w:color w:val="auto"/>
              </w:rPr>
              <w:t>522</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0" w:type="dxa"/>
            <w:vAlign w:val="bottom"/>
          </w:tcPr>
          <w:p>
            <w:pPr>
              <w:spacing w:after="0"/>
              <w:rPr>
                <w:sz w:val="19"/>
                <w:szCs w:val="19"/>
                <w:color w:val="auto"/>
              </w:rPr>
            </w:pPr>
          </w:p>
        </w:tc>
        <w:tc>
          <w:tcPr>
            <w:tcW w:w="4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Non-recurring fees</w:t>
            </w:r>
          </w:p>
        </w:tc>
        <w:tc>
          <w:tcPr>
            <w:tcW w:w="3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60" w:type="dxa"/>
            <w:vAlign w:val="bottom"/>
          </w:tcPr>
          <w:p>
            <w:pPr>
              <w:jc w:val="right"/>
              <w:ind w:right="131"/>
              <w:spacing w:after="0"/>
              <w:rPr>
                <w:sz w:val="20"/>
                <w:szCs w:val="20"/>
                <w:color w:val="auto"/>
              </w:rPr>
            </w:pPr>
            <w:r>
              <w:rPr>
                <w:rFonts w:ascii="Times New Roman" w:cs="Times New Roman" w:eastAsia="Times New Roman" w:hAnsi="Times New Roman"/>
                <w:sz w:val="18"/>
                <w:szCs w:val="18"/>
                <w:color w:val="auto"/>
              </w:rPr>
              <w:t>818</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00" w:type="dxa"/>
            <w:vAlign w:val="bottom"/>
          </w:tcPr>
          <w:p>
            <w:pPr>
              <w:jc w:val="right"/>
              <w:ind w:right="92"/>
              <w:spacing w:after="0"/>
              <w:rPr>
                <w:sz w:val="20"/>
                <w:szCs w:val="20"/>
                <w:color w:val="auto"/>
              </w:rPr>
            </w:pPr>
            <w:r>
              <w:rPr>
                <w:rFonts w:ascii="Times New Roman" w:cs="Times New Roman" w:eastAsia="Times New Roman" w:hAnsi="Times New Roman"/>
                <w:sz w:val="18"/>
                <w:szCs w:val="18"/>
                <w:color w:val="auto"/>
              </w:rPr>
              <w:t>(384)</w:t>
            </w: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840" w:type="dxa"/>
            <w:vAlign w:val="bottom"/>
          </w:tcPr>
          <w:p>
            <w:pPr>
              <w:jc w:val="right"/>
              <w:ind w:right="151"/>
              <w:spacing w:after="0"/>
              <w:rPr>
                <w:sz w:val="20"/>
                <w:szCs w:val="20"/>
                <w:color w:val="auto"/>
              </w:rPr>
            </w:pPr>
            <w:r>
              <w:rPr>
                <w:rFonts w:ascii="Times New Roman" w:cs="Times New Roman" w:eastAsia="Times New Roman" w:hAnsi="Times New Roman"/>
                <w:sz w:val="18"/>
                <w:szCs w:val="18"/>
                <w:color w:val="auto"/>
              </w:rPr>
              <w:t>818</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0" w:type="dxa"/>
            <w:vAlign w:val="bottom"/>
          </w:tcPr>
          <w:p>
            <w:pPr>
              <w:spacing w:after="0"/>
              <w:rPr>
                <w:sz w:val="19"/>
                <w:szCs w:val="19"/>
                <w:color w:val="auto"/>
              </w:rPr>
            </w:pPr>
          </w:p>
        </w:tc>
        <w:tc>
          <w:tcPr>
            <w:tcW w:w="4360" w:type="dxa"/>
            <w:vAlign w:val="bottom"/>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Extinguishment of debt</w:t>
            </w:r>
          </w:p>
        </w:tc>
        <w:tc>
          <w:tcPr>
            <w:tcW w:w="3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588</w:t>
            </w:r>
          </w:p>
        </w:tc>
        <w:tc>
          <w:tcPr>
            <w:tcW w:w="16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ind w:right="340"/>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0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8"/>
                <w:szCs w:val="18"/>
                <w:color w:val="auto"/>
              </w:rPr>
              <w:t>588</w:t>
            </w: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84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8"/>
                <w:szCs w:val="18"/>
                <w:color w:val="auto"/>
              </w:rPr>
              <w:t>(889)</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0" w:type="dxa"/>
            <w:vAlign w:val="bottom"/>
          </w:tcPr>
          <w:p>
            <w:pPr>
              <w:spacing w:after="0"/>
              <w:rPr>
                <w:sz w:val="19"/>
                <w:szCs w:val="19"/>
                <w:color w:val="auto"/>
              </w:rPr>
            </w:pPr>
          </w:p>
        </w:tc>
        <w:tc>
          <w:tcPr>
            <w:tcW w:w="4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Gain on sale of assets</w:t>
            </w:r>
          </w:p>
        </w:tc>
        <w:tc>
          <w:tcPr>
            <w:tcW w:w="3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6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8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840" w:type="dxa"/>
            <w:vAlign w:val="bottom"/>
          </w:tcPr>
          <w:p>
            <w:pPr>
              <w:jc w:val="right"/>
              <w:ind w:right="111"/>
              <w:spacing w:after="0"/>
              <w:rPr>
                <w:sz w:val="20"/>
                <w:szCs w:val="20"/>
                <w:color w:val="auto"/>
              </w:rPr>
            </w:pPr>
            <w:r>
              <w:rPr>
                <w:rFonts w:ascii="Times New Roman" w:cs="Times New Roman" w:eastAsia="Times New Roman" w:hAnsi="Times New Roman"/>
                <w:sz w:val="18"/>
                <w:szCs w:val="18"/>
                <w:color w:val="auto"/>
              </w:rPr>
              <w:t>(15,263)</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0" w:type="dxa"/>
            <w:vAlign w:val="bottom"/>
          </w:tcPr>
          <w:p>
            <w:pPr>
              <w:spacing w:after="0"/>
              <w:rPr>
                <w:sz w:val="19"/>
                <w:szCs w:val="19"/>
                <w:color w:val="auto"/>
              </w:rPr>
            </w:pPr>
          </w:p>
        </w:tc>
        <w:tc>
          <w:tcPr>
            <w:tcW w:w="4360" w:type="dxa"/>
            <w:vAlign w:val="bottom"/>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Strategic collaboration and license costs</w:t>
            </w:r>
          </w:p>
        </w:tc>
        <w:tc>
          <w:tcPr>
            <w:tcW w:w="3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9"/>
              </w:rPr>
              <w:t>265,856</w:t>
            </w:r>
          </w:p>
        </w:tc>
        <w:tc>
          <w:tcPr>
            <w:tcW w:w="16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ind w:right="340"/>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0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8"/>
                <w:szCs w:val="18"/>
                <w:color w:val="auto"/>
              </w:rPr>
              <w:t>266,356</w:t>
            </w: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840" w:type="dxa"/>
            <w:vAlign w:val="bottom"/>
            <w:shd w:val="clear" w:color="auto" w:fill="CCEEFF"/>
          </w:tcPr>
          <w:p>
            <w:pPr>
              <w:jc w:val="right"/>
              <w:ind w:right="151"/>
              <w:spacing w:after="0"/>
              <w:rPr>
                <w:sz w:val="20"/>
                <w:szCs w:val="20"/>
                <w:color w:val="auto"/>
              </w:rPr>
            </w:pPr>
            <w:r>
              <w:rPr>
                <w:rFonts w:ascii="Times New Roman" w:cs="Times New Roman" w:eastAsia="Times New Roman" w:hAnsi="Times New Roman"/>
                <w:sz w:val="18"/>
                <w:szCs w:val="18"/>
                <w:color w:val="auto"/>
              </w:rPr>
              <w:t>—</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0" w:type="dxa"/>
            <w:vAlign w:val="bottom"/>
          </w:tcPr>
          <w:p>
            <w:pPr>
              <w:spacing w:after="0"/>
              <w:rPr>
                <w:sz w:val="19"/>
                <w:szCs w:val="19"/>
                <w:color w:val="auto"/>
              </w:rPr>
            </w:pPr>
          </w:p>
        </w:tc>
        <w:tc>
          <w:tcPr>
            <w:tcW w:w="4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Integration costs</w:t>
            </w:r>
          </w:p>
        </w:tc>
        <w:tc>
          <w:tcPr>
            <w:tcW w:w="3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60" w:type="dxa"/>
            <w:vAlign w:val="bottom"/>
          </w:tcPr>
          <w:p>
            <w:pPr>
              <w:jc w:val="right"/>
              <w:ind w:right="131"/>
              <w:spacing w:after="0"/>
              <w:rPr>
                <w:sz w:val="20"/>
                <w:szCs w:val="20"/>
                <w:color w:val="auto"/>
              </w:rPr>
            </w:pPr>
            <w:r>
              <w:rPr>
                <w:rFonts w:ascii="Times New Roman" w:cs="Times New Roman" w:eastAsia="Times New Roman" w:hAnsi="Times New Roman"/>
                <w:sz w:val="18"/>
                <w:szCs w:val="18"/>
                <w:color w:val="auto"/>
              </w:rPr>
              <w:t>9</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8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840" w:type="dxa"/>
            <w:vAlign w:val="bottom"/>
          </w:tcPr>
          <w:p>
            <w:pPr>
              <w:jc w:val="right"/>
              <w:ind w:right="151"/>
              <w:spacing w:after="0"/>
              <w:rPr>
                <w:sz w:val="20"/>
                <w:szCs w:val="20"/>
                <w:color w:val="auto"/>
              </w:rPr>
            </w:pPr>
            <w:r>
              <w:rPr>
                <w:rFonts w:ascii="Times New Roman" w:cs="Times New Roman" w:eastAsia="Times New Roman" w:hAnsi="Times New Roman"/>
                <w:sz w:val="18"/>
                <w:szCs w:val="18"/>
                <w:color w:val="auto"/>
              </w:rPr>
              <w:t>102</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0" w:type="dxa"/>
            <w:vAlign w:val="bottom"/>
          </w:tcPr>
          <w:p>
            <w:pPr>
              <w:spacing w:after="0"/>
              <w:rPr>
                <w:sz w:val="19"/>
                <w:szCs w:val="19"/>
                <w:color w:val="auto"/>
              </w:rPr>
            </w:pPr>
          </w:p>
        </w:tc>
        <w:tc>
          <w:tcPr>
            <w:tcW w:w="4360" w:type="dxa"/>
            <w:vAlign w:val="bottom"/>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Acquisition-related costs</w:t>
            </w:r>
          </w:p>
        </w:tc>
        <w:tc>
          <w:tcPr>
            <w:tcW w:w="3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169</w:t>
            </w:r>
          </w:p>
        </w:tc>
        <w:tc>
          <w:tcPr>
            <w:tcW w:w="16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860" w:type="dxa"/>
            <w:vAlign w:val="bottom"/>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rPr>
              <w:t>823</w:t>
            </w:r>
          </w:p>
        </w:tc>
        <w:tc>
          <w:tcPr>
            <w:tcW w:w="10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0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8"/>
                <w:szCs w:val="18"/>
                <w:color w:val="auto"/>
              </w:rPr>
              <w:t>1,037</w:t>
            </w: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840" w:type="dxa"/>
            <w:vAlign w:val="bottom"/>
            <w:shd w:val="clear" w:color="auto" w:fill="CCEEFF"/>
          </w:tcPr>
          <w:p>
            <w:pPr>
              <w:jc w:val="right"/>
              <w:ind w:right="151"/>
              <w:spacing w:after="0"/>
              <w:rPr>
                <w:sz w:val="20"/>
                <w:szCs w:val="20"/>
                <w:color w:val="auto"/>
              </w:rPr>
            </w:pPr>
            <w:r>
              <w:rPr>
                <w:rFonts w:ascii="Times New Roman" w:cs="Times New Roman" w:eastAsia="Times New Roman" w:hAnsi="Times New Roman"/>
                <w:sz w:val="18"/>
                <w:szCs w:val="18"/>
                <w:color w:val="auto"/>
              </w:rPr>
              <w:t>1,549</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0" w:type="dxa"/>
            <w:vAlign w:val="bottom"/>
          </w:tcPr>
          <w:p>
            <w:pPr>
              <w:spacing w:after="0"/>
              <w:rPr>
                <w:sz w:val="19"/>
                <w:szCs w:val="19"/>
                <w:color w:val="auto"/>
              </w:rPr>
            </w:pPr>
          </w:p>
        </w:tc>
        <w:tc>
          <w:tcPr>
            <w:tcW w:w="4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Impairment of long-lived assets</w:t>
            </w:r>
          </w:p>
        </w:tc>
        <w:tc>
          <w:tcPr>
            <w:tcW w:w="3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60" w:type="dxa"/>
            <w:vAlign w:val="bottom"/>
          </w:tcPr>
          <w:p>
            <w:pPr>
              <w:jc w:val="right"/>
              <w:ind w:right="131"/>
              <w:spacing w:after="0"/>
              <w:rPr>
                <w:sz w:val="20"/>
                <w:szCs w:val="20"/>
                <w:color w:val="auto"/>
              </w:rPr>
            </w:pPr>
            <w:r>
              <w:rPr>
                <w:rFonts w:ascii="Times New Roman" w:cs="Times New Roman" w:eastAsia="Times New Roman" w:hAnsi="Times New Roman"/>
                <w:sz w:val="18"/>
                <w:szCs w:val="18"/>
                <w:color w:val="auto"/>
              </w:rPr>
              <w:t>189</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8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840" w:type="dxa"/>
            <w:vAlign w:val="bottom"/>
          </w:tcPr>
          <w:p>
            <w:pPr>
              <w:jc w:val="right"/>
              <w:ind w:right="151"/>
              <w:spacing w:after="0"/>
              <w:rPr>
                <w:sz w:val="20"/>
                <w:szCs w:val="20"/>
                <w:color w:val="auto"/>
              </w:rPr>
            </w:pPr>
            <w:r>
              <w:rPr>
                <w:rFonts w:ascii="Times New Roman" w:cs="Times New Roman" w:eastAsia="Times New Roman" w:hAnsi="Times New Roman"/>
                <w:sz w:val="18"/>
                <w:szCs w:val="18"/>
                <w:color w:val="auto"/>
              </w:rPr>
              <w:t>9,729</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0" w:type="dxa"/>
            <w:vAlign w:val="bottom"/>
          </w:tcPr>
          <w:p>
            <w:pPr>
              <w:spacing w:after="0"/>
              <w:rPr>
                <w:sz w:val="19"/>
                <w:szCs w:val="19"/>
                <w:color w:val="auto"/>
              </w:rPr>
            </w:pPr>
          </w:p>
        </w:tc>
        <w:tc>
          <w:tcPr>
            <w:tcW w:w="4360" w:type="dxa"/>
            <w:vAlign w:val="bottom"/>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ARO Acceleration and other related costs</w:t>
            </w:r>
          </w:p>
        </w:tc>
        <w:tc>
          <w:tcPr>
            <w:tcW w:w="3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(968)</w:t>
            </w:r>
          </w:p>
        </w:tc>
        <w:tc>
          <w:tcPr>
            <w:tcW w:w="16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860" w:type="dxa"/>
            <w:vAlign w:val="bottom"/>
            <w:shd w:val="clear" w:color="auto" w:fill="CCEEFF"/>
          </w:tcPr>
          <w:p>
            <w:pPr>
              <w:jc w:val="right"/>
              <w:ind w:right="151"/>
              <w:spacing w:after="0"/>
              <w:rPr>
                <w:sz w:val="20"/>
                <w:szCs w:val="20"/>
                <w:color w:val="auto"/>
              </w:rPr>
            </w:pPr>
            <w:r>
              <w:rPr>
                <w:rFonts w:ascii="Times New Roman" w:cs="Times New Roman" w:eastAsia="Times New Roman" w:hAnsi="Times New Roman"/>
                <w:sz w:val="18"/>
                <w:szCs w:val="18"/>
                <w:color w:val="auto"/>
              </w:rPr>
              <w:t>5,259</w:t>
            </w:r>
          </w:p>
        </w:tc>
        <w:tc>
          <w:tcPr>
            <w:tcW w:w="10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0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18"/>
                <w:szCs w:val="18"/>
                <w:color w:val="auto"/>
              </w:rPr>
              <w:t>2,119</w:t>
            </w: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840" w:type="dxa"/>
            <w:vAlign w:val="bottom"/>
            <w:shd w:val="clear" w:color="auto" w:fill="CCEEFF"/>
          </w:tcPr>
          <w:p>
            <w:pPr>
              <w:jc w:val="right"/>
              <w:ind w:right="151"/>
              <w:spacing w:after="0"/>
              <w:rPr>
                <w:sz w:val="20"/>
                <w:szCs w:val="20"/>
                <w:color w:val="auto"/>
              </w:rPr>
            </w:pPr>
            <w:r>
              <w:rPr>
                <w:rFonts w:ascii="Times New Roman" w:cs="Times New Roman" w:eastAsia="Times New Roman" w:hAnsi="Times New Roman"/>
                <w:sz w:val="18"/>
                <w:szCs w:val="18"/>
                <w:color w:val="auto"/>
              </w:rPr>
              <w:t>5,259</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0" w:type="dxa"/>
            <w:vAlign w:val="bottom"/>
          </w:tcPr>
          <w:p>
            <w:pPr>
              <w:spacing w:after="0"/>
              <w:rPr>
                <w:sz w:val="19"/>
                <w:szCs w:val="19"/>
                <w:color w:val="auto"/>
              </w:rPr>
            </w:pPr>
          </w:p>
        </w:tc>
        <w:tc>
          <w:tcPr>
            <w:tcW w:w="4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Other</w:t>
            </w:r>
          </w:p>
        </w:tc>
        <w:tc>
          <w:tcPr>
            <w:tcW w:w="3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583</w:t>
            </w: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60" w:type="dxa"/>
            <w:vAlign w:val="bottom"/>
          </w:tcPr>
          <w:p>
            <w:pPr>
              <w:jc w:val="right"/>
              <w:ind w:right="131"/>
              <w:spacing w:after="0"/>
              <w:rPr>
                <w:sz w:val="20"/>
                <w:szCs w:val="20"/>
                <w:color w:val="auto"/>
              </w:rPr>
            </w:pPr>
            <w:r>
              <w:rPr>
                <w:rFonts w:ascii="Times New Roman" w:cs="Times New Roman" w:eastAsia="Times New Roman" w:hAnsi="Times New Roman"/>
                <w:sz w:val="18"/>
                <w:szCs w:val="18"/>
                <w:color w:val="auto"/>
              </w:rPr>
              <w:t>2</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00" w:type="dxa"/>
            <w:vAlign w:val="bottom"/>
          </w:tcPr>
          <w:p>
            <w:pPr>
              <w:jc w:val="right"/>
              <w:ind w:right="152"/>
              <w:spacing w:after="0"/>
              <w:rPr>
                <w:sz w:val="20"/>
                <w:szCs w:val="20"/>
                <w:color w:val="auto"/>
              </w:rPr>
            </w:pPr>
            <w:r>
              <w:rPr>
                <w:rFonts w:ascii="Times New Roman" w:cs="Times New Roman" w:eastAsia="Times New Roman" w:hAnsi="Times New Roman"/>
                <w:sz w:val="18"/>
                <w:szCs w:val="18"/>
                <w:color w:val="auto"/>
              </w:rPr>
              <w:t>694</w:t>
            </w: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840" w:type="dxa"/>
            <w:vAlign w:val="bottom"/>
          </w:tcPr>
          <w:p>
            <w:pPr>
              <w:jc w:val="right"/>
              <w:ind w:right="151"/>
              <w:spacing w:after="0"/>
              <w:rPr>
                <w:sz w:val="20"/>
                <w:szCs w:val="20"/>
                <w:color w:val="auto"/>
              </w:rPr>
            </w:pPr>
            <w:r>
              <w:rPr>
                <w:rFonts w:ascii="Times New Roman" w:cs="Times New Roman" w:eastAsia="Times New Roman" w:hAnsi="Times New Roman"/>
                <w:sz w:val="18"/>
                <w:szCs w:val="18"/>
                <w:color w:val="auto"/>
              </w:rPr>
              <w:t>62</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0" w:type="dxa"/>
            <w:vAlign w:val="bottom"/>
          </w:tcPr>
          <w:p>
            <w:pPr>
              <w:spacing w:after="0"/>
              <w:rPr>
                <w:sz w:val="19"/>
                <w:szCs w:val="19"/>
                <w:color w:val="auto"/>
              </w:rPr>
            </w:pPr>
          </w:p>
        </w:tc>
        <w:tc>
          <w:tcPr>
            <w:tcW w:w="4360" w:type="dxa"/>
            <w:vAlign w:val="bottom"/>
            <w:shd w:val="clear" w:color="auto" w:fill="CCEEFF"/>
          </w:tcPr>
          <w:p>
            <w:pPr>
              <w:ind w:left="200"/>
              <w:spacing w:after="0" w:line="230" w:lineRule="exact"/>
              <w:rPr>
                <w:sz w:val="20"/>
                <w:szCs w:val="20"/>
                <w:color w:val="auto"/>
              </w:rPr>
            </w:pPr>
            <w:r>
              <w:rPr>
                <w:rFonts w:ascii="Times New Roman" w:cs="Times New Roman" w:eastAsia="Times New Roman" w:hAnsi="Times New Roman"/>
                <w:sz w:val="18"/>
                <w:szCs w:val="18"/>
                <w:color w:val="auto"/>
              </w:rPr>
              <w:t>Income tax effect of non-GAAP adjustments</w:t>
            </w:r>
            <w:r>
              <w:rPr>
                <w:rFonts w:ascii="Times New Roman" w:cs="Times New Roman" w:eastAsia="Times New Roman" w:hAnsi="Times New Roman"/>
                <w:sz w:val="23"/>
                <w:szCs w:val="23"/>
                <w:color w:val="auto"/>
                <w:vertAlign w:val="superscript"/>
              </w:rPr>
              <w:t>(b)</w:t>
            </w:r>
          </w:p>
        </w:tc>
        <w:tc>
          <w:tcPr>
            <w:tcW w:w="300" w:type="dxa"/>
            <w:vAlign w:val="bottom"/>
            <w:tcBorders>
              <w:bottom w:val="single" w:sz="8" w:color="auto"/>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(76,227)</w:t>
            </w:r>
          </w:p>
        </w:tc>
        <w:tc>
          <w:tcPr>
            <w:tcW w:w="160" w:type="dxa"/>
            <w:vAlign w:val="bottom"/>
            <w:tcBorders>
              <w:bottom w:val="single" w:sz="8" w:color="auto"/>
            </w:tcBorders>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ind w:right="91"/>
              <w:spacing w:after="0"/>
              <w:rPr>
                <w:sz w:val="20"/>
                <w:szCs w:val="20"/>
                <w:color w:val="auto"/>
              </w:rPr>
            </w:pPr>
            <w:r>
              <w:rPr>
                <w:rFonts w:ascii="Times New Roman" w:cs="Times New Roman" w:eastAsia="Times New Roman" w:hAnsi="Times New Roman"/>
                <w:sz w:val="18"/>
                <w:szCs w:val="18"/>
                <w:color w:val="auto"/>
              </w:rPr>
              <w:t>(6,079)</w:t>
            </w:r>
          </w:p>
        </w:tc>
        <w:tc>
          <w:tcPr>
            <w:tcW w:w="100" w:type="dxa"/>
            <w:vAlign w:val="bottom"/>
            <w:shd w:val="clear" w:color="auto" w:fill="CCEEFF"/>
          </w:tcPr>
          <w:p>
            <w:pPr>
              <w:spacing w:after="0"/>
              <w:rPr>
                <w:sz w:val="19"/>
                <w:szCs w:val="19"/>
                <w:color w:val="auto"/>
              </w:rPr>
            </w:pPr>
          </w:p>
        </w:tc>
        <w:tc>
          <w:tcPr>
            <w:tcW w:w="60" w:type="dxa"/>
            <w:vAlign w:val="bottom"/>
            <w:tcBorders>
              <w:bottom w:val="single" w:sz="8" w:color="auto"/>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ind w:right="92"/>
              <w:spacing w:after="0"/>
              <w:rPr>
                <w:sz w:val="20"/>
                <w:szCs w:val="20"/>
                <w:color w:val="auto"/>
              </w:rPr>
            </w:pPr>
            <w:r>
              <w:rPr>
                <w:rFonts w:ascii="Times New Roman" w:cs="Times New Roman" w:eastAsia="Times New Roman" w:hAnsi="Times New Roman"/>
                <w:sz w:val="18"/>
                <w:szCs w:val="18"/>
                <w:color w:val="auto"/>
              </w:rPr>
              <w:t>(97,739)</w:t>
            </w:r>
          </w:p>
        </w:tc>
        <w:tc>
          <w:tcPr>
            <w:tcW w:w="80" w:type="dxa"/>
            <w:vAlign w:val="bottom"/>
            <w:shd w:val="clear" w:color="auto" w:fill="CCEEFF"/>
          </w:tcPr>
          <w:p>
            <w:pPr>
              <w:spacing w:after="0"/>
              <w:rPr>
                <w:sz w:val="19"/>
                <w:szCs w:val="19"/>
                <w:color w:val="auto"/>
              </w:rPr>
            </w:pPr>
          </w:p>
        </w:tc>
        <w:tc>
          <w:tcPr>
            <w:tcW w:w="20" w:type="dxa"/>
            <w:vAlign w:val="bottom"/>
            <w:tcBorders>
              <w:bottom w:val="single" w:sz="8" w:color="auto"/>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300" w:type="dxa"/>
            <w:vAlign w:val="bottom"/>
            <w:tcBorders>
              <w:bottom w:val="single" w:sz="8" w:color="auto"/>
            </w:tcBorders>
            <w:shd w:val="clear" w:color="auto" w:fill="CCEEFF"/>
          </w:tcPr>
          <w:p>
            <w:pPr>
              <w:spacing w:after="0"/>
              <w:rPr>
                <w:sz w:val="19"/>
                <w:szCs w:val="19"/>
                <w:color w:val="auto"/>
              </w:rPr>
            </w:pPr>
          </w:p>
        </w:tc>
        <w:tc>
          <w:tcPr>
            <w:tcW w:w="840" w:type="dxa"/>
            <w:vAlign w:val="bottom"/>
            <w:tcBorders>
              <w:bottom w:val="single" w:sz="8" w:color="auto"/>
            </w:tcBorders>
            <w:shd w:val="clear" w:color="auto" w:fill="CCEEFF"/>
          </w:tcPr>
          <w:p>
            <w:pPr>
              <w:jc w:val="right"/>
              <w:ind w:right="111"/>
              <w:spacing w:after="0"/>
              <w:rPr>
                <w:sz w:val="20"/>
                <w:szCs w:val="20"/>
                <w:color w:val="auto"/>
              </w:rPr>
            </w:pPr>
            <w:r>
              <w:rPr>
                <w:rFonts w:ascii="Times New Roman" w:cs="Times New Roman" w:eastAsia="Times New Roman" w:hAnsi="Times New Roman"/>
                <w:sz w:val="18"/>
                <w:szCs w:val="18"/>
                <w:color w:val="auto"/>
              </w:rPr>
              <w:t>(12,138)</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60" w:type="dxa"/>
            <w:vAlign w:val="bottom"/>
          </w:tcPr>
          <w:p>
            <w:pPr>
              <w:spacing w:after="0"/>
              <w:rPr>
                <w:sz w:val="19"/>
                <w:szCs w:val="19"/>
                <w:color w:val="auto"/>
              </w:rPr>
            </w:pPr>
          </w:p>
        </w:tc>
        <w:tc>
          <w:tcPr>
            <w:tcW w:w="4360" w:type="dxa"/>
            <w:vAlign w:val="bottom"/>
            <w:tcBorders>
              <w:bottom w:val="single" w:sz="8" w:color="CCEEFF"/>
            </w:tcBorders>
          </w:tcPr>
          <w:p>
            <w:pPr>
              <w:spacing w:after="0"/>
              <w:rPr>
                <w:sz w:val="20"/>
                <w:szCs w:val="20"/>
                <w:color w:val="auto"/>
              </w:rPr>
            </w:pPr>
            <w:r>
              <w:rPr>
                <w:rFonts w:ascii="Times New Roman" w:cs="Times New Roman" w:eastAsia="Times New Roman" w:hAnsi="Times New Roman"/>
                <w:sz w:val="18"/>
                <w:szCs w:val="18"/>
                <w:color w:val="auto"/>
              </w:rPr>
              <w:t>Adjusted net income</w:t>
            </w:r>
          </w:p>
        </w:tc>
        <w:tc>
          <w:tcPr>
            <w:tcW w:w="300" w:type="dxa"/>
            <w:vAlign w:val="bottom"/>
            <w:tcBorders>
              <w:bottom w:val="single" w:sz="8" w:color="auto"/>
            </w:tcBorders>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14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96,617</w:t>
            </w:r>
          </w:p>
        </w:tc>
        <w:tc>
          <w:tcPr>
            <w:tcW w:w="160" w:type="dxa"/>
            <w:vAlign w:val="bottom"/>
            <w:tcBorders>
              <w:bottom w:val="single" w:sz="8" w:color="auto"/>
            </w:tcBorders>
          </w:tcPr>
          <w:p>
            <w:pPr>
              <w:spacing w:after="0"/>
              <w:rPr>
                <w:sz w:val="19"/>
                <w:szCs w:val="19"/>
                <w:color w:val="auto"/>
              </w:rPr>
            </w:pPr>
          </w:p>
        </w:tc>
        <w:tc>
          <w:tcPr>
            <w:tcW w:w="8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ind w:right="151"/>
              <w:spacing w:after="0"/>
              <w:rPr>
                <w:sz w:val="20"/>
                <w:szCs w:val="20"/>
                <w:color w:val="auto"/>
              </w:rPr>
            </w:pPr>
            <w:r>
              <w:rPr>
                <w:rFonts w:ascii="Times New Roman" w:cs="Times New Roman" w:eastAsia="Times New Roman" w:hAnsi="Times New Roman"/>
                <w:sz w:val="18"/>
                <w:szCs w:val="18"/>
                <w:color w:val="auto"/>
              </w:rPr>
              <w:t>17,241</w:t>
            </w:r>
          </w:p>
        </w:tc>
        <w:tc>
          <w:tcPr>
            <w:tcW w:w="10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gridSpan w:val="2"/>
          </w:tcPr>
          <w:p>
            <w:pPr>
              <w:jc w:val="right"/>
              <w:ind w:right="100"/>
              <w:spacing w:after="0"/>
              <w:rPr>
                <w:sz w:val="20"/>
                <w:szCs w:val="20"/>
                <w:color w:val="auto"/>
              </w:rPr>
            </w:pPr>
            <w:r>
              <w:rPr>
                <w:rFonts w:ascii="Times New Roman" w:cs="Times New Roman" w:eastAsia="Times New Roman" w:hAnsi="Times New Roman"/>
                <w:sz w:val="18"/>
                <w:szCs w:val="18"/>
                <w:color w:val="auto"/>
                <w:w w:val="88"/>
              </w:rPr>
              <w:t>$</w:t>
            </w:r>
          </w:p>
        </w:tc>
        <w:tc>
          <w:tcPr>
            <w:tcW w:w="18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18"/>
                <w:szCs w:val="18"/>
                <w:color w:val="auto"/>
              </w:rPr>
              <w:t>297,995</w:t>
            </w:r>
          </w:p>
        </w:tc>
        <w:tc>
          <w:tcPr>
            <w:tcW w:w="8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gridSpan w:val="2"/>
          </w:tcPr>
          <w:p>
            <w:pPr>
              <w:jc w:val="center"/>
              <w:ind w:right="40"/>
              <w:spacing w:after="0"/>
              <w:rPr>
                <w:sz w:val="20"/>
                <w:szCs w:val="20"/>
                <w:color w:val="auto"/>
              </w:rPr>
            </w:pPr>
            <w:r>
              <w:rPr>
                <w:rFonts w:ascii="Times New Roman" w:cs="Times New Roman" w:eastAsia="Times New Roman" w:hAnsi="Times New Roman"/>
                <w:sz w:val="18"/>
                <w:szCs w:val="18"/>
                <w:color w:val="auto"/>
                <w:w w:val="88"/>
              </w:rPr>
              <w:t>$</w:t>
            </w:r>
          </w:p>
        </w:tc>
        <w:tc>
          <w:tcPr>
            <w:tcW w:w="30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right"/>
              <w:ind w:right="151"/>
              <w:spacing w:after="0"/>
              <w:rPr>
                <w:sz w:val="20"/>
                <w:szCs w:val="20"/>
                <w:color w:val="auto"/>
              </w:rPr>
            </w:pPr>
            <w:r>
              <w:rPr>
                <w:rFonts w:ascii="Times New Roman" w:cs="Times New Roman" w:eastAsia="Times New Roman" w:hAnsi="Times New Roman"/>
                <w:sz w:val="18"/>
                <w:szCs w:val="18"/>
                <w:color w:val="auto"/>
              </w:rPr>
              <w:t>34,005</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8"/>
        </w:trPr>
        <w:tc>
          <w:tcPr>
            <w:tcW w:w="60" w:type="dxa"/>
            <w:vAlign w:val="bottom"/>
          </w:tcPr>
          <w:p>
            <w:pPr>
              <w:spacing w:after="0"/>
              <w:rPr>
                <w:sz w:val="21"/>
                <w:szCs w:val="21"/>
                <w:color w:val="auto"/>
              </w:rPr>
            </w:pPr>
          </w:p>
        </w:tc>
        <w:tc>
          <w:tcPr>
            <w:tcW w:w="436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Adjusted net income, as a percentage of revenues</w:t>
            </w:r>
          </w:p>
        </w:tc>
        <w:tc>
          <w:tcPr>
            <w:tcW w:w="300" w:type="dxa"/>
            <w:vAlign w:val="bottom"/>
            <w:tcBorders>
              <w:bottom w:val="single" w:sz="8" w:color="auto"/>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spacing w:after="0"/>
              <w:rPr>
                <w:sz w:val="21"/>
                <w:szCs w:val="21"/>
                <w:color w:val="auto"/>
              </w:rPr>
            </w:pPr>
          </w:p>
        </w:tc>
        <w:tc>
          <w:tcPr>
            <w:tcW w:w="840" w:type="dxa"/>
            <w:vAlign w:val="bottom"/>
            <w:tcBorders>
              <w:bottom w:val="single" w:sz="8" w:color="auto"/>
            </w:tcBorders>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36.7 %</w:t>
            </w: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spacing w:after="0"/>
              <w:rPr>
                <w:sz w:val="21"/>
                <w:szCs w:val="21"/>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13.3 %</w:t>
            </w:r>
          </w:p>
        </w:tc>
        <w:tc>
          <w:tcPr>
            <w:tcW w:w="10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auto"/>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spacing w:after="0"/>
              <w:rPr>
                <w:sz w:val="21"/>
                <w:szCs w:val="21"/>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31.9 %</w:t>
            </w:r>
          </w:p>
        </w:tc>
        <w:tc>
          <w:tcPr>
            <w:tcW w:w="8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auto"/>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spacing w:after="0"/>
              <w:rPr>
                <w:sz w:val="21"/>
                <w:szCs w:val="21"/>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8.0 %</w:t>
            </w: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60" w:type="dxa"/>
            <w:vAlign w:val="bottom"/>
          </w:tcPr>
          <w:p>
            <w:pPr>
              <w:spacing w:after="0" w:line="20" w:lineRule="exact"/>
              <w:rPr>
                <w:sz w:val="1"/>
                <w:szCs w:val="1"/>
                <w:color w:val="auto"/>
              </w:rPr>
            </w:pPr>
          </w:p>
        </w:tc>
        <w:tc>
          <w:tcPr>
            <w:tcW w:w="436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gridSpan w:val="2"/>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160" w:type="dxa"/>
            <w:vAlign w:val="bottom"/>
            <w:tcBorders>
              <w:top w:val="single" w:sz="8" w:color="CCEEFF"/>
              <w:bottom w:val="single" w:sz="8" w:color="auto"/>
            </w:tcBorders>
            <w:gridSpan w:val="3"/>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0"/>
        </w:trPr>
        <w:tc>
          <w:tcPr>
            <w:tcW w:w="60" w:type="dxa"/>
            <w:vAlign w:val="bottom"/>
          </w:tcPr>
          <w:p>
            <w:pPr>
              <w:spacing w:after="0"/>
              <w:rPr>
                <w:sz w:val="24"/>
                <w:szCs w:val="24"/>
                <w:color w:val="auto"/>
              </w:rPr>
            </w:pPr>
          </w:p>
        </w:tc>
        <w:tc>
          <w:tcPr>
            <w:tcW w:w="43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300" w:type="dxa"/>
            <w:vAlign w:val="bottom"/>
            <w:gridSpan w:val="8"/>
          </w:tcPr>
          <w:p>
            <w:pPr>
              <w:jc w:val="right"/>
              <w:ind w:right="560"/>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40" w:type="dxa"/>
            <w:vAlign w:val="bottom"/>
            <w:gridSpan w:val="5"/>
          </w:tcPr>
          <w:p>
            <w:pPr>
              <w:jc w:val="center"/>
              <w:ind w:left="572"/>
              <w:spacing w:after="0"/>
              <w:rPr>
                <w:sz w:val="20"/>
                <w:szCs w:val="20"/>
                <w:color w:val="auto"/>
              </w:rPr>
            </w:pPr>
            <w:r>
              <w:rPr>
                <w:rFonts w:ascii="Times New Roman" w:cs="Times New Roman" w:eastAsia="Times New Roman" w:hAnsi="Times New Roman"/>
                <w:sz w:val="14"/>
                <w:szCs w:val="14"/>
                <w:b w:val="1"/>
                <w:bCs w:val="1"/>
                <w:color w:val="auto"/>
              </w:rPr>
              <w:t>Year Ended</w:t>
            </w: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60" w:type="dxa"/>
            <w:vAlign w:val="bottom"/>
          </w:tcPr>
          <w:p>
            <w:pPr>
              <w:spacing w:after="0"/>
              <w:rPr>
                <w:sz w:val="17"/>
                <w:szCs w:val="17"/>
                <w:color w:val="auto"/>
              </w:rPr>
            </w:pPr>
          </w:p>
        </w:tc>
        <w:tc>
          <w:tcPr>
            <w:tcW w:w="43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spacing w:after="0"/>
              <w:rPr>
                <w:sz w:val="17"/>
                <w:szCs w:val="17"/>
                <w:color w:val="auto"/>
              </w:rPr>
            </w:pPr>
          </w:p>
        </w:tc>
        <w:tc>
          <w:tcPr>
            <w:tcW w:w="1620" w:type="dxa"/>
            <w:vAlign w:val="bottom"/>
            <w:tcBorders>
              <w:bottom w:val="single" w:sz="8" w:color="auto"/>
            </w:tcBorders>
            <w:gridSpan w:val="7"/>
          </w:tcPr>
          <w:p>
            <w:pPr>
              <w:jc w:val="right"/>
              <w:ind w:right="780"/>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60" w:type="dxa"/>
            <w:vAlign w:val="bottom"/>
            <w:tcBorders>
              <w:bottom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2320" w:type="dxa"/>
            <w:vAlign w:val="bottom"/>
            <w:tcBorders>
              <w:bottom w:val="single" w:sz="8" w:color="auto"/>
            </w:tcBorders>
            <w:gridSpan w:val="7"/>
          </w:tcPr>
          <w:p>
            <w:pPr>
              <w:jc w:val="center"/>
              <w:ind w:right="180"/>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0" w:type="dxa"/>
            <w:vAlign w:val="bottom"/>
          </w:tcPr>
          <w:p>
            <w:pPr>
              <w:spacing w:after="0"/>
              <w:rPr>
                <w:sz w:val="1"/>
                <w:szCs w:val="1"/>
                <w:color w:val="auto"/>
              </w:rPr>
            </w:pPr>
          </w:p>
        </w:tc>
      </w:tr>
      <w:tr>
        <w:trPr>
          <w:trHeight w:val="196"/>
        </w:trPr>
        <w:tc>
          <w:tcPr>
            <w:tcW w:w="60" w:type="dxa"/>
            <w:vAlign w:val="bottom"/>
            <w:tcBorders>
              <w:bottom w:val="single" w:sz="8" w:color="CCEEFF"/>
            </w:tcBorders>
          </w:tcPr>
          <w:p>
            <w:pPr>
              <w:spacing w:after="0"/>
              <w:rPr>
                <w:sz w:val="17"/>
                <w:szCs w:val="17"/>
                <w:color w:val="auto"/>
              </w:rPr>
            </w:pPr>
          </w:p>
        </w:tc>
        <w:tc>
          <w:tcPr>
            <w:tcW w:w="4360" w:type="dxa"/>
            <w:vAlign w:val="bottom"/>
            <w:tcBorders>
              <w:bottom w:val="single" w:sz="8" w:color="CCEEFF"/>
            </w:tcBorders>
          </w:tcPr>
          <w:p>
            <w:pPr>
              <w:spacing w:after="0"/>
              <w:rPr>
                <w:sz w:val="17"/>
                <w:szCs w:val="17"/>
                <w:color w:val="auto"/>
              </w:rPr>
            </w:pPr>
          </w:p>
        </w:tc>
        <w:tc>
          <w:tcPr>
            <w:tcW w:w="30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2022</w:t>
            </w:r>
          </w:p>
        </w:tc>
        <w:tc>
          <w:tcPr>
            <w:tcW w:w="16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4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ind w:right="191"/>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14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ind w:right="252"/>
              <w:spacing w:after="0"/>
              <w:rPr>
                <w:sz w:val="20"/>
                <w:szCs w:val="20"/>
                <w:color w:val="auto"/>
              </w:rPr>
            </w:pPr>
            <w:r>
              <w:rPr>
                <w:rFonts w:ascii="Times New Roman" w:cs="Times New Roman" w:eastAsia="Times New Roman" w:hAnsi="Times New Roman"/>
                <w:sz w:val="14"/>
                <w:szCs w:val="14"/>
                <w:b w:val="1"/>
                <w:bCs w:val="1"/>
                <w:color w:val="auto"/>
              </w:rPr>
              <w:t>2022</w:t>
            </w:r>
          </w:p>
        </w:tc>
        <w:tc>
          <w:tcPr>
            <w:tcW w:w="80" w:type="dxa"/>
            <w:vAlign w:val="bottom"/>
            <w:tcBorders>
              <w:bottom w:val="single" w:sz="8" w:color="auto"/>
            </w:tcBorders>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140" w:type="dxa"/>
            <w:vAlign w:val="bottom"/>
            <w:tcBorders>
              <w:bottom w:val="single" w:sz="8" w:color="CCEEFF"/>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840" w:type="dxa"/>
            <w:vAlign w:val="bottom"/>
            <w:tcBorders>
              <w:bottom w:val="single" w:sz="8" w:color="auto"/>
            </w:tcBorders>
          </w:tcPr>
          <w:p>
            <w:pPr>
              <w:jc w:val="right"/>
              <w:ind w:right="331"/>
              <w:spacing w:after="0"/>
              <w:rPr>
                <w:sz w:val="20"/>
                <w:szCs w:val="20"/>
                <w:color w:val="auto"/>
              </w:rPr>
            </w:pPr>
            <w:r>
              <w:rPr>
                <w:rFonts w:ascii="Times New Roman" w:cs="Times New Roman" w:eastAsia="Times New Roman" w:hAnsi="Times New Roman"/>
                <w:sz w:val="14"/>
                <w:szCs w:val="14"/>
                <w:b w:val="1"/>
                <w:bCs w:val="1"/>
                <w:color w:val="auto"/>
              </w:rPr>
              <w:t>2021</w:t>
            </w:r>
          </w:p>
        </w:tc>
        <w:tc>
          <w:tcPr>
            <w:tcW w:w="4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54"/>
        </w:trPr>
        <w:tc>
          <w:tcPr>
            <w:tcW w:w="442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Net income (loss) per share - diluted</w:t>
            </w:r>
          </w:p>
        </w:tc>
        <w:tc>
          <w:tcPr>
            <w:tcW w:w="3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tcBorders>
              <w:bottom w:val="single" w:sz="8" w:color="auto"/>
            </w:tcBorders>
            <w:gridSpan w:val="4"/>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(1.74)</w:t>
            </w:r>
          </w:p>
        </w:tc>
        <w:tc>
          <w:tcPr>
            <w:tcW w:w="14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tcBorders>
              <w:bottom w:val="single" w:sz="8" w:color="auto"/>
            </w:tcBorders>
            <w:gridSpan w:val="3"/>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(0.59)</w:t>
            </w:r>
          </w:p>
        </w:tc>
        <w:tc>
          <w:tcPr>
            <w:tcW w:w="1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Borders>
              <w:bottom w:val="single" w:sz="8" w:color="auto"/>
            </w:tcBorders>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0.40</w:t>
            </w:r>
          </w:p>
        </w:tc>
        <w:tc>
          <w:tcPr>
            <w:tcW w:w="20" w:type="dxa"/>
            <w:vAlign w:val="bottom"/>
            <w:tcBorders>
              <w:bottom w:val="single" w:sz="8" w:color="auto"/>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bottom w:val="single" w:sz="8" w:color="auto"/>
            </w:tcBorders>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(1.06)</w:t>
            </w:r>
          </w:p>
        </w:tc>
        <w:tc>
          <w:tcPr>
            <w:tcW w:w="0" w:type="dxa"/>
            <w:vAlign w:val="bottom"/>
          </w:tcPr>
          <w:p>
            <w:pPr>
              <w:spacing w:after="0"/>
              <w:rPr>
                <w:sz w:val="1"/>
                <w:szCs w:val="1"/>
                <w:color w:val="auto"/>
              </w:rPr>
            </w:pPr>
          </w:p>
        </w:tc>
      </w:tr>
      <w:tr>
        <w:trPr>
          <w:trHeight w:val="20"/>
        </w:trPr>
        <w:tc>
          <w:tcPr>
            <w:tcW w:w="60" w:type="dxa"/>
            <w:vAlign w:val="bottom"/>
            <w:tcBorders>
              <w:top w:val="single" w:sz="8" w:color="CCEEFF"/>
            </w:tcBorders>
          </w:tcPr>
          <w:p>
            <w:pPr>
              <w:spacing w:after="0" w:line="20" w:lineRule="exact"/>
              <w:rPr>
                <w:sz w:val="1"/>
                <w:szCs w:val="1"/>
                <w:color w:val="auto"/>
              </w:rPr>
            </w:pPr>
          </w:p>
        </w:tc>
        <w:tc>
          <w:tcPr>
            <w:tcW w:w="4360" w:type="dxa"/>
            <w:vAlign w:val="bottom"/>
            <w:tcBorders>
              <w:top w:val="single" w:sz="8" w:color="CCEEFF"/>
              <w:bottom w:val="single" w:sz="8" w:color="CCEEFF"/>
            </w:tcBorders>
            <w:vMerge w:val="restart"/>
          </w:tcPr>
          <w:p>
            <w:pPr>
              <w:ind w:left="160"/>
              <w:spacing w:after="0"/>
              <w:rPr>
                <w:sz w:val="20"/>
                <w:szCs w:val="20"/>
                <w:color w:val="auto"/>
              </w:rPr>
            </w:pPr>
            <w:r>
              <w:rPr>
                <w:rFonts w:ascii="Times New Roman" w:cs="Times New Roman" w:eastAsia="Times New Roman" w:hAnsi="Times New Roman"/>
                <w:sz w:val="18"/>
                <w:szCs w:val="18"/>
                <w:color w:val="auto"/>
              </w:rPr>
              <w:t>Stock and incentive plan compensation</w:t>
            </w:r>
          </w:p>
        </w:tc>
        <w:tc>
          <w:tcPr>
            <w:tcW w:w="3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gridSpan w:val="4"/>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gridSpan w:val="2"/>
          </w:tcPr>
          <w:p>
            <w:pPr>
              <w:spacing w:after="0" w:line="20" w:lineRule="exact"/>
              <w:rPr>
                <w:sz w:val="1"/>
                <w:szCs w:val="1"/>
                <w:color w:val="auto"/>
              </w:rPr>
            </w:pPr>
          </w:p>
        </w:tc>
        <w:tc>
          <w:tcPr>
            <w:tcW w:w="6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gridSpan w:val="2"/>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60" w:type="dxa"/>
            <w:vAlign w:val="bottom"/>
          </w:tcPr>
          <w:p>
            <w:pPr>
              <w:spacing w:after="0"/>
              <w:rPr>
                <w:sz w:val="17"/>
                <w:szCs w:val="17"/>
                <w:color w:val="auto"/>
              </w:rPr>
            </w:pPr>
          </w:p>
        </w:tc>
        <w:tc>
          <w:tcPr>
            <w:tcW w:w="4360" w:type="dxa"/>
            <w:vAlign w:val="bottom"/>
            <w:vMerge w:val="continue"/>
          </w:tcPr>
          <w:p>
            <w:pPr>
              <w:spacing w:after="0"/>
              <w:rPr>
                <w:sz w:val="17"/>
                <w:szCs w:val="17"/>
                <w:color w:val="auto"/>
              </w:rPr>
            </w:pPr>
          </w:p>
        </w:tc>
        <w:tc>
          <w:tcPr>
            <w:tcW w:w="3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40" w:type="dxa"/>
            <w:vAlign w:val="bottom"/>
            <w:gridSpan w:val="4"/>
          </w:tcPr>
          <w:p>
            <w:pPr>
              <w:jc w:val="right"/>
              <w:spacing w:after="0" w:line="203" w:lineRule="exact"/>
              <w:rPr>
                <w:sz w:val="20"/>
                <w:szCs w:val="20"/>
                <w:color w:val="auto"/>
              </w:rPr>
            </w:pPr>
            <w:r>
              <w:rPr>
                <w:rFonts w:ascii="Times New Roman" w:cs="Times New Roman" w:eastAsia="Times New Roman" w:hAnsi="Times New Roman"/>
                <w:sz w:val="18"/>
                <w:szCs w:val="18"/>
                <w:color w:val="auto"/>
              </w:rPr>
              <w:t>0.12</w:t>
            </w: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60" w:type="dxa"/>
            <w:vAlign w:val="bottom"/>
            <w:gridSpan w:val="2"/>
          </w:tcPr>
          <w:p>
            <w:pPr>
              <w:jc w:val="right"/>
              <w:ind w:right="20"/>
              <w:spacing w:after="0" w:line="203" w:lineRule="exact"/>
              <w:rPr>
                <w:sz w:val="20"/>
                <w:szCs w:val="20"/>
                <w:color w:val="auto"/>
              </w:rPr>
            </w:pPr>
            <w:r>
              <w:rPr>
                <w:rFonts w:ascii="Times New Roman" w:cs="Times New Roman" w:eastAsia="Times New Roman" w:hAnsi="Times New Roman"/>
                <w:sz w:val="18"/>
                <w:szCs w:val="18"/>
                <w:color w:val="auto"/>
              </w:rPr>
              <w:t>0.06</w:t>
            </w:r>
          </w:p>
        </w:tc>
        <w:tc>
          <w:tcPr>
            <w:tcW w:w="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80" w:type="dxa"/>
            <w:vAlign w:val="bottom"/>
            <w:gridSpan w:val="2"/>
          </w:tcPr>
          <w:p>
            <w:pPr>
              <w:jc w:val="right"/>
              <w:ind w:right="40"/>
              <w:spacing w:after="0" w:line="203" w:lineRule="exact"/>
              <w:rPr>
                <w:sz w:val="20"/>
                <w:szCs w:val="20"/>
                <w:color w:val="auto"/>
              </w:rPr>
            </w:pPr>
            <w:r>
              <w:rPr>
                <w:rFonts w:ascii="Times New Roman" w:cs="Times New Roman" w:eastAsia="Times New Roman" w:hAnsi="Times New Roman"/>
                <w:sz w:val="18"/>
                <w:szCs w:val="18"/>
                <w:color w:val="auto"/>
              </w:rPr>
              <w:t>0.41</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40" w:type="dxa"/>
            <w:vAlign w:val="bottom"/>
          </w:tcPr>
          <w:p>
            <w:pPr>
              <w:jc w:val="right"/>
              <w:spacing w:after="0" w:line="203" w:lineRule="exact"/>
              <w:rPr>
                <w:sz w:val="20"/>
                <w:szCs w:val="20"/>
                <w:color w:val="auto"/>
              </w:rPr>
            </w:pPr>
            <w:r>
              <w:rPr>
                <w:rFonts w:ascii="Times New Roman" w:cs="Times New Roman" w:eastAsia="Times New Roman" w:hAnsi="Times New Roman"/>
                <w:sz w:val="18"/>
                <w:szCs w:val="18"/>
                <w:color w:val="auto"/>
              </w:rPr>
              <w:t>0.24</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60" w:type="dxa"/>
            <w:vAlign w:val="bottom"/>
            <w:shd w:val="clear" w:color="auto" w:fill="CCEEFF"/>
          </w:tcPr>
          <w:p>
            <w:pPr>
              <w:spacing w:after="0"/>
              <w:rPr>
                <w:sz w:val="19"/>
                <w:szCs w:val="19"/>
                <w:color w:val="auto"/>
              </w:rPr>
            </w:pPr>
          </w:p>
        </w:tc>
        <w:tc>
          <w:tcPr>
            <w:tcW w:w="436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Amortization of acquired intangible assets</w:t>
            </w:r>
          </w:p>
        </w:tc>
        <w:tc>
          <w:tcPr>
            <w:tcW w:w="3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40" w:type="dxa"/>
            <w:vAlign w:val="bottom"/>
            <w:gridSpan w:val="4"/>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0.12</w:t>
            </w:r>
          </w:p>
        </w:tc>
        <w:tc>
          <w:tcPr>
            <w:tcW w:w="1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0.13</w:t>
            </w:r>
          </w:p>
        </w:tc>
        <w:tc>
          <w:tcPr>
            <w:tcW w:w="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8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0.47</w:t>
            </w: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0.41</w:t>
            </w:r>
          </w:p>
        </w:tc>
        <w:tc>
          <w:tcPr>
            <w:tcW w:w="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0" w:type="dxa"/>
            <w:vAlign w:val="bottom"/>
          </w:tcPr>
          <w:p>
            <w:pPr>
              <w:spacing w:after="0"/>
              <w:rPr>
                <w:sz w:val="19"/>
                <w:szCs w:val="19"/>
                <w:color w:val="auto"/>
              </w:rPr>
            </w:pPr>
          </w:p>
        </w:tc>
        <w:tc>
          <w:tcPr>
            <w:tcW w:w="436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Acquired debt fair value adjustment</w:t>
            </w:r>
          </w:p>
        </w:tc>
        <w:tc>
          <w:tcPr>
            <w:tcW w:w="3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500" w:type="dxa"/>
            <w:vAlign w:val="bottom"/>
            <w:gridSpan w:val="4"/>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19"/>
                <w:szCs w:val="19"/>
                <w:color w:val="auto"/>
              </w:rPr>
            </w:pPr>
          </w:p>
        </w:tc>
        <w:tc>
          <w:tcPr>
            <w:tcW w:w="9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8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(0.01)</w:t>
            </w:r>
          </w:p>
        </w:tc>
        <w:tc>
          <w:tcPr>
            <w:tcW w:w="0" w:type="dxa"/>
            <w:vAlign w:val="bottom"/>
          </w:tcPr>
          <w:p>
            <w:pPr>
              <w:spacing w:after="0"/>
              <w:rPr>
                <w:sz w:val="1"/>
                <w:szCs w:val="1"/>
                <w:color w:val="auto"/>
              </w:rPr>
            </w:pPr>
          </w:p>
        </w:tc>
      </w:tr>
      <w:tr>
        <w:trPr>
          <w:trHeight w:val="229"/>
        </w:trPr>
        <w:tc>
          <w:tcPr>
            <w:tcW w:w="60" w:type="dxa"/>
            <w:vAlign w:val="bottom"/>
            <w:shd w:val="clear" w:color="auto" w:fill="CCEEFF"/>
          </w:tcPr>
          <w:p>
            <w:pPr>
              <w:spacing w:after="0"/>
              <w:rPr>
                <w:sz w:val="19"/>
                <w:szCs w:val="19"/>
                <w:color w:val="auto"/>
              </w:rPr>
            </w:pPr>
          </w:p>
        </w:tc>
        <w:tc>
          <w:tcPr>
            <w:tcW w:w="436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Contingent consideration fair value adjustments</w:t>
            </w:r>
          </w:p>
        </w:tc>
        <w:tc>
          <w:tcPr>
            <w:tcW w:w="3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40" w:type="dxa"/>
            <w:vAlign w:val="bottom"/>
            <w:gridSpan w:val="4"/>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0.13</w:t>
            </w:r>
          </w:p>
        </w:tc>
        <w:tc>
          <w:tcPr>
            <w:tcW w:w="1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0.63</w:t>
            </w:r>
          </w:p>
        </w:tc>
        <w:tc>
          <w:tcPr>
            <w:tcW w:w="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8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0.49</w:t>
            </w: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1.05</w:t>
            </w:r>
          </w:p>
        </w:tc>
        <w:tc>
          <w:tcPr>
            <w:tcW w:w="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0" w:type="dxa"/>
            <w:vAlign w:val="bottom"/>
          </w:tcPr>
          <w:p>
            <w:pPr>
              <w:spacing w:after="0"/>
              <w:rPr>
                <w:sz w:val="19"/>
                <w:szCs w:val="19"/>
                <w:color w:val="auto"/>
              </w:rPr>
            </w:pPr>
          </w:p>
        </w:tc>
        <w:tc>
          <w:tcPr>
            <w:tcW w:w="436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Non-recurring refinancing related fees</w:t>
            </w:r>
          </w:p>
        </w:tc>
        <w:tc>
          <w:tcPr>
            <w:tcW w:w="3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500" w:type="dxa"/>
            <w:vAlign w:val="bottom"/>
            <w:gridSpan w:val="4"/>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19"/>
                <w:szCs w:val="19"/>
                <w:color w:val="auto"/>
              </w:rPr>
            </w:pPr>
          </w:p>
        </w:tc>
        <w:tc>
          <w:tcPr>
            <w:tcW w:w="9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8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30"/>
        </w:trPr>
        <w:tc>
          <w:tcPr>
            <w:tcW w:w="60" w:type="dxa"/>
            <w:vAlign w:val="bottom"/>
            <w:shd w:val="clear" w:color="auto" w:fill="CCEEFF"/>
          </w:tcPr>
          <w:p>
            <w:pPr>
              <w:spacing w:after="0"/>
              <w:rPr>
                <w:sz w:val="19"/>
                <w:szCs w:val="19"/>
                <w:color w:val="auto"/>
              </w:rPr>
            </w:pPr>
          </w:p>
        </w:tc>
        <w:tc>
          <w:tcPr>
            <w:tcW w:w="436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Non-recurring severance related fees</w:t>
            </w:r>
          </w:p>
        </w:tc>
        <w:tc>
          <w:tcPr>
            <w:tcW w:w="3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680" w:type="dxa"/>
            <w:vAlign w:val="bottom"/>
            <w:shd w:val="clear" w:color="auto" w:fill="CCEEFF"/>
          </w:tcPr>
          <w:p>
            <w:pPr>
              <w:spacing w:after="0"/>
              <w:rPr>
                <w:sz w:val="19"/>
                <w:szCs w:val="19"/>
                <w:color w:val="auto"/>
              </w:rPr>
            </w:pPr>
          </w:p>
        </w:tc>
        <w:tc>
          <w:tcPr>
            <w:tcW w:w="500" w:type="dxa"/>
            <w:vAlign w:val="bottom"/>
            <w:gridSpan w:val="4"/>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8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0.01</w:t>
            </w:r>
          </w:p>
        </w:tc>
        <w:tc>
          <w:tcPr>
            <w:tcW w:w="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0" w:type="dxa"/>
            <w:vAlign w:val="bottom"/>
          </w:tcPr>
          <w:p>
            <w:pPr>
              <w:spacing w:after="0"/>
              <w:rPr>
                <w:sz w:val="19"/>
                <w:szCs w:val="19"/>
                <w:color w:val="auto"/>
              </w:rPr>
            </w:pPr>
          </w:p>
        </w:tc>
        <w:tc>
          <w:tcPr>
            <w:tcW w:w="436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Non-recurring fees</w:t>
            </w:r>
          </w:p>
        </w:tc>
        <w:tc>
          <w:tcPr>
            <w:tcW w:w="3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500" w:type="dxa"/>
            <w:vAlign w:val="bottom"/>
            <w:gridSpan w:val="4"/>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19"/>
                <w:szCs w:val="19"/>
                <w:color w:val="auto"/>
              </w:rPr>
            </w:pPr>
          </w:p>
        </w:tc>
        <w:tc>
          <w:tcPr>
            <w:tcW w:w="9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0.01</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(0.01)</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0.01</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0" w:type="dxa"/>
            <w:vAlign w:val="bottom"/>
            <w:shd w:val="clear" w:color="auto" w:fill="CCEEFF"/>
          </w:tcPr>
          <w:p>
            <w:pPr>
              <w:spacing w:after="0"/>
              <w:rPr>
                <w:sz w:val="19"/>
                <w:szCs w:val="19"/>
                <w:color w:val="auto"/>
              </w:rPr>
            </w:pPr>
          </w:p>
        </w:tc>
        <w:tc>
          <w:tcPr>
            <w:tcW w:w="436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Extinguishment of debt</w:t>
            </w:r>
          </w:p>
        </w:tc>
        <w:tc>
          <w:tcPr>
            <w:tcW w:w="3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40" w:type="dxa"/>
            <w:vAlign w:val="bottom"/>
            <w:gridSpan w:val="4"/>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0.01</w:t>
            </w:r>
          </w:p>
        </w:tc>
        <w:tc>
          <w:tcPr>
            <w:tcW w:w="1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8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0.01</w:t>
            </w: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88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(0.01)</w:t>
            </w:r>
          </w:p>
        </w:tc>
        <w:tc>
          <w:tcPr>
            <w:tcW w:w="0" w:type="dxa"/>
            <w:vAlign w:val="bottom"/>
          </w:tcPr>
          <w:p>
            <w:pPr>
              <w:spacing w:after="0"/>
              <w:rPr>
                <w:sz w:val="1"/>
                <w:szCs w:val="1"/>
                <w:color w:val="auto"/>
              </w:rPr>
            </w:pPr>
          </w:p>
        </w:tc>
      </w:tr>
      <w:tr>
        <w:trPr>
          <w:trHeight w:val="230"/>
        </w:trPr>
        <w:tc>
          <w:tcPr>
            <w:tcW w:w="60" w:type="dxa"/>
            <w:vAlign w:val="bottom"/>
          </w:tcPr>
          <w:p>
            <w:pPr>
              <w:spacing w:after="0"/>
              <w:rPr>
                <w:sz w:val="19"/>
                <w:szCs w:val="19"/>
                <w:color w:val="auto"/>
              </w:rPr>
            </w:pPr>
          </w:p>
        </w:tc>
        <w:tc>
          <w:tcPr>
            <w:tcW w:w="436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Gain on sale of assets</w:t>
            </w:r>
          </w:p>
        </w:tc>
        <w:tc>
          <w:tcPr>
            <w:tcW w:w="3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500" w:type="dxa"/>
            <w:vAlign w:val="bottom"/>
            <w:gridSpan w:val="4"/>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19"/>
                <w:szCs w:val="19"/>
                <w:color w:val="auto"/>
              </w:rPr>
            </w:pPr>
          </w:p>
        </w:tc>
        <w:tc>
          <w:tcPr>
            <w:tcW w:w="9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8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(0.23)</w:t>
            </w:r>
          </w:p>
        </w:tc>
        <w:tc>
          <w:tcPr>
            <w:tcW w:w="0" w:type="dxa"/>
            <w:vAlign w:val="bottom"/>
          </w:tcPr>
          <w:p>
            <w:pPr>
              <w:spacing w:after="0"/>
              <w:rPr>
                <w:sz w:val="1"/>
                <w:szCs w:val="1"/>
                <w:color w:val="auto"/>
              </w:rPr>
            </w:pPr>
          </w:p>
        </w:tc>
      </w:tr>
      <w:tr>
        <w:trPr>
          <w:trHeight w:val="230"/>
        </w:trPr>
        <w:tc>
          <w:tcPr>
            <w:tcW w:w="60" w:type="dxa"/>
            <w:vAlign w:val="bottom"/>
            <w:shd w:val="clear" w:color="auto" w:fill="CCEEFF"/>
          </w:tcPr>
          <w:p>
            <w:pPr>
              <w:spacing w:after="0"/>
              <w:rPr>
                <w:sz w:val="19"/>
                <w:szCs w:val="19"/>
                <w:color w:val="auto"/>
              </w:rPr>
            </w:pPr>
          </w:p>
        </w:tc>
        <w:tc>
          <w:tcPr>
            <w:tcW w:w="436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Strategic collaboration and license costs</w:t>
            </w:r>
          </w:p>
        </w:tc>
        <w:tc>
          <w:tcPr>
            <w:tcW w:w="3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40" w:type="dxa"/>
            <w:vAlign w:val="bottom"/>
            <w:gridSpan w:val="4"/>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3.76</w:t>
            </w:r>
          </w:p>
        </w:tc>
        <w:tc>
          <w:tcPr>
            <w:tcW w:w="1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8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3.77</w:t>
            </w: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8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30"/>
        </w:trPr>
        <w:tc>
          <w:tcPr>
            <w:tcW w:w="60" w:type="dxa"/>
            <w:vAlign w:val="bottom"/>
          </w:tcPr>
          <w:p>
            <w:pPr>
              <w:spacing w:after="0"/>
              <w:rPr>
                <w:sz w:val="19"/>
                <w:szCs w:val="19"/>
                <w:color w:val="auto"/>
              </w:rPr>
            </w:pPr>
          </w:p>
        </w:tc>
        <w:tc>
          <w:tcPr>
            <w:tcW w:w="436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Integration costs</w:t>
            </w:r>
          </w:p>
        </w:tc>
        <w:tc>
          <w:tcPr>
            <w:tcW w:w="3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500" w:type="dxa"/>
            <w:vAlign w:val="bottom"/>
            <w:gridSpan w:val="4"/>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19"/>
                <w:szCs w:val="19"/>
                <w:color w:val="auto"/>
              </w:rPr>
            </w:pPr>
          </w:p>
        </w:tc>
        <w:tc>
          <w:tcPr>
            <w:tcW w:w="9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8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9"/>
        </w:trPr>
        <w:tc>
          <w:tcPr>
            <w:tcW w:w="60" w:type="dxa"/>
            <w:vAlign w:val="bottom"/>
            <w:shd w:val="clear" w:color="auto" w:fill="CCEEFF"/>
          </w:tcPr>
          <w:p>
            <w:pPr>
              <w:spacing w:after="0"/>
              <w:rPr>
                <w:sz w:val="19"/>
                <w:szCs w:val="19"/>
                <w:color w:val="auto"/>
              </w:rPr>
            </w:pPr>
          </w:p>
        </w:tc>
        <w:tc>
          <w:tcPr>
            <w:tcW w:w="436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Acquisition-related costs</w:t>
            </w:r>
          </w:p>
        </w:tc>
        <w:tc>
          <w:tcPr>
            <w:tcW w:w="3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680" w:type="dxa"/>
            <w:vAlign w:val="bottom"/>
            <w:shd w:val="clear" w:color="auto" w:fill="CCEEFF"/>
          </w:tcPr>
          <w:p>
            <w:pPr>
              <w:spacing w:after="0"/>
              <w:rPr>
                <w:sz w:val="19"/>
                <w:szCs w:val="19"/>
                <w:color w:val="auto"/>
              </w:rPr>
            </w:pPr>
          </w:p>
        </w:tc>
        <w:tc>
          <w:tcPr>
            <w:tcW w:w="500" w:type="dxa"/>
            <w:vAlign w:val="bottom"/>
            <w:gridSpan w:val="4"/>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0.01</w:t>
            </w:r>
          </w:p>
        </w:tc>
        <w:tc>
          <w:tcPr>
            <w:tcW w:w="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8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0.01</w:t>
            </w: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0.02</w:t>
            </w:r>
          </w:p>
        </w:tc>
        <w:tc>
          <w:tcPr>
            <w:tcW w:w="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0" w:type="dxa"/>
            <w:vAlign w:val="bottom"/>
          </w:tcPr>
          <w:p>
            <w:pPr>
              <w:spacing w:after="0"/>
              <w:rPr>
                <w:sz w:val="19"/>
                <w:szCs w:val="19"/>
                <w:color w:val="auto"/>
              </w:rPr>
            </w:pPr>
          </w:p>
        </w:tc>
        <w:tc>
          <w:tcPr>
            <w:tcW w:w="436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Impairment of long-lived assets</w:t>
            </w:r>
          </w:p>
        </w:tc>
        <w:tc>
          <w:tcPr>
            <w:tcW w:w="3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500" w:type="dxa"/>
            <w:vAlign w:val="bottom"/>
            <w:gridSpan w:val="4"/>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19"/>
                <w:szCs w:val="19"/>
                <w:color w:val="auto"/>
              </w:rPr>
            </w:pPr>
          </w:p>
        </w:tc>
        <w:tc>
          <w:tcPr>
            <w:tcW w:w="9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0.14</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0" w:type="dxa"/>
            <w:vAlign w:val="bottom"/>
            <w:shd w:val="clear" w:color="auto" w:fill="CCEEFF"/>
          </w:tcPr>
          <w:p>
            <w:pPr>
              <w:spacing w:after="0"/>
              <w:rPr>
                <w:sz w:val="19"/>
                <w:szCs w:val="19"/>
                <w:color w:val="auto"/>
              </w:rPr>
            </w:pPr>
          </w:p>
        </w:tc>
        <w:tc>
          <w:tcPr>
            <w:tcW w:w="436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ARO Acceleration and other related costs</w:t>
            </w:r>
          </w:p>
        </w:tc>
        <w:tc>
          <w:tcPr>
            <w:tcW w:w="3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40" w:type="dxa"/>
            <w:vAlign w:val="bottom"/>
            <w:gridSpan w:val="4"/>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(0.01)</w:t>
            </w:r>
          </w:p>
        </w:tc>
        <w:tc>
          <w:tcPr>
            <w:tcW w:w="1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0.08</w:t>
            </w:r>
          </w:p>
        </w:tc>
        <w:tc>
          <w:tcPr>
            <w:tcW w:w="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8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0.03</w:t>
            </w: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0.08</w:t>
            </w:r>
          </w:p>
        </w:tc>
        <w:tc>
          <w:tcPr>
            <w:tcW w:w="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0" w:type="dxa"/>
            <w:vAlign w:val="bottom"/>
          </w:tcPr>
          <w:p>
            <w:pPr>
              <w:spacing w:after="0"/>
              <w:rPr>
                <w:sz w:val="19"/>
                <w:szCs w:val="19"/>
                <w:color w:val="auto"/>
              </w:rPr>
            </w:pPr>
          </w:p>
        </w:tc>
        <w:tc>
          <w:tcPr>
            <w:tcW w:w="4360" w:type="dxa"/>
            <w:vAlign w:val="bottom"/>
          </w:tcPr>
          <w:p>
            <w:pPr>
              <w:ind w:left="160"/>
              <w:spacing w:after="0" w:line="230" w:lineRule="exact"/>
              <w:rPr>
                <w:sz w:val="20"/>
                <w:szCs w:val="20"/>
                <w:color w:val="auto"/>
              </w:rPr>
            </w:pPr>
            <w:r>
              <w:rPr>
                <w:rFonts w:ascii="Times New Roman" w:cs="Times New Roman" w:eastAsia="Times New Roman" w:hAnsi="Times New Roman"/>
                <w:sz w:val="18"/>
                <w:szCs w:val="18"/>
                <w:color w:val="auto"/>
              </w:rPr>
              <w:t>Other</w:t>
            </w:r>
            <w:r>
              <w:rPr>
                <w:rFonts w:ascii="Times New Roman" w:cs="Times New Roman" w:eastAsia="Times New Roman" w:hAnsi="Times New Roman"/>
                <w:sz w:val="23"/>
                <w:szCs w:val="23"/>
                <w:color w:val="auto"/>
                <w:vertAlign w:val="superscript"/>
              </w:rPr>
              <w:t>(a)</w:t>
            </w:r>
          </w:p>
        </w:tc>
        <w:tc>
          <w:tcPr>
            <w:tcW w:w="3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40" w:type="dxa"/>
            <w:vAlign w:val="bottom"/>
            <w:gridSpan w:val="4"/>
          </w:tcPr>
          <w:p>
            <w:pPr>
              <w:jc w:val="right"/>
              <w:spacing w:after="0"/>
              <w:rPr>
                <w:sz w:val="20"/>
                <w:szCs w:val="20"/>
                <w:color w:val="auto"/>
              </w:rPr>
            </w:pPr>
            <w:r>
              <w:rPr>
                <w:rFonts w:ascii="Times New Roman" w:cs="Times New Roman" w:eastAsia="Times New Roman" w:hAnsi="Times New Roman"/>
                <w:sz w:val="18"/>
                <w:szCs w:val="18"/>
                <w:color w:val="auto"/>
              </w:rPr>
              <w:t>0.06</w:t>
            </w:r>
          </w:p>
        </w:tc>
        <w:tc>
          <w:tcPr>
            <w:tcW w:w="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0.01</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8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9"/>
        </w:trPr>
        <w:tc>
          <w:tcPr>
            <w:tcW w:w="60" w:type="dxa"/>
            <w:vAlign w:val="bottom"/>
            <w:shd w:val="clear" w:color="auto" w:fill="CCEEFF"/>
          </w:tcPr>
          <w:p>
            <w:pPr>
              <w:spacing w:after="0"/>
              <w:rPr>
                <w:sz w:val="19"/>
                <w:szCs w:val="19"/>
                <w:color w:val="auto"/>
              </w:rPr>
            </w:pPr>
          </w:p>
        </w:tc>
        <w:tc>
          <w:tcPr>
            <w:tcW w:w="4360" w:type="dxa"/>
            <w:vAlign w:val="bottom"/>
            <w:shd w:val="clear" w:color="auto" w:fill="CCEEFF"/>
          </w:tcPr>
          <w:p>
            <w:pPr>
              <w:ind w:left="160"/>
              <w:spacing w:after="0" w:line="230" w:lineRule="exact"/>
              <w:rPr>
                <w:sz w:val="20"/>
                <w:szCs w:val="20"/>
                <w:color w:val="auto"/>
              </w:rPr>
            </w:pPr>
            <w:r>
              <w:rPr>
                <w:rFonts w:ascii="Times New Roman" w:cs="Times New Roman" w:eastAsia="Times New Roman" w:hAnsi="Times New Roman"/>
                <w:sz w:val="18"/>
                <w:szCs w:val="18"/>
                <w:color w:val="auto"/>
              </w:rPr>
              <w:t>Income tax effect of non-GAAP adjustments</w:t>
            </w:r>
            <w:r>
              <w:rPr>
                <w:rFonts w:ascii="Times New Roman" w:cs="Times New Roman" w:eastAsia="Times New Roman" w:hAnsi="Times New Roman"/>
                <w:sz w:val="23"/>
                <w:szCs w:val="23"/>
                <w:color w:val="auto"/>
                <w:vertAlign w:val="superscript"/>
              </w:rPr>
              <w:t>(b)</w:t>
            </w:r>
          </w:p>
        </w:tc>
        <w:tc>
          <w:tcPr>
            <w:tcW w:w="300" w:type="dxa"/>
            <w:vAlign w:val="bottom"/>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1040" w:type="dxa"/>
            <w:vAlign w:val="bottom"/>
            <w:tcBorders>
              <w:bottom w:val="single" w:sz="8" w:color="auto"/>
            </w:tcBorders>
            <w:gridSpan w:val="4"/>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(1.08)</w:t>
            </w:r>
          </w:p>
        </w:tc>
        <w:tc>
          <w:tcPr>
            <w:tcW w:w="14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1020" w:type="dxa"/>
            <w:vAlign w:val="bottom"/>
            <w:tcBorders>
              <w:bottom w:val="single" w:sz="8" w:color="auto"/>
            </w:tcBorders>
            <w:gridSpan w:val="3"/>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(0.08)</w:t>
            </w:r>
          </w:p>
        </w:tc>
        <w:tc>
          <w:tcPr>
            <w:tcW w:w="140" w:type="dxa"/>
            <w:vAlign w:val="bottom"/>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980" w:type="dxa"/>
            <w:vAlign w:val="bottom"/>
            <w:tcBorders>
              <w:bottom w:val="single" w:sz="8" w:color="auto"/>
            </w:tcBorders>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(1.37)</w:t>
            </w:r>
          </w:p>
        </w:tc>
        <w:tc>
          <w:tcPr>
            <w:tcW w:w="20" w:type="dxa"/>
            <w:vAlign w:val="bottom"/>
            <w:tcBorders>
              <w:bottom w:val="single" w:sz="8" w:color="auto"/>
            </w:tcBorders>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300" w:type="dxa"/>
            <w:vAlign w:val="bottom"/>
            <w:tcBorders>
              <w:bottom w:val="single" w:sz="8" w:color="auto"/>
            </w:tcBorders>
            <w:shd w:val="clear" w:color="auto" w:fill="CCEEFF"/>
          </w:tcPr>
          <w:p>
            <w:pPr>
              <w:spacing w:after="0"/>
              <w:rPr>
                <w:sz w:val="19"/>
                <w:szCs w:val="19"/>
                <w:color w:val="auto"/>
              </w:rPr>
            </w:pPr>
          </w:p>
        </w:tc>
        <w:tc>
          <w:tcPr>
            <w:tcW w:w="880" w:type="dxa"/>
            <w:vAlign w:val="bottom"/>
            <w:tcBorders>
              <w:bottom w:val="single" w:sz="8" w:color="auto"/>
            </w:tcBorders>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(0.16)</w:t>
            </w:r>
          </w:p>
        </w:tc>
        <w:tc>
          <w:tcPr>
            <w:tcW w:w="0" w:type="dxa"/>
            <w:vAlign w:val="bottom"/>
          </w:tcPr>
          <w:p>
            <w:pPr>
              <w:spacing w:after="0"/>
              <w:rPr>
                <w:sz w:val="1"/>
                <w:szCs w:val="1"/>
                <w:color w:val="auto"/>
              </w:rPr>
            </w:pPr>
          </w:p>
        </w:tc>
      </w:tr>
      <w:tr>
        <w:trPr>
          <w:trHeight w:val="223"/>
        </w:trPr>
        <w:tc>
          <w:tcPr>
            <w:tcW w:w="44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Adjusted net income per share - diluted</w:t>
            </w:r>
          </w:p>
        </w:tc>
        <w:tc>
          <w:tcPr>
            <w:tcW w:w="300" w:type="dxa"/>
            <w:vAlign w:val="bottom"/>
          </w:tcPr>
          <w:p>
            <w:pPr>
              <w:spacing w:after="0"/>
              <w:rPr>
                <w:sz w:val="19"/>
                <w:szCs w:val="19"/>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tcBorders>
              <w:bottom w:val="single" w:sz="8" w:color="auto"/>
            </w:tcBorders>
            <w:gridSpan w:val="4"/>
          </w:tcPr>
          <w:p>
            <w:pPr>
              <w:jc w:val="right"/>
              <w:spacing w:after="0"/>
              <w:rPr>
                <w:sz w:val="20"/>
                <w:szCs w:val="20"/>
                <w:color w:val="auto"/>
              </w:rPr>
            </w:pPr>
            <w:r>
              <w:rPr>
                <w:rFonts w:ascii="Times New Roman" w:cs="Times New Roman" w:eastAsia="Times New Roman" w:hAnsi="Times New Roman"/>
                <w:sz w:val="18"/>
                <w:szCs w:val="18"/>
                <w:color w:val="auto"/>
              </w:rPr>
              <w:t>1.37</w:t>
            </w:r>
          </w:p>
        </w:tc>
        <w:tc>
          <w:tcPr>
            <w:tcW w:w="140" w:type="dxa"/>
            <w:vAlign w:val="bottom"/>
          </w:tcPr>
          <w:p>
            <w:pPr>
              <w:spacing w:after="0"/>
              <w:rPr>
                <w:sz w:val="19"/>
                <w:szCs w:val="19"/>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Borders>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0.25</w:t>
            </w:r>
          </w:p>
        </w:tc>
        <w:tc>
          <w:tcPr>
            <w:tcW w:w="60" w:type="dxa"/>
            <w:vAlign w:val="bottom"/>
            <w:tcBorders>
              <w:bottom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Borders>
              <w:bottom w:val="single" w:sz="8" w:color="auto"/>
            </w:tcBorders>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4.22</w:t>
            </w:r>
          </w:p>
        </w:tc>
        <w:tc>
          <w:tcPr>
            <w:tcW w:w="20" w:type="dxa"/>
            <w:vAlign w:val="bottom"/>
            <w:tcBorders>
              <w:bottom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300" w:type="dxa"/>
            <w:vAlign w:val="bottom"/>
            <w:tcBorders>
              <w:bottom w:val="single" w:sz="8" w:color="auto"/>
            </w:tcBorders>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0.49</w:t>
            </w:r>
          </w:p>
        </w:tc>
        <w:tc>
          <w:tcPr>
            <w:tcW w:w="4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0" w:type="dxa"/>
            <w:vAlign w:val="bottom"/>
            <w:tcBorders>
              <w:bottom w:val="single" w:sz="8" w:color="CCEEFF"/>
            </w:tcBorders>
          </w:tcPr>
          <w:p>
            <w:pPr>
              <w:spacing w:after="0" w:line="20" w:lineRule="exact"/>
              <w:rPr>
                <w:sz w:val="1"/>
                <w:szCs w:val="1"/>
                <w:color w:val="auto"/>
              </w:rPr>
            </w:pPr>
          </w:p>
        </w:tc>
        <w:tc>
          <w:tcPr>
            <w:tcW w:w="4360" w:type="dxa"/>
            <w:vAlign w:val="bottom"/>
            <w:tcBorders>
              <w:bottom w:val="single" w:sz="8" w:color="CCEEFF"/>
            </w:tcBorders>
          </w:tcPr>
          <w:p>
            <w:pPr>
              <w:spacing w:after="0" w:line="20" w:lineRule="exact"/>
              <w:rPr>
                <w:sz w:val="1"/>
                <w:szCs w:val="1"/>
                <w:color w:val="auto"/>
              </w:rPr>
            </w:pPr>
          </w:p>
        </w:tc>
        <w:tc>
          <w:tcPr>
            <w:tcW w:w="3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9"/>
        </w:trPr>
        <w:tc>
          <w:tcPr>
            <w:tcW w:w="442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Weighted-average common shares outstanding - diluted</w:t>
            </w:r>
          </w:p>
        </w:tc>
        <w:tc>
          <w:tcPr>
            <w:tcW w:w="3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spacing w:after="0"/>
              <w:rPr>
                <w:sz w:val="21"/>
                <w:szCs w:val="21"/>
                <w:color w:val="auto"/>
              </w:rPr>
            </w:pPr>
          </w:p>
        </w:tc>
        <w:tc>
          <w:tcPr>
            <w:tcW w:w="1040" w:type="dxa"/>
            <w:vAlign w:val="bottom"/>
            <w:tcBorders>
              <w:bottom w:val="single" w:sz="8" w:color="auto"/>
            </w:tcBorders>
            <w:gridSpan w:val="4"/>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70,642</w:t>
            </w:r>
          </w:p>
        </w:tc>
        <w:tc>
          <w:tcPr>
            <w:tcW w:w="14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spacing w:after="0"/>
              <w:rPr>
                <w:sz w:val="21"/>
                <w:szCs w:val="21"/>
                <w:color w:val="auto"/>
              </w:rPr>
            </w:pPr>
          </w:p>
        </w:tc>
        <w:tc>
          <w:tcPr>
            <w:tcW w:w="960" w:type="dxa"/>
            <w:vAlign w:val="bottom"/>
            <w:tcBorders>
              <w:bottom w:val="single" w:sz="8" w:color="auto"/>
            </w:tcBorders>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69,446</w:t>
            </w:r>
          </w:p>
        </w:tc>
        <w:tc>
          <w:tcPr>
            <w:tcW w:w="60" w:type="dxa"/>
            <w:vAlign w:val="bottom"/>
            <w:tcBorders>
              <w:bottom w:val="single" w:sz="8" w:color="auto"/>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spacing w:after="0"/>
              <w:rPr>
                <w:sz w:val="21"/>
                <w:szCs w:val="21"/>
                <w:color w:val="auto"/>
              </w:rPr>
            </w:pPr>
          </w:p>
        </w:tc>
        <w:tc>
          <w:tcPr>
            <w:tcW w:w="980" w:type="dxa"/>
            <w:vAlign w:val="bottom"/>
            <w:tcBorders>
              <w:bottom w:val="single" w:sz="8" w:color="auto"/>
            </w:tcBorders>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70,671</w:t>
            </w:r>
          </w:p>
        </w:tc>
        <w:tc>
          <w:tcPr>
            <w:tcW w:w="20" w:type="dxa"/>
            <w:vAlign w:val="bottom"/>
            <w:tcBorders>
              <w:bottom w:val="single" w:sz="8" w:color="auto"/>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spacing w:after="0"/>
              <w:rPr>
                <w:sz w:val="21"/>
                <w:szCs w:val="21"/>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68,963</w:t>
            </w:r>
          </w:p>
        </w:tc>
        <w:tc>
          <w:tcPr>
            <w:tcW w:w="40" w:type="dxa"/>
            <w:vAlign w:val="bottom"/>
            <w:tcBorders>
              <w:bottom w:val="single" w:sz="8" w:color="auto"/>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60" w:type="dxa"/>
            <w:vAlign w:val="bottom"/>
            <w:tcBorders>
              <w:top w:val="single" w:sz="8" w:color="CCEEFF"/>
            </w:tcBorders>
          </w:tcPr>
          <w:p>
            <w:pPr>
              <w:spacing w:after="0" w:line="20" w:lineRule="exact"/>
              <w:rPr>
                <w:sz w:val="1"/>
                <w:szCs w:val="1"/>
                <w:color w:val="auto"/>
              </w:rPr>
            </w:pPr>
          </w:p>
        </w:tc>
        <w:tc>
          <w:tcPr>
            <w:tcW w:w="436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68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6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4" w:lineRule="exact"/>
        <w:rPr>
          <w:sz w:val="20"/>
          <w:szCs w:val="20"/>
          <w:color w:val="auto"/>
        </w:rPr>
      </w:pPr>
    </w:p>
    <w:p>
      <w:pPr>
        <w:ind w:left="644" w:hanging="644"/>
        <w:spacing w:after="0" w:line="282" w:lineRule="auto"/>
        <w:tabs>
          <w:tab w:leader="none" w:pos="641"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effect includes an adjustment related to the increase from basic to diluted shares as the Company changed from GAAP net loss to non-GAAP adjusted net income for the three months ended December 31, 2022.</w:t>
      </w:r>
    </w:p>
    <w:p>
      <w:pPr>
        <w:spacing w:after="0" w:line="53" w:lineRule="exact"/>
        <w:rPr>
          <w:rFonts w:ascii="Times New Roman" w:cs="Times New Roman" w:eastAsia="Times New Roman" w:hAnsi="Times New Roman"/>
          <w:sz w:val="18"/>
          <w:szCs w:val="18"/>
          <w:color w:val="auto"/>
        </w:rPr>
      </w:pPr>
    </w:p>
    <w:p>
      <w:pPr>
        <w:ind w:left="644" w:right="460" w:hanging="644"/>
        <w:spacing w:after="0" w:line="282" w:lineRule="auto"/>
        <w:tabs>
          <w:tab w:leader="none" w:pos="638"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income tax effect of the adjustments between GAAP net loss and non-GAAP adjusted net income takes into account the tax treatment and related tax rate that apply to each adjustment in the applicable tax jurisdiction.</w:t>
      </w:r>
    </w:p>
    <w:p>
      <w:pPr>
        <w:spacing w:after="0" w:line="162" w:lineRule="exact"/>
        <w:rPr>
          <w:sz w:val="20"/>
          <w:szCs w:val="20"/>
          <w:color w:val="auto"/>
        </w:rPr>
      </w:pPr>
    </w:p>
    <w:p>
      <w:pPr>
        <w:jc w:val="center"/>
        <w:ind w:right="376"/>
        <w:spacing w:after="0"/>
        <w:rPr>
          <w:sz w:val="20"/>
          <w:szCs w:val="20"/>
          <w:color w:val="auto"/>
        </w:rPr>
      </w:pPr>
      <w:r>
        <w:rPr>
          <w:rFonts w:ascii="Times New Roman" w:cs="Times New Roman" w:eastAsia="Times New Roman" w:hAnsi="Times New Roman"/>
          <w:sz w:val="18"/>
          <w:szCs w:val="18"/>
          <w:color w:val="auto"/>
        </w:rPr>
        <w:t>Page 6 of 9</w:t>
      </w:r>
    </w:p>
    <w:p>
      <w:pPr>
        <w:sectPr>
          <w:pgSz w:w="11900" w:h="16838" w:orient="portrait"/>
          <w:cols w:equalWidth="0" w:num="1">
            <w:col w:w="10324"/>
          </w:cols>
          <w:pgMar w:left="976" w:top="711" w:right="599" w:bottom="1440" w:gutter="0" w:footer="0" w:header="0"/>
        </w:sectPr>
      </w:pPr>
    </w:p>
    <w:bookmarkStart w:id="9" w:name="page10"/>
    <w:bookmarkEnd w:id="9"/>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t>Lantheus Holdings, Inc.</w:t>
      </w:r>
    </w:p>
    <w:p>
      <w:pPr>
        <w:spacing w:after="0" w:line="63"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t>Reconciliation of Free Cash Flow</w:t>
      </w:r>
    </w:p>
    <w:p>
      <w:pPr>
        <w:spacing w:after="0" w:line="67"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(in thousands – unaudited)</w:t>
      </w: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3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540" w:type="dxa"/>
            <w:vAlign w:val="bottom"/>
            <w:gridSpan w:val="5"/>
          </w:tcPr>
          <w:p>
            <w:pPr>
              <w:ind w:left="380"/>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300" w:type="dxa"/>
            <w:vAlign w:val="bottom"/>
          </w:tcPr>
          <w:p>
            <w:pPr>
              <w:spacing w:after="0"/>
              <w:rPr>
                <w:sz w:val="13"/>
                <w:szCs w:val="13"/>
                <w:color w:val="auto"/>
              </w:rPr>
            </w:pPr>
          </w:p>
        </w:tc>
        <w:tc>
          <w:tcPr>
            <w:tcW w:w="1560" w:type="dxa"/>
            <w:vAlign w:val="bottom"/>
            <w:gridSpan w:val="3"/>
          </w:tcPr>
          <w:p>
            <w:pPr>
              <w:jc w:val="right"/>
              <w:ind w:right="70"/>
              <w:spacing w:after="0"/>
              <w:rPr>
                <w:sz w:val="20"/>
                <w:szCs w:val="20"/>
                <w:color w:val="auto"/>
              </w:rPr>
            </w:pPr>
            <w:r>
              <w:rPr>
                <w:rFonts w:ascii="Times New Roman" w:cs="Times New Roman" w:eastAsia="Times New Roman" w:hAnsi="Times New Roman"/>
                <w:sz w:val="14"/>
                <w:szCs w:val="14"/>
                <w:b w:val="1"/>
                <w:bCs w:val="1"/>
                <w:color w:val="auto"/>
              </w:rPr>
              <w:t>Year Ended</w:t>
            </w:r>
          </w:p>
        </w:tc>
        <w:tc>
          <w:tcPr>
            <w:tcW w:w="880" w:type="dxa"/>
            <w:vAlign w:val="bottom"/>
          </w:tcPr>
          <w:p>
            <w:pPr>
              <w:spacing w:after="0"/>
              <w:rPr>
                <w:sz w:val="13"/>
                <w:szCs w:val="13"/>
                <w:color w:val="auto"/>
              </w:rPr>
            </w:pPr>
          </w:p>
        </w:tc>
      </w:tr>
      <w:tr>
        <w:trPr>
          <w:trHeight w:val="195"/>
        </w:trPr>
        <w:tc>
          <w:tcPr>
            <w:tcW w:w="436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54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860" w:type="dxa"/>
            <w:vAlign w:val="bottom"/>
            <w:tcBorders>
              <w:bottom w:val="single" w:sz="8" w:color="auto"/>
            </w:tcBorders>
          </w:tcPr>
          <w:p>
            <w:pPr>
              <w:spacing w:after="0"/>
              <w:rPr>
                <w:sz w:val="16"/>
                <w:szCs w:val="16"/>
                <w:color w:val="auto"/>
              </w:rPr>
            </w:pPr>
          </w:p>
        </w:tc>
        <w:tc>
          <w:tcPr>
            <w:tcW w:w="14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56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880" w:type="dxa"/>
            <w:vAlign w:val="bottom"/>
            <w:tcBorders>
              <w:bottom w:val="single" w:sz="8" w:color="auto"/>
            </w:tcBorders>
          </w:tcPr>
          <w:p>
            <w:pPr>
              <w:spacing w:after="0"/>
              <w:rPr>
                <w:sz w:val="16"/>
                <w:szCs w:val="16"/>
                <w:color w:val="auto"/>
              </w:rPr>
            </w:pPr>
          </w:p>
        </w:tc>
      </w:tr>
      <w:tr>
        <w:trPr>
          <w:trHeight w:val="195"/>
        </w:trPr>
        <w:tc>
          <w:tcPr>
            <w:tcW w:w="436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417"/>
              <w:spacing w:after="0"/>
              <w:rPr>
                <w:sz w:val="20"/>
                <w:szCs w:val="20"/>
                <w:color w:val="auto"/>
              </w:rPr>
            </w:pPr>
            <w:r>
              <w:rPr>
                <w:rFonts w:ascii="Times New Roman" w:cs="Times New Roman" w:eastAsia="Times New Roman" w:hAnsi="Times New Roman"/>
                <w:sz w:val="14"/>
                <w:szCs w:val="14"/>
                <w:b w:val="1"/>
                <w:bCs w:val="1"/>
                <w:color w:val="auto"/>
              </w:rPr>
              <w:t>2022</w:t>
            </w:r>
          </w:p>
        </w:tc>
        <w:tc>
          <w:tcPr>
            <w:tcW w:w="100" w:type="dxa"/>
            <w:vAlign w:val="bottom"/>
            <w:tcBorders>
              <w:bottom w:val="single" w:sz="8" w:color="CCEEFF"/>
            </w:tcBorders>
          </w:tcPr>
          <w:p>
            <w:pPr>
              <w:spacing w:after="0"/>
              <w:rPr>
                <w:sz w:val="16"/>
                <w:szCs w:val="16"/>
                <w:color w:val="auto"/>
              </w:rPr>
            </w:pPr>
          </w:p>
        </w:tc>
        <w:tc>
          <w:tcPr>
            <w:tcW w:w="44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right"/>
              <w:ind w:right="413"/>
              <w:spacing w:after="0"/>
              <w:rPr>
                <w:sz w:val="20"/>
                <w:szCs w:val="20"/>
                <w:color w:val="auto"/>
              </w:rPr>
            </w:pPr>
            <w:r>
              <w:rPr>
                <w:rFonts w:ascii="Times New Roman" w:cs="Times New Roman" w:eastAsia="Times New Roman" w:hAnsi="Times New Roman"/>
                <w:sz w:val="14"/>
                <w:szCs w:val="14"/>
                <w:b w:val="1"/>
                <w:bCs w:val="1"/>
                <w:color w:val="auto"/>
              </w:rPr>
              <w:t>2021</w:t>
            </w:r>
          </w:p>
        </w:tc>
        <w:tc>
          <w:tcPr>
            <w:tcW w:w="14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right"/>
              <w:ind w:right="417"/>
              <w:spacing w:after="0"/>
              <w:rPr>
                <w:sz w:val="20"/>
                <w:szCs w:val="20"/>
                <w:color w:val="auto"/>
              </w:rPr>
            </w:pPr>
            <w:r>
              <w:rPr>
                <w:rFonts w:ascii="Times New Roman" w:cs="Times New Roman" w:eastAsia="Times New Roman" w:hAnsi="Times New Roman"/>
                <w:sz w:val="14"/>
                <w:szCs w:val="14"/>
                <w:b w:val="1"/>
                <w:bCs w:val="1"/>
                <w:color w:val="auto"/>
              </w:rPr>
              <w:t>2022</w:t>
            </w:r>
          </w:p>
        </w:tc>
        <w:tc>
          <w:tcPr>
            <w:tcW w:w="140" w:type="dxa"/>
            <w:vAlign w:val="bottom"/>
            <w:tcBorders>
              <w:bottom w:val="single" w:sz="8" w:color="CCEEFF"/>
            </w:tcBorders>
          </w:tcPr>
          <w:p>
            <w:pPr>
              <w:spacing w:after="0"/>
              <w:rPr>
                <w:sz w:val="16"/>
                <w:szCs w:val="16"/>
                <w:color w:val="auto"/>
              </w:rPr>
            </w:pPr>
          </w:p>
        </w:tc>
        <w:tc>
          <w:tcPr>
            <w:tcW w:w="4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433"/>
              <w:spacing w:after="0"/>
              <w:rPr>
                <w:sz w:val="20"/>
                <w:szCs w:val="20"/>
                <w:color w:val="auto"/>
              </w:rPr>
            </w:pPr>
            <w:r>
              <w:rPr>
                <w:rFonts w:ascii="Times New Roman" w:cs="Times New Roman" w:eastAsia="Times New Roman" w:hAnsi="Times New Roman"/>
                <w:sz w:val="14"/>
                <w:szCs w:val="14"/>
                <w:b w:val="1"/>
                <w:bCs w:val="1"/>
                <w:color w:val="auto"/>
              </w:rPr>
              <w:t>2021</w:t>
            </w:r>
          </w:p>
        </w:tc>
      </w:tr>
      <w:tr>
        <w:trPr>
          <w:trHeight w:val="229"/>
        </w:trPr>
        <w:tc>
          <w:tcPr>
            <w:tcW w:w="43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Net cash provided by operating activities</w:t>
            </w:r>
          </w:p>
        </w:tc>
        <w:tc>
          <w:tcPr>
            <w:tcW w:w="30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105,352</w:t>
            </w: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jc w:val="right"/>
              <w:ind w:right="25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13,889</w:t>
            </w:r>
          </w:p>
        </w:tc>
        <w:tc>
          <w:tcPr>
            <w:tcW w:w="140" w:type="dxa"/>
            <w:vAlign w:val="bottom"/>
            <w:shd w:val="clear" w:color="auto" w:fill="CCEEFF"/>
          </w:tcPr>
          <w:p>
            <w:pPr>
              <w:spacing w:after="0"/>
              <w:rPr>
                <w:sz w:val="19"/>
                <w:szCs w:val="19"/>
                <w:color w:val="auto"/>
              </w:rPr>
            </w:pPr>
          </w:p>
        </w:tc>
        <w:tc>
          <w:tcPr>
            <w:tcW w:w="30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281,781</w:t>
            </w:r>
          </w:p>
        </w:tc>
        <w:tc>
          <w:tcPr>
            <w:tcW w:w="140" w:type="dxa"/>
            <w:vAlign w:val="bottom"/>
            <w:shd w:val="clear" w:color="auto" w:fill="CCEEFF"/>
          </w:tcPr>
          <w:p>
            <w:pPr>
              <w:spacing w:after="0"/>
              <w:rPr>
                <w:sz w:val="19"/>
                <w:szCs w:val="19"/>
                <w:color w:val="auto"/>
              </w:rPr>
            </w:pPr>
          </w:p>
        </w:tc>
        <w:tc>
          <w:tcPr>
            <w:tcW w:w="440" w:type="dxa"/>
            <w:vAlign w:val="bottom"/>
            <w:shd w:val="clear" w:color="auto" w:fill="CCEEFF"/>
          </w:tcPr>
          <w:p>
            <w:pPr>
              <w:jc w:val="right"/>
              <w:ind w:right="23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53,916</w:t>
            </w:r>
          </w:p>
        </w:tc>
      </w:tr>
      <w:tr>
        <w:trPr>
          <w:trHeight w:val="229"/>
        </w:trPr>
        <w:tc>
          <w:tcPr>
            <w:tcW w:w="436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Capital expenditures</w:t>
            </w:r>
          </w:p>
        </w:tc>
        <w:tc>
          <w:tcPr>
            <w:tcW w:w="30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(4,724)</w:t>
            </w:r>
          </w:p>
        </w:tc>
        <w:tc>
          <w:tcPr>
            <w:tcW w:w="100" w:type="dxa"/>
            <w:vAlign w:val="bottom"/>
            <w:tcBorders>
              <w:bottom w:val="single" w:sz="8" w:color="CCEEFF"/>
            </w:tcBorders>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(4,544)</w:t>
            </w:r>
          </w:p>
        </w:tc>
        <w:tc>
          <w:tcPr>
            <w:tcW w:w="140" w:type="dxa"/>
            <w:vAlign w:val="bottom"/>
            <w:tcBorders>
              <w:bottom w:val="single" w:sz="8" w:color="CCEEFF"/>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(18,347)</w:t>
            </w:r>
          </w:p>
        </w:tc>
        <w:tc>
          <w:tcPr>
            <w:tcW w:w="140" w:type="dxa"/>
            <w:vAlign w:val="bottom"/>
            <w:tcBorders>
              <w:bottom w:val="single" w:sz="8" w:color="CCEEFF"/>
            </w:tcBorders>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(12,140)</w:t>
            </w:r>
          </w:p>
        </w:tc>
      </w:tr>
      <w:tr>
        <w:trPr>
          <w:trHeight w:val="248"/>
        </w:trPr>
        <w:tc>
          <w:tcPr>
            <w:tcW w:w="4360" w:type="dxa"/>
            <w:vAlign w:val="bottom"/>
            <w:tcBorders>
              <w:bottom w:val="single" w:sz="8" w:color="CCEEFF"/>
            </w:tcBorders>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Free cash flow</w:t>
            </w:r>
          </w:p>
        </w:tc>
        <w:tc>
          <w:tcPr>
            <w:tcW w:w="300" w:type="dxa"/>
            <w:vAlign w:val="bottom"/>
            <w:tcBorders>
              <w:bottom w:val="single" w:sz="8" w:color="auto"/>
            </w:tcBorders>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100,628</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auto"/>
            </w:tcBorders>
            <w:shd w:val="clear" w:color="auto" w:fill="CCEEFF"/>
          </w:tcPr>
          <w:p>
            <w:pPr>
              <w:jc w:val="right"/>
              <w:ind w:right="25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9,345</w:t>
            </w:r>
          </w:p>
        </w:tc>
        <w:tc>
          <w:tcPr>
            <w:tcW w:w="14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263,434</w:t>
            </w:r>
          </w:p>
        </w:tc>
        <w:tc>
          <w:tcPr>
            <w:tcW w:w="14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auto"/>
            </w:tcBorders>
            <w:shd w:val="clear" w:color="auto" w:fill="CCEEFF"/>
          </w:tcPr>
          <w:p>
            <w:pPr>
              <w:jc w:val="right"/>
              <w:ind w:right="23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41,776</w:t>
            </w:r>
          </w:p>
        </w:tc>
      </w:tr>
      <w:tr>
        <w:trPr>
          <w:trHeight w:val="20"/>
        </w:trPr>
        <w:tc>
          <w:tcPr>
            <w:tcW w:w="436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CCEEFF"/>
              <w:bottom w:val="single" w:sz="8" w:color="auto"/>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r>
      <w:tr>
        <w:trPr>
          <w:trHeight w:val="203"/>
        </w:trPr>
        <w:tc>
          <w:tcPr>
            <w:tcW w:w="43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880" w:type="dxa"/>
            <w:vAlign w:val="bottom"/>
          </w:tcPr>
          <w:p>
            <w:pPr>
              <w:spacing w:after="0"/>
              <w:rPr>
                <w:sz w:val="17"/>
                <w:szCs w:val="17"/>
                <w:color w:val="auto"/>
              </w:rPr>
            </w:pPr>
          </w:p>
        </w:tc>
      </w:tr>
      <w:tr>
        <w:trPr>
          <w:trHeight w:val="254"/>
        </w:trPr>
        <w:tc>
          <w:tcPr>
            <w:tcW w:w="436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Net cash (used in) provided by investing activities</w:t>
            </w:r>
          </w:p>
        </w:tc>
        <w:tc>
          <w:tcPr>
            <w:tcW w:w="300" w:type="dxa"/>
            <w:vAlign w:val="bottom"/>
            <w:tcBorders>
              <w:bottom w:val="single" w:sz="8" w:color="auto"/>
            </w:tcBorders>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(264,724)</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auto"/>
            </w:tcBorders>
            <w:shd w:val="clear" w:color="auto" w:fill="CCEEFF"/>
          </w:tcPr>
          <w:p>
            <w:pPr>
              <w:jc w:val="right"/>
              <w:ind w:right="25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(4,544)</w:t>
            </w:r>
          </w:p>
        </w:tc>
        <w:tc>
          <w:tcPr>
            <w:tcW w:w="14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(276,547)</w:t>
            </w:r>
          </w:p>
        </w:tc>
        <w:tc>
          <w:tcPr>
            <w:tcW w:w="14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auto"/>
            </w:tcBorders>
            <w:shd w:val="clear" w:color="auto" w:fill="CCEEFF"/>
          </w:tcPr>
          <w:p>
            <w:pPr>
              <w:jc w:val="right"/>
              <w:ind w:right="23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3,683</w:t>
            </w:r>
          </w:p>
        </w:tc>
      </w:tr>
      <w:tr>
        <w:trPr>
          <w:trHeight w:val="20"/>
        </w:trPr>
        <w:tc>
          <w:tcPr>
            <w:tcW w:w="436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CCEEFF"/>
              <w:bottom w:val="single" w:sz="8" w:color="auto"/>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r>
      <w:tr>
        <w:trPr>
          <w:trHeight w:val="203"/>
        </w:trPr>
        <w:tc>
          <w:tcPr>
            <w:tcW w:w="4360" w:type="dxa"/>
            <w:vAlign w:val="bottom"/>
          </w:tcPr>
          <w:p>
            <w:pPr>
              <w:ind w:left="20"/>
              <w:spacing w:after="0" w:line="203" w:lineRule="exact"/>
              <w:rPr>
                <w:sz w:val="20"/>
                <w:szCs w:val="20"/>
                <w:color w:val="auto"/>
              </w:rPr>
            </w:pPr>
            <w:r>
              <w:rPr>
                <w:rFonts w:ascii="Times New Roman" w:cs="Times New Roman" w:eastAsia="Times New Roman" w:hAnsi="Times New Roman"/>
                <w:sz w:val="18"/>
                <w:szCs w:val="18"/>
                <w:color w:val="auto"/>
              </w:rPr>
              <w:t>Net cash used in financing activities</w:t>
            </w:r>
          </w:p>
        </w:tc>
        <w:tc>
          <w:tcPr>
            <w:tcW w:w="300" w:type="dxa"/>
            <w:vAlign w:val="bottom"/>
            <w:tcBorders>
              <w:bottom w:val="single" w:sz="8" w:color="auto"/>
            </w:tcBorders>
          </w:tcPr>
          <w:p>
            <w:pPr>
              <w:jc w:val="right"/>
              <w:ind w:right="110"/>
              <w:spacing w:after="0" w:line="203" w:lineRule="exact"/>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tcBorders>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317,840</w:t>
            </w:r>
          </w:p>
        </w:tc>
        <w:tc>
          <w:tcPr>
            <w:tcW w:w="100" w:type="dxa"/>
            <w:vAlign w:val="bottom"/>
          </w:tcPr>
          <w:p>
            <w:pPr>
              <w:spacing w:after="0"/>
              <w:rPr>
                <w:sz w:val="17"/>
                <w:szCs w:val="17"/>
                <w:color w:val="auto"/>
              </w:rPr>
            </w:pPr>
          </w:p>
        </w:tc>
        <w:tc>
          <w:tcPr>
            <w:tcW w:w="440" w:type="dxa"/>
            <w:vAlign w:val="bottom"/>
            <w:tcBorders>
              <w:bottom w:val="single" w:sz="8" w:color="auto"/>
            </w:tcBorders>
          </w:tcPr>
          <w:p>
            <w:pPr>
              <w:jc w:val="right"/>
              <w:ind w:right="250"/>
              <w:spacing w:after="0" w:line="203" w:lineRule="exact"/>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(2,100)</w:t>
            </w:r>
          </w:p>
        </w:tc>
        <w:tc>
          <w:tcPr>
            <w:tcW w:w="140" w:type="dxa"/>
            <w:vAlign w:val="bottom"/>
          </w:tcPr>
          <w:p>
            <w:pPr>
              <w:spacing w:after="0"/>
              <w:rPr>
                <w:sz w:val="17"/>
                <w:szCs w:val="17"/>
                <w:color w:val="auto"/>
              </w:rPr>
            </w:pPr>
          </w:p>
        </w:tc>
        <w:tc>
          <w:tcPr>
            <w:tcW w:w="300" w:type="dxa"/>
            <w:vAlign w:val="bottom"/>
            <w:tcBorders>
              <w:bottom w:val="single" w:sz="8" w:color="auto"/>
            </w:tcBorders>
          </w:tcPr>
          <w:p>
            <w:pPr>
              <w:jc w:val="right"/>
              <w:ind w:right="110"/>
              <w:spacing w:after="0" w:line="203" w:lineRule="exact"/>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Borders>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311,691</w:t>
            </w:r>
          </w:p>
        </w:tc>
        <w:tc>
          <w:tcPr>
            <w:tcW w:w="140" w:type="dxa"/>
            <w:vAlign w:val="bottom"/>
          </w:tcPr>
          <w:p>
            <w:pPr>
              <w:spacing w:after="0"/>
              <w:rPr>
                <w:sz w:val="17"/>
                <w:szCs w:val="17"/>
                <w:color w:val="auto"/>
              </w:rPr>
            </w:pPr>
          </w:p>
        </w:tc>
        <w:tc>
          <w:tcPr>
            <w:tcW w:w="440" w:type="dxa"/>
            <w:vAlign w:val="bottom"/>
            <w:tcBorders>
              <w:bottom w:val="single" w:sz="8" w:color="auto"/>
            </w:tcBorders>
          </w:tcPr>
          <w:p>
            <w:pPr>
              <w:jc w:val="right"/>
              <w:ind w:right="230"/>
              <w:spacing w:after="0" w:line="203" w:lineRule="exact"/>
              <w:rPr>
                <w:sz w:val="20"/>
                <w:szCs w:val="20"/>
                <w:color w:val="auto"/>
              </w:rPr>
            </w:pPr>
            <w:r>
              <w:rPr>
                <w:rFonts w:ascii="Times New Roman" w:cs="Times New Roman" w:eastAsia="Times New Roman" w:hAnsi="Times New Roman"/>
                <w:sz w:val="18"/>
                <w:szCs w:val="18"/>
                <w:color w:val="auto"/>
              </w:rPr>
              <w:t>$</w:t>
            </w:r>
          </w:p>
        </w:tc>
        <w:tc>
          <w:tcPr>
            <w:tcW w:w="880" w:type="dxa"/>
            <w:vAlign w:val="bottom"/>
            <w:tcBorders>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(39,332)</w:t>
            </w:r>
          </w:p>
        </w:tc>
      </w:tr>
      <w:tr>
        <w:trPr>
          <w:trHeight w:val="21"/>
        </w:trPr>
        <w:tc>
          <w:tcPr>
            <w:tcW w:w="436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r>
    </w:tbl>
    <w:p>
      <w:pPr>
        <w:spacing w:after="0" w:line="184"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Page 7 of 9</w:t>
      </w:r>
    </w:p>
    <w:p>
      <w:pPr>
        <w:sectPr>
          <w:pgSz w:w="11900" w:h="16838" w:orient="portrait"/>
          <w:cols w:equalWidth="0" w:num="1">
            <w:col w:w="9940"/>
          </w:cols>
          <w:pgMar w:left="980" w:top="711" w:right="979" w:bottom="1440" w:gutter="0" w:footer="0" w:header="0"/>
        </w:sectPr>
      </w:pPr>
    </w:p>
    <w:bookmarkStart w:id="10" w:name="page11"/>
    <w:bookmarkEnd w:id="10"/>
    <w:p>
      <w:pPr>
        <w:jc w:val="center"/>
        <w:spacing w:after="0"/>
        <w:rPr>
          <w:sz w:val="20"/>
          <w:szCs w:val="20"/>
          <w:color w:val="auto"/>
        </w:rPr>
      </w:pPr>
      <w:r>
        <w:rPr>
          <w:rFonts w:ascii="Times New Roman" w:cs="Times New Roman" w:eastAsia="Times New Roman" w:hAnsi="Times New Roman"/>
          <w:sz w:val="18"/>
          <w:szCs w:val="18"/>
          <w:b w:val="1"/>
          <w:bCs w:val="1"/>
          <w:color w:val="auto"/>
        </w:rPr>
        <w:t>Lantheus Holdings, Inc.</w:t>
      </w:r>
    </w:p>
    <w:p>
      <w:pPr>
        <w:spacing w:after="0" w:line="6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Condensed Consolidated Balance Sheets</w:t>
      </w:r>
    </w:p>
    <w:p>
      <w:pPr>
        <w:spacing w:after="0" w:line="6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(in thousands – unaudited)</w:t>
      </w: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1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320" w:type="dxa"/>
            <w:vAlign w:val="bottom"/>
            <w:gridSpan w:val="2"/>
          </w:tcPr>
          <w:p>
            <w:pPr>
              <w:ind w:left="100"/>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180" w:type="dxa"/>
            <w:vAlign w:val="bottom"/>
          </w:tcPr>
          <w:p>
            <w:pPr>
              <w:spacing w:after="0"/>
              <w:rPr>
                <w:sz w:val="13"/>
                <w:szCs w:val="13"/>
                <w:color w:val="auto"/>
              </w:rPr>
            </w:pPr>
          </w:p>
        </w:tc>
        <w:tc>
          <w:tcPr>
            <w:tcW w:w="1200" w:type="dxa"/>
            <w:vAlign w:val="bottom"/>
          </w:tcPr>
          <w:p>
            <w:pPr>
              <w:jc w:val="right"/>
              <w:ind w:right="172"/>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0" w:type="dxa"/>
            <w:vAlign w:val="bottom"/>
          </w:tcPr>
          <w:p>
            <w:pPr>
              <w:spacing w:after="0"/>
              <w:rPr>
                <w:sz w:val="1"/>
                <w:szCs w:val="1"/>
                <w:color w:val="auto"/>
              </w:rPr>
            </w:pPr>
          </w:p>
        </w:tc>
      </w:tr>
      <w:tr>
        <w:trPr>
          <w:trHeight w:val="195"/>
        </w:trPr>
        <w:tc>
          <w:tcPr>
            <w:tcW w:w="616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452"/>
              <w:spacing w:after="0"/>
              <w:rPr>
                <w:sz w:val="20"/>
                <w:szCs w:val="20"/>
                <w:color w:val="auto"/>
              </w:rPr>
            </w:pPr>
            <w:r>
              <w:rPr>
                <w:rFonts w:ascii="Times New Roman" w:cs="Times New Roman" w:eastAsia="Times New Roman" w:hAnsi="Times New Roman"/>
                <w:sz w:val="14"/>
                <w:szCs w:val="14"/>
                <w:b w:val="1"/>
                <w:bCs w:val="1"/>
                <w:color w:val="auto"/>
              </w:rPr>
              <w:t>2022</w:t>
            </w: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452"/>
              <w:spacing w:after="0"/>
              <w:rPr>
                <w:sz w:val="20"/>
                <w:szCs w:val="20"/>
                <w:color w:val="auto"/>
              </w:rPr>
            </w:pPr>
            <w:r>
              <w:rPr>
                <w:rFonts w:ascii="Times New Roman" w:cs="Times New Roman" w:eastAsia="Times New Roman" w:hAnsi="Times New Roman"/>
                <w:sz w:val="14"/>
                <w:szCs w:val="14"/>
                <w:b w:val="1"/>
                <w:bCs w:val="1"/>
                <w:color w:val="auto"/>
              </w:rPr>
              <w:t>2021</w:t>
            </w:r>
          </w:p>
        </w:tc>
        <w:tc>
          <w:tcPr>
            <w:tcW w:w="0" w:type="dxa"/>
            <w:vAlign w:val="bottom"/>
          </w:tcPr>
          <w:p>
            <w:pPr>
              <w:spacing w:after="0"/>
              <w:rPr>
                <w:sz w:val="1"/>
                <w:szCs w:val="1"/>
                <w:color w:val="auto"/>
              </w:rPr>
            </w:pPr>
          </w:p>
        </w:tc>
      </w:tr>
      <w:tr>
        <w:trPr>
          <w:trHeight w:val="214"/>
        </w:trPr>
        <w:tc>
          <w:tcPr>
            <w:tcW w:w="61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b w:val="1"/>
                <w:bCs w:val="1"/>
                <w:color w:val="auto"/>
              </w:rPr>
              <w:t>Assets</w:t>
            </w:r>
          </w:p>
        </w:tc>
        <w:tc>
          <w:tcPr>
            <w:tcW w:w="18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16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Current assets</w:t>
            </w:r>
          </w:p>
        </w:tc>
        <w:tc>
          <w:tcPr>
            <w:tcW w:w="18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16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Cash and cash equivalents</w:t>
            </w: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415,652</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98,508</w:t>
            </w:r>
          </w:p>
        </w:tc>
        <w:tc>
          <w:tcPr>
            <w:tcW w:w="0" w:type="dxa"/>
            <w:vAlign w:val="bottom"/>
          </w:tcPr>
          <w:p>
            <w:pPr>
              <w:spacing w:after="0"/>
              <w:rPr>
                <w:sz w:val="1"/>
                <w:szCs w:val="1"/>
                <w:color w:val="auto"/>
              </w:rPr>
            </w:pPr>
          </w:p>
        </w:tc>
      </w:tr>
      <w:tr>
        <w:trPr>
          <w:trHeight w:val="229"/>
        </w:trPr>
        <w:tc>
          <w:tcPr>
            <w:tcW w:w="616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Accounts receivable, net</w:t>
            </w:r>
          </w:p>
        </w:tc>
        <w:tc>
          <w:tcPr>
            <w:tcW w:w="18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213,397</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89,336</w:t>
            </w:r>
          </w:p>
        </w:tc>
        <w:tc>
          <w:tcPr>
            <w:tcW w:w="0" w:type="dxa"/>
            <w:vAlign w:val="bottom"/>
          </w:tcPr>
          <w:p>
            <w:pPr>
              <w:spacing w:after="0"/>
              <w:rPr>
                <w:sz w:val="1"/>
                <w:szCs w:val="1"/>
                <w:color w:val="auto"/>
              </w:rPr>
            </w:pPr>
          </w:p>
        </w:tc>
      </w:tr>
      <w:tr>
        <w:trPr>
          <w:trHeight w:val="230"/>
        </w:trPr>
        <w:tc>
          <w:tcPr>
            <w:tcW w:w="616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Inventory</w:t>
            </w:r>
          </w:p>
        </w:tc>
        <w:tc>
          <w:tcPr>
            <w:tcW w:w="18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35,475</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35,129</w:t>
            </w:r>
          </w:p>
        </w:tc>
        <w:tc>
          <w:tcPr>
            <w:tcW w:w="0" w:type="dxa"/>
            <w:vAlign w:val="bottom"/>
          </w:tcPr>
          <w:p>
            <w:pPr>
              <w:spacing w:after="0"/>
              <w:rPr>
                <w:sz w:val="1"/>
                <w:szCs w:val="1"/>
                <w:color w:val="auto"/>
              </w:rPr>
            </w:pPr>
          </w:p>
        </w:tc>
      </w:tr>
      <w:tr>
        <w:trPr>
          <w:trHeight w:val="229"/>
        </w:trPr>
        <w:tc>
          <w:tcPr>
            <w:tcW w:w="6160" w:type="dxa"/>
            <w:vAlign w:val="bottom"/>
            <w:tcBorders>
              <w:bottom w:val="single" w:sz="8" w:color="CCEEFF"/>
            </w:tcBorders>
          </w:tcPr>
          <w:p>
            <w:pPr>
              <w:ind w:left="220"/>
              <w:spacing w:after="0"/>
              <w:rPr>
                <w:sz w:val="20"/>
                <w:szCs w:val="20"/>
                <w:color w:val="auto"/>
              </w:rPr>
            </w:pPr>
            <w:r>
              <w:rPr>
                <w:rFonts w:ascii="Times New Roman" w:cs="Times New Roman" w:eastAsia="Times New Roman" w:hAnsi="Times New Roman"/>
                <w:sz w:val="18"/>
                <w:szCs w:val="18"/>
                <w:color w:val="auto"/>
              </w:rPr>
              <w:t>Other current assets</w:t>
            </w:r>
          </w:p>
        </w:tc>
        <w:tc>
          <w:tcPr>
            <w:tcW w:w="18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13,092</w:t>
            </w:r>
          </w:p>
        </w:tc>
        <w:tc>
          <w:tcPr>
            <w:tcW w:w="120" w:type="dxa"/>
            <w:vAlign w:val="bottom"/>
            <w:tcBorders>
              <w:bottom w:val="single" w:sz="8" w:color="CCEEFF"/>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12,818</w:t>
            </w:r>
          </w:p>
        </w:tc>
        <w:tc>
          <w:tcPr>
            <w:tcW w:w="0" w:type="dxa"/>
            <w:vAlign w:val="bottom"/>
          </w:tcPr>
          <w:p>
            <w:pPr>
              <w:spacing w:after="0"/>
              <w:rPr>
                <w:sz w:val="1"/>
                <w:szCs w:val="1"/>
                <w:color w:val="auto"/>
              </w:rPr>
            </w:pPr>
          </w:p>
        </w:tc>
      </w:tr>
      <w:tr>
        <w:trPr>
          <w:trHeight w:val="223"/>
        </w:trPr>
        <w:tc>
          <w:tcPr>
            <w:tcW w:w="6160" w:type="dxa"/>
            <w:vAlign w:val="bottom"/>
            <w:shd w:val="clear" w:color="auto" w:fill="CCEEFF"/>
          </w:tcPr>
          <w:p>
            <w:pPr>
              <w:ind w:left="460"/>
              <w:spacing w:after="0"/>
              <w:rPr>
                <w:sz w:val="20"/>
                <w:szCs w:val="20"/>
                <w:color w:val="auto"/>
              </w:rPr>
            </w:pPr>
            <w:r>
              <w:rPr>
                <w:rFonts w:ascii="Times New Roman" w:cs="Times New Roman" w:eastAsia="Times New Roman" w:hAnsi="Times New Roman"/>
                <w:sz w:val="18"/>
                <w:szCs w:val="18"/>
                <w:b w:val="1"/>
                <w:bCs w:val="1"/>
                <w:color w:val="auto"/>
              </w:rPr>
              <w:t>Total current assets</w:t>
            </w:r>
          </w:p>
        </w:tc>
        <w:tc>
          <w:tcPr>
            <w:tcW w:w="18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677,616</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235,791</w:t>
            </w:r>
          </w:p>
        </w:tc>
        <w:tc>
          <w:tcPr>
            <w:tcW w:w="0" w:type="dxa"/>
            <w:vAlign w:val="bottom"/>
          </w:tcPr>
          <w:p>
            <w:pPr>
              <w:spacing w:after="0"/>
              <w:rPr>
                <w:sz w:val="1"/>
                <w:szCs w:val="1"/>
                <w:color w:val="auto"/>
              </w:rPr>
            </w:pPr>
          </w:p>
        </w:tc>
      </w:tr>
      <w:tr>
        <w:trPr>
          <w:trHeight w:val="229"/>
        </w:trPr>
        <w:tc>
          <w:tcPr>
            <w:tcW w:w="61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Property, plant and equipment, net</w:t>
            </w:r>
          </w:p>
        </w:tc>
        <w:tc>
          <w:tcPr>
            <w:tcW w:w="18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122,166</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116,772</w:t>
            </w:r>
          </w:p>
        </w:tc>
        <w:tc>
          <w:tcPr>
            <w:tcW w:w="0" w:type="dxa"/>
            <w:vAlign w:val="bottom"/>
          </w:tcPr>
          <w:p>
            <w:pPr>
              <w:spacing w:after="0"/>
              <w:rPr>
                <w:sz w:val="1"/>
                <w:szCs w:val="1"/>
                <w:color w:val="auto"/>
              </w:rPr>
            </w:pPr>
          </w:p>
        </w:tc>
      </w:tr>
      <w:tr>
        <w:trPr>
          <w:trHeight w:val="229"/>
        </w:trPr>
        <w:tc>
          <w:tcPr>
            <w:tcW w:w="61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Intangibles, net</w:t>
            </w:r>
          </w:p>
        </w:tc>
        <w:tc>
          <w:tcPr>
            <w:tcW w:w="18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315,285</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348,510</w:t>
            </w:r>
          </w:p>
        </w:tc>
        <w:tc>
          <w:tcPr>
            <w:tcW w:w="0" w:type="dxa"/>
            <w:vAlign w:val="bottom"/>
          </w:tcPr>
          <w:p>
            <w:pPr>
              <w:spacing w:after="0"/>
              <w:rPr>
                <w:sz w:val="1"/>
                <w:szCs w:val="1"/>
                <w:color w:val="auto"/>
              </w:rPr>
            </w:pPr>
          </w:p>
        </w:tc>
      </w:tr>
      <w:tr>
        <w:trPr>
          <w:trHeight w:val="230"/>
        </w:trPr>
        <w:tc>
          <w:tcPr>
            <w:tcW w:w="61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Goodwill</w:t>
            </w:r>
          </w:p>
        </w:tc>
        <w:tc>
          <w:tcPr>
            <w:tcW w:w="18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61,189</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61,189</w:t>
            </w:r>
          </w:p>
        </w:tc>
        <w:tc>
          <w:tcPr>
            <w:tcW w:w="0" w:type="dxa"/>
            <w:vAlign w:val="bottom"/>
          </w:tcPr>
          <w:p>
            <w:pPr>
              <w:spacing w:after="0"/>
              <w:rPr>
                <w:sz w:val="1"/>
                <w:szCs w:val="1"/>
                <w:color w:val="auto"/>
              </w:rPr>
            </w:pPr>
          </w:p>
        </w:tc>
      </w:tr>
      <w:tr>
        <w:trPr>
          <w:trHeight w:val="229"/>
        </w:trPr>
        <w:tc>
          <w:tcPr>
            <w:tcW w:w="61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Deferred tax assets, net</w:t>
            </w:r>
          </w:p>
        </w:tc>
        <w:tc>
          <w:tcPr>
            <w:tcW w:w="18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110,647</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62,764</w:t>
            </w:r>
          </w:p>
        </w:tc>
        <w:tc>
          <w:tcPr>
            <w:tcW w:w="0" w:type="dxa"/>
            <w:vAlign w:val="bottom"/>
          </w:tcPr>
          <w:p>
            <w:pPr>
              <w:spacing w:after="0"/>
              <w:rPr>
                <w:sz w:val="1"/>
                <w:szCs w:val="1"/>
                <w:color w:val="auto"/>
              </w:rPr>
            </w:pPr>
          </w:p>
        </w:tc>
      </w:tr>
      <w:tr>
        <w:trPr>
          <w:trHeight w:val="230"/>
        </w:trPr>
        <w:tc>
          <w:tcPr>
            <w:tcW w:w="616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Other long-term assets</w:t>
            </w:r>
          </w:p>
        </w:tc>
        <w:tc>
          <w:tcPr>
            <w:tcW w:w="18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34,355</w:t>
            </w:r>
          </w:p>
        </w:tc>
        <w:tc>
          <w:tcPr>
            <w:tcW w:w="120" w:type="dxa"/>
            <w:vAlign w:val="bottom"/>
            <w:tcBorders>
              <w:bottom w:val="single" w:sz="8" w:color="CCEEFF"/>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38,758</w:t>
            </w:r>
          </w:p>
        </w:tc>
        <w:tc>
          <w:tcPr>
            <w:tcW w:w="0" w:type="dxa"/>
            <w:vAlign w:val="bottom"/>
          </w:tcPr>
          <w:p>
            <w:pPr>
              <w:spacing w:after="0"/>
              <w:rPr>
                <w:sz w:val="1"/>
                <w:szCs w:val="1"/>
                <w:color w:val="auto"/>
              </w:rPr>
            </w:pPr>
          </w:p>
        </w:tc>
      </w:tr>
      <w:tr>
        <w:trPr>
          <w:trHeight w:val="248"/>
        </w:trPr>
        <w:tc>
          <w:tcPr>
            <w:tcW w:w="6160" w:type="dxa"/>
            <w:vAlign w:val="bottom"/>
            <w:tcBorders>
              <w:bottom w:val="single" w:sz="8" w:color="CCEEFF"/>
            </w:tcBorders>
            <w:shd w:val="clear" w:color="auto" w:fill="CCEEFF"/>
          </w:tcPr>
          <w:p>
            <w:pPr>
              <w:ind w:left="220"/>
              <w:spacing w:after="0"/>
              <w:rPr>
                <w:sz w:val="20"/>
                <w:szCs w:val="20"/>
                <w:color w:val="auto"/>
              </w:rPr>
            </w:pPr>
            <w:r>
              <w:rPr>
                <w:rFonts w:ascii="Times New Roman" w:cs="Times New Roman" w:eastAsia="Times New Roman" w:hAnsi="Times New Roman"/>
                <w:sz w:val="18"/>
                <w:szCs w:val="18"/>
                <w:b w:val="1"/>
                <w:bCs w:val="1"/>
                <w:color w:val="auto"/>
              </w:rPr>
              <w:t>Total assets</w:t>
            </w:r>
          </w:p>
        </w:tc>
        <w:tc>
          <w:tcPr>
            <w:tcW w:w="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1,321,258</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863,784</w:t>
            </w:r>
          </w:p>
        </w:tc>
        <w:tc>
          <w:tcPr>
            <w:tcW w:w="0" w:type="dxa"/>
            <w:vAlign w:val="bottom"/>
          </w:tcPr>
          <w:p>
            <w:pPr>
              <w:spacing w:after="0"/>
              <w:rPr>
                <w:sz w:val="1"/>
                <w:szCs w:val="1"/>
                <w:color w:val="auto"/>
              </w:rPr>
            </w:pPr>
          </w:p>
        </w:tc>
      </w:tr>
      <w:tr>
        <w:trPr>
          <w:trHeight w:val="20"/>
        </w:trPr>
        <w:tc>
          <w:tcPr>
            <w:tcW w:w="6160" w:type="dxa"/>
            <w:vAlign w:val="bottom"/>
            <w:tcBorders>
              <w:top w:val="single" w:sz="8" w:color="CCEEFF"/>
              <w:bottom w:val="single" w:sz="8" w:color="CCEEFF"/>
            </w:tcBorders>
            <w:vMerge w:val="restart"/>
          </w:tcPr>
          <w:p>
            <w:pPr>
              <w:ind w:left="20"/>
              <w:spacing w:after="0"/>
              <w:rPr>
                <w:sz w:val="20"/>
                <w:szCs w:val="20"/>
                <w:color w:val="auto"/>
              </w:rPr>
            </w:pPr>
            <w:r>
              <w:rPr>
                <w:rFonts w:ascii="Times New Roman" w:cs="Times New Roman" w:eastAsia="Times New Roman" w:hAnsi="Times New Roman"/>
                <w:sz w:val="18"/>
                <w:szCs w:val="18"/>
                <w:b w:val="1"/>
                <w:bCs w:val="1"/>
                <w:color w:val="auto"/>
              </w:rPr>
              <w:t>Liabilities and stockholders’ equity</w:t>
            </w: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7"/>
        </w:trPr>
        <w:tc>
          <w:tcPr>
            <w:tcW w:w="6160" w:type="dxa"/>
            <w:vAlign w:val="bottom"/>
            <w:vMerge w:val="continue"/>
          </w:tcPr>
          <w:p>
            <w:pPr>
              <w:spacing w:after="0"/>
              <w:rPr>
                <w:sz w:val="15"/>
                <w:szCs w:val="15"/>
                <w:color w:val="auto"/>
              </w:rPr>
            </w:pPr>
          </w:p>
        </w:tc>
        <w:tc>
          <w:tcPr>
            <w:tcW w:w="1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9"/>
        </w:trPr>
        <w:tc>
          <w:tcPr>
            <w:tcW w:w="61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b w:val="1"/>
                <w:bCs w:val="1"/>
                <w:color w:val="auto"/>
              </w:rPr>
              <w:t>Current liabilities</w:t>
            </w:r>
          </w:p>
        </w:tc>
        <w:tc>
          <w:tcPr>
            <w:tcW w:w="18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16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Current portion of long-term debt and other borrowings</w:t>
            </w: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354</w:t>
            </w:r>
          </w:p>
        </w:tc>
        <w:tc>
          <w:tcPr>
            <w:tcW w:w="120" w:type="dxa"/>
            <w:vAlign w:val="bottom"/>
          </w:tcPr>
          <w:p>
            <w:pPr>
              <w:spacing w:after="0"/>
              <w:rPr>
                <w:sz w:val="19"/>
                <w:szCs w:val="19"/>
                <w:color w:val="auto"/>
              </w:rPr>
            </w:pP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11,642</w:t>
            </w:r>
          </w:p>
        </w:tc>
        <w:tc>
          <w:tcPr>
            <w:tcW w:w="0" w:type="dxa"/>
            <w:vAlign w:val="bottom"/>
          </w:tcPr>
          <w:p>
            <w:pPr>
              <w:spacing w:after="0"/>
              <w:rPr>
                <w:sz w:val="1"/>
                <w:szCs w:val="1"/>
                <w:color w:val="auto"/>
              </w:rPr>
            </w:pPr>
          </w:p>
        </w:tc>
      </w:tr>
      <w:tr>
        <w:trPr>
          <w:trHeight w:val="229"/>
        </w:trPr>
        <w:tc>
          <w:tcPr>
            <w:tcW w:w="616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Accounts payable</w:t>
            </w:r>
          </w:p>
        </w:tc>
        <w:tc>
          <w:tcPr>
            <w:tcW w:w="18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20,563</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20,787</w:t>
            </w:r>
          </w:p>
        </w:tc>
        <w:tc>
          <w:tcPr>
            <w:tcW w:w="0" w:type="dxa"/>
            <w:vAlign w:val="bottom"/>
          </w:tcPr>
          <w:p>
            <w:pPr>
              <w:spacing w:after="0"/>
              <w:rPr>
                <w:sz w:val="1"/>
                <w:szCs w:val="1"/>
                <w:color w:val="auto"/>
              </w:rPr>
            </w:pPr>
          </w:p>
        </w:tc>
      </w:tr>
      <w:tr>
        <w:trPr>
          <w:trHeight w:val="229"/>
        </w:trPr>
        <w:tc>
          <w:tcPr>
            <w:tcW w:w="616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Short-term contingent liability</w:t>
            </w:r>
          </w:p>
        </w:tc>
        <w:tc>
          <w:tcPr>
            <w:tcW w:w="18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99,700</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30"/>
        </w:trPr>
        <w:tc>
          <w:tcPr>
            <w:tcW w:w="616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Accrued expenses and other liabilities</w:t>
            </w:r>
          </w:p>
        </w:tc>
        <w:tc>
          <w:tcPr>
            <w:tcW w:w="180" w:type="dxa"/>
            <w:vAlign w:val="bottom"/>
            <w:tcBorders>
              <w:bottom w:val="single" w:sz="8" w:color="auto"/>
            </w:tcBorders>
            <w:shd w:val="clear" w:color="auto" w:fill="CCEEFF"/>
          </w:tcPr>
          <w:p>
            <w:pPr>
              <w:spacing w:after="0"/>
              <w:rPr>
                <w:sz w:val="19"/>
                <w:szCs w:val="19"/>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127,084</w:t>
            </w:r>
          </w:p>
        </w:tc>
        <w:tc>
          <w:tcPr>
            <w:tcW w:w="120" w:type="dxa"/>
            <w:vAlign w:val="bottom"/>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58,068</w:t>
            </w:r>
          </w:p>
        </w:tc>
        <w:tc>
          <w:tcPr>
            <w:tcW w:w="0" w:type="dxa"/>
            <w:vAlign w:val="bottom"/>
          </w:tcPr>
          <w:p>
            <w:pPr>
              <w:spacing w:after="0"/>
              <w:rPr>
                <w:sz w:val="1"/>
                <w:szCs w:val="1"/>
                <w:color w:val="auto"/>
              </w:rPr>
            </w:pPr>
          </w:p>
        </w:tc>
      </w:tr>
      <w:tr>
        <w:trPr>
          <w:trHeight w:val="223"/>
        </w:trPr>
        <w:tc>
          <w:tcPr>
            <w:tcW w:w="6160" w:type="dxa"/>
            <w:vAlign w:val="bottom"/>
          </w:tcPr>
          <w:p>
            <w:pPr>
              <w:ind w:left="460"/>
              <w:spacing w:after="0"/>
              <w:rPr>
                <w:sz w:val="20"/>
                <w:szCs w:val="20"/>
                <w:color w:val="auto"/>
              </w:rPr>
            </w:pPr>
            <w:r>
              <w:rPr>
                <w:rFonts w:ascii="Times New Roman" w:cs="Times New Roman" w:eastAsia="Times New Roman" w:hAnsi="Times New Roman"/>
                <w:sz w:val="18"/>
                <w:szCs w:val="18"/>
                <w:b w:val="1"/>
                <w:bCs w:val="1"/>
                <w:color w:val="auto"/>
              </w:rPr>
              <w:t>Total current liabilities</w:t>
            </w:r>
          </w:p>
        </w:tc>
        <w:tc>
          <w:tcPr>
            <w:tcW w:w="18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247,701</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90,497</w:t>
            </w:r>
          </w:p>
        </w:tc>
        <w:tc>
          <w:tcPr>
            <w:tcW w:w="0" w:type="dxa"/>
            <w:vAlign w:val="bottom"/>
          </w:tcPr>
          <w:p>
            <w:pPr>
              <w:spacing w:after="0"/>
              <w:rPr>
                <w:sz w:val="1"/>
                <w:szCs w:val="1"/>
                <w:color w:val="auto"/>
              </w:rPr>
            </w:pPr>
          </w:p>
        </w:tc>
      </w:tr>
      <w:tr>
        <w:trPr>
          <w:trHeight w:val="229"/>
        </w:trPr>
        <w:tc>
          <w:tcPr>
            <w:tcW w:w="61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Asset retirement obligations</w:t>
            </w:r>
          </w:p>
        </w:tc>
        <w:tc>
          <w:tcPr>
            <w:tcW w:w="18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22,543</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20,833</w:t>
            </w:r>
          </w:p>
        </w:tc>
        <w:tc>
          <w:tcPr>
            <w:tcW w:w="0" w:type="dxa"/>
            <w:vAlign w:val="bottom"/>
          </w:tcPr>
          <w:p>
            <w:pPr>
              <w:spacing w:after="0"/>
              <w:rPr>
                <w:sz w:val="1"/>
                <w:szCs w:val="1"/>
                <w:color w:val="auto"/>
              </w:rPr>
            </w:pPr>
          </w:p>
        </w:tc>
      </w:tr>
      <w:tr>
        <w:trPr>
          <w:trHeight w:val="230"/>
        </w:trPr>
        <w:tc>
          <w:tcPr>
            <w:tcW w:w="61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Long-term debt, net and other borrowings</w:t>
            </w:r>
          </w:p>
        </w:tc>
        <w:tc>
          <w:tcPr>
            <w:tcW w:w="18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557,712</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163,121</w:t>
            </w:r>
          </w:p>
        </w:tc>
        <w:tc>
          <w:tcPr>
            <w:tcW w:w="0" w:type="dxa"/>
            <w:vAlign w:val="bottom"/>
          </w:tcPr>
          <w:p>
            <w:pPr>
              <w:spacing w:after="0"/>
              <w:rPr>
                <w:sz w:val="1"/>
                <w:szCs w:val="1"/>
                <w:color w:val="auto"/>
              </w:rPr>
            </w:pPr>
          </w:p>
        </w:tc>
      </w:tr>
      <w:tr>
        <w:trPr>
          <w:trHeight w:val="230"/>
        </w:trPr>
        <w:tc>
          <w:tcPr>
            <w:tcW w:w="61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Other long-term liabilities</w:t>
            </w:r>
          </w:p>
        </w:tc>
        <w:tc>
          <w:tcPr>
            <w:tcW w:w="180" w:type="dxa"/>
            <w:vAlign w:val="bottom"/>
            <w:tcBorders>
              <w:bottom w:val="single" w:sz="8" w:color="auto"/>
            </w:tcBorders>
            <w:shd w:val="clear" w:color="auto" w:fill="CCEEFF"/>
          </w:tcPr>
          <w:p>
            <w:pPr>
              <w:spacing w:after="0"/>
              <w:rPr>
                <w:sz w:val="19"/>
                <w:szCs w:val="19"/>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46,155</w:t>
            </w:r>
          </w:p>
        </w:tc>
        <w:tc>
          <w:tcPr>
            <w:tcW w:w="120" w:type="dxa"/>
            <w:vAlign w:val="bottom"/>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124,894</w:t>
            </w:r>
          </w:p>
        </w:tc>
        <w:tc>
          <w:tcPr>
            <w:tcW w:w="0" w:type="dxa"/>
            <w:vAlign w:val="bottom"/>
          </w:tcPr>
          <w:p>
            <w:pPr>
              <w:spacing w:after="0"/>
              <w:rPr>
                <w:sz w:val="1"/>
                <w:szCs w:val="1"/>
                <w:color w:val="auto"/>
              </w:rPr>
            </w:pPr>
          </w:p>
        </w:tc>
      </w:tr>
      <w:tr>
        <w:trPr>
          <w:trHeight w:val="223"/>
        </w:trPr>
        <w:tc>
          <w:tcPr>
            <w:tcW w:w="6160" w:type="dxa"/>
            <w:vAlign w:val="bottom"/>
            <w:tcBorders>
              <w:bottom w:val="single" w:sz="8" w:color="CCEEFF"/>
            </w:tcBorders>
          </w:tcPr>
          <w:p>
            <w:pPr>
              <w:ind w:left="220"/>
              <w:spacing w:after="0"/>
              <w:rPr>
                <w:sz w:val="20"/>
                <w:szCs w:val="20"/>
                <w:color w:val="auto"/>
              </w:rPr>
            </w:pPr>
            <w:r>
              <w:rPr>
                <w:rFonts w:ascii="Times New Roman" w:cs="Times New Roman" w:eastAsia="Times New Roman" w:hAnsi="Times New Roman"/>
                <w:sz w:val="18"/>
                <w:szCs w:val="18"/>
                <w:b w:val="1"/>
                <w:bCs w:val="1"/>
                <w:color w:val="auto"/>
              </w:rPr>
              <w:t>Total liabilities</w:t>
            </w:r>
          </w:p>
        </w:tc>
        <w:tc>
          <w:tcPr>
            <w:tcW w:w="18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874,111</w:t>
            </w:r>
          </w:p>
        </w:tc>
        <w:tc>
          <w:tcPr>
            <w:tcW w:w="120" w:type="dxa"/>
            <w:vAlign w:val="bottom"/>
            <w:tcBorders>
              <w:bottom w:val="single" w:sz="8" w:color="CCEEFF"/>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399,345</w:t>
            </w:r>
          </w:p>
        </w:tc>
        <w:tc>
          <w:tcPr>
            <w:tcW w:w="0" w:type="dxa"/>
            <w:vAlign w:val="bottom"/>
          </w:tcPr>
          <w:p>
            <w:pPr>
              <w:spacing w:after="0"/>
              <w:rPr>
                <w:sz w:val="1"/>
                <w:szCs w:val="1"/>
                <w:color w:val="auto"/>
              </w:rPr>
            </w:pPr>
          </w:p>
        </w:tc>
      </w:tr>
      <w:tr>
        <w:trPr>
          <w:trHeight w:val="223"/>
        </w:trPr>
        <w:tc>
          <w:tcPr>
            <w:tcW w:w="61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b w:val="1"/>
                <w:bCs w:val="1"/>
                <w:color w:val="auto"/>
              </w:rPr>
              <w:t>Total stockholders’ equity</w:t>
            </w:r>
          </w:p>
        </w:tc>
        <w:tc>
          <w:tcPr>
            <w:tcW w:w="180" w:type="dxa"/>
            <w:vAlign w:val="bottom"/>
            <w:tcBorders>
              <w:bottom w:val="single" w:sz="8" w:color="auto"/>
            </w:tcBorders>
            <w:shd w:val="clear" w:color="auto" w:fill="CCEEFF"/>
          </w:tcPr>
          <w:p>
            <w:pPr>
              <w:spacing w:after="0"/>
              <w:rPr>
                <w:sz w:val="19"/>
                <w:szCs w:val="19"/>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447,147</w:t>
            </w:r>
          </w:p>
        </w:tc>
        <w:tc>
          <w:tcPr>
            <w:tcW w:w="120" w:type="dxa"/>
            <w:vAlign w:val="bottom"/>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464,439</w:t>
            </w:r>
          </w:p>
        </w:tc>
        <w:tc>
          <w:tcPr>
            <w:tcW w:w="0" w:type="dxa"/>
            <w:vAlign w:val="bottom"/>
          </w:tcPr>
          <w:p>
            <w:pPr>
              <w:spacing w:after="0"/>
              <w:rPr>
                <w:sz w:val="1"/>
                <w:szCs w:val="1"/>
                <w:color w:val="auto"/>
              </w:rPr>
            </w:pPr>
          </w:p>
        </w:tc>
      </w:tr>
      <w:tr>
        <w:trPr>
          <w:trHeight w:val="223"/>
        </w:trPr>
        <w:tc>
          <w:tcPr>
            <w:tcW w:w="6160" w:type="dxa"/>
            <w:vAlign w:val="bottom"/>
          </w:tcPr>
          <w:p>
            <w:pPr>
              <w:ind w:left="220"/>
              <w:spacing w:after="0"/>
              <w:rPr>
                <w:sz w:val="20"/>
                <w:szCs w:val="20"/>
                <w:color w:val="auto"/>
              </w:rPr>
            </w:pPr>
            <w:r>
              <w:rPr>
                <w:rFonts w:ascii="Times New Roman" w:cs="Times New Roman" w:eastAsia="Times New Roman" w:hAnsi="Times New Roman"/>
                <w:sz w:val="18"/>
                <w:szCs w:val="18"/>
                <w:b w:val="1"/>
                <w:bCs w:val="1"/>
                <w:color w:val="auto"/>
              </w:rPr>
              <w:t>Total liabilities and stockholders’ equity</w:t>
            </w:r>
          </w:p>
        </w:tc>
        <w:tc>
          <w:tcPr>
            <w:tcW w:w="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1,321,258</w:t>
            </w:r>
          </w:p>
        </w:tc>
        <w:tc>
          <w:tcPr>
            <w:tcW w:w="120" w:type="dxa"/>
            <w:vAlign w:val="bottom"/>
          </w:tcPr>
          <w:p>
            <w:pPr>
              <w:spacing w:after="0"/>
              <w:rPr>
                <w:sz w:val="19"/>
                <w:szCs w:val="19"/>
                <w:color w:val="auto"/>
              </w:rPr>
            </w:pPr>
          </w:p>
        </w:tc>
        <w:tc>
          <w:tcPr>
            <w:tcW w:w="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863,784</w:t>
            </w:r>
          </w:p>
        </w:tc>
        <w:tc>
          <w:tcPr>
            <w:tcW w:w="0" w:type="dxa"/>
            <w:vAlign w:val="bottom"/>
          </w:tcPr>
          <w:p>
            <w:pPr>
              <w:spacing w:after="0"/>
              <w:rPr>
                <w:sz w:val="1"/>
                <w:szCs w:val="1"/>
                <w:color w:val="auto"/>
              </w:rPr>
            </w:pPr>
          </w:p>
        </w:tc>
      </w:tr>
      <w:tr>
        <w:trPr>
          <w:trHeight w:val="21"/>
        </w:trPr>
        <w:tc>
          <w:tcPr>
            <w:tcW w:w="6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1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Page 8 of 9</w:t>
      </w:r>
    </w:p>
    <w:p>
      <w:pPr>
        <w:sectPr>
          <w:pgSz w:w="11900" w:h="16838" w:orient="portrait"/>
          <w:cols w:equalWidth="0" w:num="1">
            <w:col w:w="9040"/>
          </w:cols>
          <w:pgMar w:left="1420" w:top="711" w:right="1439" w:bottom="1440" w:gutter="0" w:footer="0" w:header="0"/>
        </w:sectPr>
      </w:pPr>
    </w:p>
    <w:bookmarkStart w:id="11" w:name="page12"/>
    <w:bookmarkEnd w:id="11"/>
    <w:p>
      <w:pPr>
        <w:ind w:left="5480"/>
        <w:spacing w:after="0"/>
        <w:rPr>
          <w:sz w:val="20"/>
          <w:szCs w:val="20"/>
          <w:color w:val="auto"/>
        </w:rPr>
      </w:pPr>
      <w:r>
        <w:rPr>
          <w:rFonts w:ascii="Times New Roman" w:cs="Times New Roman" w:eastAsia="Times New Roman" w:hAnsi="Times New Roman"/>
          <w:sz w:val="18"/>
          <w:szCs w:val="18"/>
          <w:color w:val="auto"/>
        </w:rPr>
        <w:t>###</w:t>
      </w:r>
    </w:p>
    <w:p>
      <w:pPr>
        <w:spacing w:after="0" w:line="3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Contacts:</w:t>
      </w:r>
    </w:p>
    <w:p>
      <w:pPr>
        <w:spacing w:after="0" w:line="6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Mark Kinarney</w:t>
      </w:r>
    </w:p>
    <w:p>
      <w:pPr>
        <w:spacing w:after="0" w:line="10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Vice President, Investor Relations</w:t>
      </w:r>
    </w:p>
    <w:p>
      <w:pPr>
        <w:spacing w:after="0" w:line="10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978-671-8842</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ir@lantheus.com</w:t>
      </w:r>
    </w:p>
    <w:p>
      <w:pPr>
        <w:spacing w:after="0" w:line="200" w:lineRule="exact"/>
        <w:rPr>
          <w:sz w:val="20"/>
          <w:szCs w:val="20"/>
          <w:color w:val="auto"/>
        </w:rPr>
      </w:pPr>
    </w:p>
    <w:p>
      <w:pPr>
        <w:spacing w:after="0" w:line="36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Melissa Downs</w:t>
      </w:r>
    </w:p>
    <w:p>
      <w:pPr>
        <w:spacing w:after="0" w:line="10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Senior Director, Corporate Communications</w:t>
      </w:r>
    </w:p>
    <w:p>
      <w:pPr>
        <w:spacing w:after="0" w:line="10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646-975-2533</w:t>
      </w:r>
    </w:p>
    <w:p>
      <w:pPr>
        <w:spacing w:after="0" w:line="10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media@lantheus.com</w:t>
      </w:r>
    </w:p>
    <w:p>
      <w:pPr>
        <w:spacing w:after="0" w:line="171" w:lineRule="exact"/>
        <w:rPr>
          <w:sz w:val="20"/>
          <w:szCs w:val="20"/>
          <w:color w:val="auto"/>
        </w:rPr>
      </w:pPr>
    </w:p>
    <w:p>
      <w:pPr>
        <w:jc w:val="right"/>
        <w:ind w:right="4099"/>
        <w:spacing w:after="0"/>
        <w:rPr>
          <w:sz w:val="20"/>
          <w:szCs w:val="20"/>
          <w:color w:val="auto"/>
        </w:rPr>
      </w:pPr>
      <w:r>
        <w:rPr>
          <w:rFonts w:ascii="Times New Roman" w:cs="Times New Roman" w:eastAsia="Times New Roman" w:hAnsi="Times New Roman"/>
          <w:sz w:val="18"/>
          <w:szCs w:val="18"/>
          <w:color w:val="auto"/>
        </w:rPr>
        <w:t>Page 9 of 9</w:t>
      </w:r>
    </w:p>
    <w:sectPr>
      <w:pgSz w:w="11900" w:h="16838" w:orient="portrait"/>
      <w:cols w:equalWidth="0" w:num="1">
        <w:col w:w="10139"/>
      </w:cols>
      <w:pgMar w:left="320" w:top="877"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9495CFF"/>
    <w:multiLevelType w:val="hybridMultilevel"/>
    <w:lvl w:ilvl="0">
      <w:lvlJc w:val="left"/>
      <w:lvlText w:val="☐"/>
      <w:numFmt w:val="bullet"/>
      <w:start w:val="1"/>
    </w:lvl>
  </w:abstractNum>
  <w:abstractNum w:abstractNumId="1">
    <w:nsid w:val="2AE8944A"/>
    <w:multiLevelType w:val="hybridMultilevel"/>
    <w:lvl w:ilvl="0">
      <w:lvlJc w:val="left"/>
      <w:lvlText w:val="*"/>
      <w:numFmt w:val="bullet"/>
      <w:start w:val="1"/>
    </w:lvl>
    <w:lvl w:ilvl="1">
      <w:lvlJc w:val="left"/>
      <w:lvlText w:val="%2"/>
      <w:numFmt w:val="decimal"/>
      <w:start w:val="104"/>
    </w:lvl>
  </w:abstractNum>
  <w:abstractNum w:abstractNumId="2">
    <w:nsid w:val="625558EC"/>
    <w:multiLevelType w:val="hybridMultilevel"/>
    <w:lvl w:ilvl="0">
      <w:lvlJc w:val="left"/>
      <w:lvlText w:val="•"/>
      <w:numFmt w:val="bullet"/>
      <w:start w:val="1"/>
    </w:lvl>
  </w:abstractNum>
  <w:abstractNum w:abstractNumId="3">
    <w:nsid w:val="238E1F29"/>
    <w:multiLevelType w:val="hybridMultilevel"/>
    <w:lvl w:ilvl="0">
      <w:lvlJc w:val="left"/>
      <w:lvlText w:val="(%1)"/>
      <w:numFmt w:val="lowerRoman"/>
      <w:start w:val="2"/>
    </w:lvl>
  </w:abstractNum>
  <w:abstractNum w:abstractNumId="4">
    <w:nsid w:val="46E87CCD"/>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2023-02-23T06:48:30Z</dcterms:created>
  <dcterms:modified xsi:type="dcterms:W3CDTF">2023-02-23T06:48:30Z</dcterms:modified>
</cp:coreProperties>
</file>