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77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389"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Pruden Gary J</w:t>
              </w:r>
            </w:hyperlink>
          </w:p>
        </w:tc>
        <w:tc>
          <w:tcPr>
            <w:tcW w:w="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Lantheus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05/14/2025</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LANTHEUS HOLDINGS, INC.</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201 BURLINGTON ROAD, SOUTH BUILDING</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389"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BEDFORD</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01730</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3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jc w:val="center"/>
              <w:ind w:left="6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05/14/2025</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2,537</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5,172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05/15/2025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2,635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2,537</w:t>
            </w:r>
          </w:p>
        </w:tc>
        <w:tc>
          <w:tcPr>
            <w:tcW w:w="94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(1)</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vMerge w:val="restart"/>
          </w:tcPr>
          <w:p>
            <w:pPr>
              <w:jc w:val="right"/>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Gary 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center"/>
              <w:ind w:left="629"/>
              <w:spacing w:after="0"/>
              <w:rPr>
                <w:sz w:val="20"/>
                <w:szCs w:val="20"/>
                <w:color w:val="auto"/>
              </w:rPr>
            </w:pPr>
            <w:r>
              <w:rPr>
                <w:rFonts w:ascii="Times New Roman" w:cs="Times New Roman" w:eastAsia="Times New Roman" w:hAnsi="Times New Roman"/>
                <w:sz w:val="17"/>
                <w:szCs w:val="17"/>
                <w:color w:val="0000FF"/>
                <w:w w:val="98"/>
              </w:rPr>
              <w:t>05/15/2025</w:t>
            </w:r>
          </w:p>
        </w:tc>
        <w:tc>
          <w:tcPr>
            <w:tcW w:w="110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2,635</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14,613</w:t>
            </w:r>
          </w:p>
        </w:tc>
        <w:tc>
          <w:tcPr>
            <w:tcW w:w="94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9"/>
                <w:szCs w:val="9"/>
                <w:color w:val="008000"/>
              </w:rPr>
              <w:t>(1)</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Pruden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Georgeane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8,449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Pruden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05/14/2025</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4,543</w:t>
            </w:r>
          </w:p>
        </w:tc>
        <w:tc>
          <w:tcPr>
            <w:tcW w:w="28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05/14/2026</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05/14/2035</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4,543</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4,543</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15, 2025, the reporting person transferred 2,635 shares of LNTH common stock to the Gary J Pruden Revocable Trust for no consideration. The reporting person and his spouse are trustees of the trust, and the reporting person's children are the sole beneficiaries of the trust. The reporting person remains the beneficial owner of the securities held by the trust.</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Eric M. Green,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05/16/2025</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3416" TargetMode="External"/><Relationship Id="rId14"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2025-05-16T15:44:53Z</dcterms:created>
  <dcterms:modified xsi:type="dcterms:W3CDTF">2025-05-16T15:44:53Z</dcterms:modified>
</cp:coreProperties>
</file>