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SCHEDULE 13G/A</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(Amendment No. 1)*</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516544103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40" w:right="9100" w:hanging="86"/>
        <w:spacing w:after="0" w:line="283" w:lineRule="auto"/>
        <w:tabs>
          <w:tab w:leader="none" w:pos="103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20" w:hanging="36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(Page 1 of 7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ind w:right="2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240" w:top="312"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1920" w:type="dxa"/>
            <w:vAlign w:val="bottom"/>
          </w:tcPr>
          <w:p>
            <w:pPr>
              <w:jc w:val="center"/>
              <w:spacing w:after="0"/>
              <w:rPr>
                <w:sz w:val="20"/>
                <w:szCs w:val="20"/>
                <w:color w:val="auto"/>
              </w:rPr>
            </w:pPr>
            <w:r>
              <w:rPr>
                <w:rFonts w:ascii="Arial" w:cs="Arial" w:eastAsia="Arial" w:hAnsi="Arial"/>
                <w:sz w:val="20"/>
                <w:szCs w:val="20"/>
                <w:b w:val="1"/>
                <w:bCs w:val="1"/>
                <w:color w:val="auto"/>
                <w:w w:val="91"/>
              </w:rPr>
              <w:t>CUSIP No. 516544103</w:t>
            </w:r>
          </w:p>
        </w:tc>
        <w:tc>
          <w:tcPr>
            <w:tcW w:w="6220" w:type="dxa"/>
            <w:vAlign w:val="bottom"/>
          </w:tcPr>
          <w:p>
            <w:pPr>
              <w:ind w:left="3500"/>
              <w:spacing w:after="0"/>
              <w:rPr>
                <w:sz w:val="20"/>
                <w:szCs w:val="20"/>
                <w:color w:val="auto"/>
              </w:rPr>
            </w:pPr>
            <w:r>
              <w:rPr>
                <w:rFonts w:ascii="Arial" w:cs="Arial" w:eastAsia="Arial" w:hAnsi="Arial"/>
                <w:sz w:val="22"/>
                <w:szCs w:val="22"/>
                <w:b w:val="1"/>
                <w:bCs w:val="1"/>
                <w:color w:val="auto"/>
              </w:rPr>
              <w:t>13G/A</w:t>
            </w:r>
          </w:p>
        </w:tc>
        <w:tc>
          <w:tcPr>
            <w:tcW w:w="3280" w:type="dxa"/>
            <w:vAlign w:val="bottom"/>
          </w:tcPr>
          <w:p>
            <w:pPr>
              <w:ind w:left="1700"/>
              <w:spacing w:after="0"/>
              <w:rPr>
                <w:sz w:val="20"/>
                <w:szCs w:val="20"/>
                <w:color w:val="auto"/>
              </w:rPr>
            </w:pPr>
            <w:r>
              <w:rPr>
                <w:rFonts w:ascii="Arial" w:cs="Arial" w:eastAsia="Arial" w:hAnsi="Arial"/>
                <w:sz w:val="22"/>
                <w:szCs w:val="22"/>
                <w:b w:val="1"/>
                <w:bCs w:val="1"/>
                <w:color w:val="auto"/>
                <w:w w:val="83"/>
              </w:rPr>
              <w:t>Page 2 of 7 Pages</w:t>
            </w:r>
          </w:p>
        </w:tc>
        <w:tc>
          <w:tcPr>
            <w:tcW w:w="0" w:type="dxa"/>
            <w:vAlign w:val="bottom"/>
          </w:tcPr>
          <w:p>
            <w:pPr>
              <w:spacing w:after="0"/>
              <w:rPr>
                <w:sz w:val="1"/>
                <w:szCs w:val="1"/>
                <w:color w:val="auto"/>
              </w:rPr>
            </w:pPr>
          </w:p>
        </w:tc>
      </w:tr>
      <w:tr>
        <w:trPr>
          <w:trHeight w:val="328"/>
        </w:trPr>
        <w:tc>
          <w:tcPr>
            <w:tcW w:w="192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92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220" w:type="dxa"/>
            <w:vAlign w:val="bottom"/>
          </w:tcPr>
          <w:p>
            <w:pPr>
              <w:ind w:left="40"/>
              <w:spacing w:after="0"/>
              <w:rPr>
                <w:sz w:val="20"/>
                <w:szCs w:val="20"/>
                <w:color w:val="auto"/>
              </w:rPr>
            </w:pPr>
            <w:r>
              <w:rPr>
                <w:rFonts w:ascii="Arial" w:cs="Arial" w:eastAsia="Arial" w:hAnsi="Arial"/>
                <w:sz w:val="16"/>
                <w:szCs w:val="16"/>
                <w:color w:val="auto"/>
              </w:rPr>
              <w:t>NAME OF REPORTING PERSON</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920" w:type="dxa"/>
            <w:vAlign w:val="bottom"/>
            <w:vMerge w:val="continue"/>
          </w:tcPr>
          <w:p>
            <w:pPr>
              <w:spacing w:after="0"/>
              <w:rPr>
                <w:sz w:val="14"/>
                <w:szCs w:val="14"/>
                <w:color w:val="auto"/>
              </w:rPr>
            </w:pPr>
          </w:p>
        </w:tc>
        <w:tc>
          <w:tcPr>
            <w:tcW w:w="6220" w:type="dxa"/>
            <w:vAlign w:val="bottom"/>
            <w:vMerge w:val="restart"/>
          </w:tcPr>
          <w:p>
            <w:pPr>
              <w:ind w:left="380"/>
              <w:spacing w:after="0"/>
              <w:rPr>
                <w:sz w:val="20"/>
                <w:szCs w:val="20"/>
                <w:color w:val="auto"/>
              </w:rPr>
            </w:pPr>
            <w:r>
              <w:rPr>
                <w:rFonts w:ascii="Arial" w:cs="Arial" w:eastAsia="Arial" w:hAnsi="Arial"/>
                <w:sz w:val="20"/>
                <w:szCs w:val="20"/>
                <w:color w:val="auto"/>
              </w:rPr>
              <w:t>Numeric Investors LLC</w:t>
            </w: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920" w:type="dxa"/>
            <w:vAlign w:val="bottom"/>
          </w:tcPr>
          <w:p>
            <w:pPr>
              <w:spacing w:after="0"/>
              <w:rPr>
                <w:sz w:val="6"/>
                <w:szCs w:val="6"/>
                <w:color w:val="auto"/>
              </w:rPr>
            </w:pPr>
          </w:p>
        </w:tc>
        <w:tc>
          <w:tcPr>
            <w:tcW w:w="6220" w:type="dxa"/>
            <w:vAlign w:val="bottom"/>
            <w:vMerge w:val="continue"/>
          </w:tcPr>
          <w:p>
            <w:pPr>
              <w:spacing w:after="0"/>
              <w:rPr>
                <w:sz w:val="6"/>
                <w:szCs w:val="6"/>
                <w:color w:val="auto"/>
              </w:rPr>
            </w:pPr>
          </w:p>
        </w:tc>
        <w:tc>
          <w:tcPr>
            <w:tcW w:w="3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920" w:type="dxa"/>
            <w:vAlign w:val="bottom"/>
            <w:tcBorders>
              <w:bottom w:val="single" w:sz="8" w:color="auto"/>
            </w:tcBorders>
          </w:tcPr>
          <w:p>
            <w:pPr>
              <w:spacing w:after="0"/>
              <w:rPr>
                <w:sz w:val="9"/>
                <w:szCs w:val="9"/>
                <w:color w:val="auto"/>
              </w:rPr>
            </w:pPr>
          </w:p>
        </w:tc>
        <w:tc>
          <w:tcPr>
            <w:tcW w:w="6220" w:type="dxa"/>
            <w:vAlign w:val="bottom"/>
            <w:tcBorders>
              <w:bottom w:val="single" w:sz="8" w:color="auto"/>
            </w:tcBorders>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92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220" w:type="dxa"/>
            <w:vAlign w:val="bottom"/>
          </w:tcPr>
          <w:p>
            <w:pPr>
              <w:ind w:left="40"/>
              <w:spacing w:after="0"/>
              <w:rPr>
                <w:sz w:val="20"/>
                <w:szCs w:val="20"/>
                <w:color w:val="auto"/>
              </w:rPr>
            </w:pPr>
            <w:r>
              <w:rPr>
                <w:rFonts w:ascii="Arial" w:cs="Arial" w:eastAsia="Arial" w:hAnsi="Arial"/>
                <w:sz w:val="16"/>
                <w:szCs w:val="16"/>
                <w:color w:val="auto"/>
              </w:rPr>
              <w:t>CHECK THE APPROPRIATE BOX IF A MEMBER OF A GROUP</w:t>
            </w:r>
          </w:p>
        </w:tc>
        <w:tc>
          <w:tcPr>
            <w:tcW w:w="3280" w:type="dxa"/>
            <w:vAlign w:val="bottom"/>
            <w:vMerge w:val="restart"/>
          </w:tcPr>
          <w:p>
            <w:pPr>
              <w:ind w:left="202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920" w:type="dxa"/>
            <w:vAlign w:val="bottom"/>
            <w:vMerge w:val="continue"/>
          </w:tcPr>
          <w:p>
            <w:pPr>
              <w:spacing w:after="0"/>
              <w:rPr>
                <w:sz w:val="7"/>
                <w:szCs w:val="7"/>
                <w:color w:val="auto"/>
              </w:rPr>
            </w:pPr>
          </w:p>
        </w:tc>
        <w:tc>
          <w:tcPr>
            <w:tcW w:w="622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9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280" w:type="dxa"/>
            <w:vAlign w:val="bottom"/>
          </w:tcPr>
          <w:p>
            <w:pPr>
              <w:ind w:left="202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2"/>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7460" w:type="dxa"/>
            <w:vAlign w:val="bottom"/>
            <w:gridSpan w:val="2"/>
            <w:vMerge w:val="restart"/>
          </w:tcPr>
          <w:p>
            <w:pPr>
              <w:ind w:left="460"/>
              <w:spacing w:after="0"/>
              <w:rPr>
                <w:sz w:val="20"/>
                <w:szCs w:val="20"/>
                <w:color w:val="auto"/>
              </w:rPr>
            </w:pPr>
            <w:r>
              <w:rPr>
                <w:rFonts w:ascii="Arial" w:cs="Arial" w:eastAsia="Arial" w:hAnsi="Arial"/>
                <w:sz w:val="20"/>
                <w:szCs w:val="20"/>
                <w:color w:val="auto"/>
              </w:rPr>
              <w:t>State of Delaware</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7460" w:type="dxa"/>
            <w:vAlign w:val="bottom"/>
            <w:gridSpan w:val="2"/>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384,259 shares of Common Stock</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384,259 shares of Common Stock</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7460" w:type="dxa"/>
            <w:vAlign w:val="bottom"/>
            <w:gridSpan w:val="2"/>
            <w:vMerge w:val="restart"/>
          </w:tcPr>
          <w:p>
            <w:pPr>
              <w:ind w:left="460"/>
              <w:spacing w:after="0"/>
              <w:rPr>
                <w:sz w:val="20"/>
                <w:szCs w:val="20"/>
                <w:color w:val="auto"/>
              </w:rPr>
            </w:pPr>
            <w:r>
              <w:rPr>
                <w:rFonts w:ascii="Arial" w:cs="Arial" w:eastAsia="Arial" w:hAnsi="Arial"/>
                <w:sz w:val="20"/>
                <w:szCs w:val="20"/>
                <w:color w:val="auto"/>
              </w:rPr>
              <w:t>384,259 shares of Common Stock</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7460" w:type="dxa"/>
            <w:vAlign w:val="bottom"/>
            <w:gridSpan w:val="2"/>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1.02%</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OO</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6"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920" w:type="dxa"/>
            <w:vAlign w:val="bottom"/>
          </w:tcPr>
          <w:p>
            <w:pPr>
              <w:jc w:val="center"/>
              <w:spacing w:after="0"/>
              <w:rPr>
                <w:sz w:val="20"/>
                <w:szCs w:val="20"/>
                <w:color w:val="auto"/>
              </w:rPr>
            </w:pPr>
            <w:r>
              <w:rPr>
                <w:rFonts w:ascii="Arial" w:cs="Arial" w:eastAsia="Arial" w:hAnsi="Arial"/>
                <w:sz w:val="20"/>
                <w:szCs w:val="20"/>
                <w:b w:val="1"/>
                <w:bCs w:val="1"/>
                <w:color w:val="auto"/>
                <w:w w:val="91"/>
              </w:rPr>
              <w:t>CUSIP No. 516544103</w:t>
            </w:r>
          </w:p>
        </w:tc>
        <w:tc>
          <w:tcPr>
            <w:tcW w:w="6220" w:type="dxa"/>
            <w:vAlign w:val="bottom"/>
          </w:tcPr>
          <w:p>
            <w:pPr>
              <w:ind w:left="3500"/>
              <w:spacing w:after="0"/>
              <w:rPr>
                <w:sz w:val="20"/>
                <w:szCs w:val="20"/>
                <w:color w:val="auto"/>
              </w:rPr>
            </w:pPr>
            <w:r>
              <w:rPr>
                <w:rFonts w:ascii="Arial" w:cs="Arial" w:eastAsia="Arial" w:hAnsi="Arial"/>
                <w:sz w:val="22"/>
                <w:szCs w:val="22"/>
                <w:b w:val="1"/>
                <w:bCs w:val="1"/>
                <w:color w:val="auto"/>
              </w:rPr>
              <w:t>13G/A</w:t>
            </w:r>
          </w:p>
        </w:tc>
        <w:tc>
          <w:tcPr>
            <w:tcW w:w="3280" w:type="dxa"/>
            <w:vAlign w:val="bottom"/>
          </w:tcPr>
          <w:p>
            <w:pPr>
              <w:ind w:left="1700"/>
              <w:spacing w:after="0"/>
              <w:rPr>
                <w:sz w:val="20"/>
                <w:szCs w:val="20"/>
                <w:color w:val="auto"/>
              </w:rPr>
            </w:pPr>
            <w:r>
              <w:rPr>
                <w:rFonts w:ascii="Arial" w:cs="Arial" w:eastAsia="Arial" w:hAnsi="Arial"/>
                <w:sz w:val="22"/>
                <w:szCs w:val="22"/>
                <w:b w:val="1"/>
                <w:bCs w:val="1"/>
                <w:color w:val="auto"/>
                <w:w w:val="83"/>
              </w:rPr>
              <w:t>Page 3 of 7 Pages</w:t>
            </w:r>
          </w:p>
        </w:tc>
        <w:tc>
          <w:tcPr>
            <w:tcW w:w="0" w:type="dxa"/>
            <w:vAlign w:val="bottom"/>
          </w:tcPr>
          <w:p>
            <w:pPr>
              <w:spacing w:after="0"/>
              <w:rPr>
                <w:sz w:val="1"/>
                <w:szCs w:val="1"/>
                <w:color w:val="auto"/>
              </w:rPr>
            </w:pPr>
          </w:p>
        </w:tc>
      </w:tr>
      <w:tr>
        <w:trPr>
          <w:trHeight w:val="328"/>
        </w:trPr>
        <w:tc>
          <w:tcPr>
            <w:tcW w:w="192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92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220" w:type="dxa"/>
            <w:vAlign w:val="bottom"/>
          </w:tcPr>
          <w:p>
            <w:pPr>
              <w:ind w:left="40"/>
              <w:spacing w:after="0"/>
              <w:rPr>
                <w:sz w:val="20"/>
                <w:szCs w:val="20"/>
                <w:color w:val="auto"/>
              </w:rPr>
            </w:pPr>
            <w:r>
              <w:rPr>
                <w:rFonts w:ascii="Arial" w:cs="Arial" w:eastAsia="Arial" w:hAnsi="Arial"/>
                <w:sz w:val="16"/>
                <w:szCs w:val="16"/>
                <w:color w:val="auto"/>
              </w:rPr>
              <w:t>NAME OF REPORTING PERSON</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920" w:type="dxa"/>
            <w:vAlign w:val="bottom"/>
            <w:vMerge w:val="continue"/>
          </w:tcPr>
          <w:p>
            <w:pPr>
              <w:spacing w:after="0"/>
              <w:rPr>
                <w:sz w:val="14"/>
                <w:szCs w:val="14"/>
                <w:color w:val="auto"/>
              </w:rPr>
            </w:pPr>
          </w:p>
        </w:tc>
        <w:tc>
          <w:tcPr>
            <w:tcW w:w="6220" w:type="dxa"/>
            <w:vAlign w:val="bottom"/>
            <w:vMerge w:val="restart"/>
          </w:tcPr>
          <w:p>
            <w:pPr>
              <w:ind w:left="380"/>
              <w:spacing w:after="0"/>
              <w:rPr>
                <w:sz w:val="20"/>
                <w:szCs w:val="20"/>
                <w:color w:val="auto"/>
              </w:rPr>
            </w:pPr>
            <w:r>
              <w:rPr>
                <w:rFonts w:ascii="Arial" w:cs="Arial" w:eastAsia="Arial" w:hAnsi="Arial"/>
                <w:sz w:val="20"/>
                <w:szCs w:val="20"/>
                <w:color w:val="auto"/>
              </w:rPr>
              <w:t>Man Group plc</w:t>
            </w: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920" w:type="dxa"/>
            <w:vAlign w:val="bottom"/>
          </w:tcPr>
          <w:p>
            <w:pPr>
              <w:spacing w:after="0"/>
              <w:rPr>
                <w:sz w:val="6"/>
                <w:szCs w:val="6"/>
                <w:color w:val="auto"/>
              </w:rPr>
            </w:pPr>
          </w:p>
        </w:tc>
        <w:tc>
          <w:tcPr>
            <w:tcW w:w="6220" w:type="dxa"/>
            <w:vAlign w:val="bottom"/>
            <w:vMerge w:val="continue"/>
          </w:tcPr>
          <w:p>
            <w:pPr>
              <w:spacing w:after="0"/>
              <w:rPr>
                <w:sz w:val="6"/>
                <w:szCs w:val="6"/>
                <w:color w:val="auto"/>
              </w:rPr>
            </w:pPr>
          </w:p>
        </w:tc>
        <w:tc>
          <w:tcPr>
            <w:tcW w:w="3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920" w:type="dxa"/>
            <w:vAlign w:val="bottom"/>
            <w:tcBorders>
              <w:bottom w:val="single" w:sz="8" w:color="auto"/>
            </w:tcBorders>
          </w:tcPr>
          <w:p>
            <w:pPr>
              <w:spacing w:after="0"/>
              <w:rPr>
                <w:sz w:val="9"/>
                <w:szCs w:val="9"/>
                <w:color w:val="auto"/>
              </w:rPr>
            </w:pPr>
          </w:p>
        </w:tc>
        <w:tc>
          <w:tcPr>
            <w:tcW w:w="6220" w:type="dxa"/>
            <w:vAlign w:val="bottom"/>
            <w:tcBorders>
              <w:bottom w:val="single" w:sz="8" w:color="auto"/>
            </w:tcBorders>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92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220" w:type="dxa"/>
            <w:vAlign w:val="bottom"/>
          </w:tcPr>
          <w:p>
            <w:pPr>
              <w:ind w:left="40"/>
              <w:spacing w:after="0"/>
              <w:rPr>
                <w:sz w:val="20"/>
                <w:szCs w:val="20"/>
                <w:color w:val="auto"/>
              </w:rPr>
            </w:pPr>
            <w:r>
              <w:rPr>
                <w:rFonts w:ascii="Arial" w:cs="Arial" w:eastAsia="Arial" w:hAnsi="Arial"/>
                <w:sz w:val="16"/>
                <w:szCs w:val="16"/>
                <w:color w:val="auto"/>
              </w:rPr>
              <w:t>CHECK THE APPROPRIATE BOX IF A MEMBER OF A GROUP</w:t>
            </w:r>
          </w:p>
        </w:tc>
        <w:tc>
          <w:tcPr>
            <w:tcW w:w="3280" w:type="dxa"/>
            <w:vAlign w:val="bottom"/>
            <w:vMerge w:val="restart"/>
          </w:tcPr>
          <w:p>
            <w:pPr>
              <w:ind w:left="202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920" w:type="dxa"/>
            <w:vAlign w:val="bottom"/>
            <w:vMerge w:val="continue"/>
          </w:tcPr>
          <w:p>
            <w:pPr>
              <w:spacing w:after="0"/>
              <w:rPr>
                <w:sz w:val="7"/>
                <w:szCs w:val="7"/>
                <w:color w:val="auto"/>
              </w:rPr>
            </w:pPr>
          </w:p>
        </w:tc>
        <w:tc>
          <w:tcPr>
            <w:tcW w:w="622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9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280" w:type="dxa"/>
            <w:vAlign w:val="bottom"/>
          </w:tcPr>
          <w:p>
            <w:pPr>
              <w:ind w:left="202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3"/>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7460" w:type="dxa"/>
            <w:vAlign w:val="bottom"/>
            <w:gridSpan w:val="2"/>
            <w:vMerge w:val="restart"/>
          </w:tcPr>
          <w:p>
            <w:pPr>
              <w:ind w:left="460"/>
              <w:spacing w:after="0"/>
              <w:rPr>
                <w:sz w:val="20"/>
                <w:szCs w:val="20"/>
                <w:color w:val="auto"/>
              </w:rPr>
            </w:pPr>
            <w:r>
              <w:rPr>
                <w:rFonts w:ascii="Arial" w:cs="Arial" w:eastAsia="Arial" w:hAnsi="Arial"/>
                <w:sz w:val="20"/>
                <w:szCs w:val="20"/>
                <w:color w:val="auto"/>
              </w:rPr>
              <w:t>United Kingdom</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7460" w:type="dxa"/>
            <w:vAlign w:val="bottom"/>
            <w:gridSpan w:val="2"/>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388,345 shares of Common Stock</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388,345 shares of Common Stock</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7460" w:type="dxa"/>
            <w:vAlign w:val="bottom"/>
            <w:gridSpan w:val="2"/>
            <w:vMerge w:val="restart"/>
          </w:tcPr>
          <w:p>
            <w:pPr>
              <w:ind w:left="460"/>
              <w:spacing w:after="0"/>
              <w:rPr>
                <w:sz w:val="20"/>
                <w:szCs w:val="20"/>
                <w:color w:val="auto"/>
              </w:rPr>
            </w:pPr>
            <w:r>
              <w:rPr>
                <w:rFonts w:ascii="Arial" w:cs="Arial" w:eastAsia="Arial" w:hAnsi="Arial"/>
                <w:sz w:val="20"/>
                <w:szCs w:val="20"/>
                <w:color w:val="auto"/>
              </w:rPr>
              <w:t>388,345 shares of Common Stock</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7460" w:type="dxa"/>
            <w:vAlign w:val="bottom"/>
            <w:gridSpan w:val="2"/>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1.04%</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OO, HC</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6" w:right="239" w:bottom="1440" w:gutter="0" w:footer="0" w:header="0"/>
        </w:sectPr>
      </w:pPr>
    </w:p>
    <w:bookmarkStart w:id="3" w:name="page4"/>
    <w:bookmarkEnd w:id="3"/>
    <w:p>
      <w:pPr>
        <w:spacing w:after="0"/>
        <w:tabs>
          <w:tab w:leader="none" w:pos="5400" w:val="left"/>
          <w:tab w:leader="none" w:pos="9820" w:val="left"/>
        </w:tabs>
        <w:rPr>
          <w:sz w:val="20"/>
          <w:szCs w:val="20"/>
          <w:color w:val="auto"/>
        </w:rPr>
      </w:pPr>
      <w:r>
        <w:rPr>
          <w:rFonts w:ascii="Arial" w:cs="Arial" w:eastAsia="Arial" w:hAnsi="Arial"/>
          <w:sz w:val="20"/>
          <w:szCs w:val="20"/>
          <w:b w:val="1"/>
          <w:bCs w:val="1"/>
          <w:color w:val="auto"/>
        </w:rPr>
        <w:t>CUSIP No. 516544103</w:t>
      </w:r>
      <w:r>
        <w:rPr>
          <w:sz w:val="20"/>
          <w:szCs w:val="20"/>
          <w:color w:val="auto"/>
        </w:rPr>
        <w:tab/>
      </w:r>
      <w:r>
        <w:rPr>
          <w:rFonts w:ascii="Arial" w:cs="Arial" w:eastAsia="Arial" w:hAnsi="Arial"/>
          <w:sz w:val="22"/>
          <w:szCs w:val="22"/>
          <w:b w:val="1"/>
          <w:bCs w:val="1"/>
          <w:color w:val="auto"/>
        </w:rPr>
        <w:t>13G/A</w:t>
      </w:r>
      <w:r>
        <w:rPr>
          <w:sz w:val="20"/>
          <w:szCs w:val="20"/>
          <w:color w:val="auto"/>
        </w:rPr>
        <w:tab/>
      </w:r>
      <w:r>
        <w:rPr>
          <w:rFonts w:ascii="Arial" w:cs="Arial" w:eastAsia="Arial" w:hAnsi="Arial"/>
          <w:sz w:val="18"/>
          <w:szCs w:val="18"/>
          <w:b w:val="1"/>
          <w:bCs w:val="1"/>
          <w:color w:val="auto"/>
        </w:rPr>
        <w:t>Page 4 of 7 Pages</w:t>
      </w:r>
    </w:p>
    <w:p>
      <w:pPr>
        <w:sectPr>
          <w:pgSz w:w="11900" w:h="16838" w:orient="portrait"/>
          <w:cols w:equalWidth="0" w:num="1">
            <w:col w:w="11420"/>
          </w:cols>
          <w:pgMar w:left="240" w:top="436" w:right="239" w:bottom="1440" w:gutter="0" w:footer="0" w:header="0"/>
        </w:sectPr>
      </w:pPr>
    </w:p>
    <w:p>
      <w:pPr>
        <w:spacing w:after="0" w:line="238"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172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460" w:type="dxa"/>
            <w:vAlign w:val="bottom"/>
            <w:gridSpan w:val="20"/>
          </w:tcPr>
          <w:p>
            <w:pPr>
              <w:spacing w:after="0"/>
              <w:rPr>
                <w:sz w:val="20"/>
                <w:szCs w:val="20"/>
                <w:color w:val="auto"/>
              </w:rPr>
            </w:pPr>
            <w:r>
              <w:rPr>
                <w:rFonts w:ascii="Arial" w:cs="Arial" w:eastAsia="Arial" w:hAnsi="Arial"/>
                <w:sz w:val="20"/>
                <w:szCs w:val="20"/>
                <w:b w:val="1"/>
                <w:bCs w:val="1"/>
                <w:color w:val="auto"/>
              </w:rPr>
              <w:t>NAME OF ISSUER:</w:t>
            </w:r>
          </w:p>
        </w:tc>
      </w:tr>
      <w:tr>
        <w:trPr>
          <w:trHeight w:val="415"/>
        </w:trPr>
        <w:tc>
          <w:tcPr>
            <w:tcW w:w="1720" w:type="dxa"/>
            <w:vAlign w:val="bottom"/>
          </w:tcPr>
          <w:p>
            <w:pPr>
              <w:spacing w:after="0"/>
              <w:rPr>
                <w:sz w:val="24"/>
                <w:szCs w:val="24"/>
                <w:color w:val="auto"/>
              </w:rPr>
            </w:pPr>
          </w:p>
        </w:tc>
        <w:tc>
          <w:tcPr>
            <w:tcW w:w="9460" w:type="dxa"/>
            <w:vAlign w:val="bottom"/>
            <w:gridSpan w:val="20"/>
          </w:tcPr>
          <w:p>
            <w:pPr>
              <w:spacing w:after="0"/>
              <w:rPr>
                <w:sz w:val="20"/>
                <w:szCs w:val="20"/>
                <w:color w:val="auto"/>
              </w:rPr>
            </w:pPr>
            <w:r>
              <w:rPr>
                <w:rFonts w:ascii="Arial" w:cs="Arial" w:eastAsia="Arial" w:hAnsi="Arial"/>
                <w:sz w:val="20"/>
                <w:szCs w:val="20"/>
                <w:color w:val="auto"/>
              </w:rPr>
              <w:t>The name of the issuer is Lantheus Holdings, Inc., a Delaware corporation (the "Company").</w:t>
            </w:r>
          </w:p>
        </w:tc>
      </w:tr>
      <w:tr>
        <w:trPr>
          <w:trHeight w:val="484"/>
        </w:trPr>
        <w:tc>
          <w:tcPr>
            <w:tcW w:w="172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6380" w:type="dxa"/>
            <w:vAlign w:val="bottom"/>
            <w:gridSpan w:val="15"/>
          </w:tcPr>
          <w:p>
            <w:pPr>
              <w:spacing w:after="0"/>
              <w:rPr>
                <w:sz w:val="20"/>
                <w:szCs w:val="20"/>
                <w:color w:val="auto"/>
              </w:rPr>
            </w:pPr>
            <w:r>
              <w:rPr>
                <w:rFonts w:ascii="Arial" w:cs="Arial" w:eastAsia="Arial" w:hAnsi="Arial"/>
                <w:sz w:val="20"/>
                <w:szCs w:val="20"/>
                <w:b w:val="1"/>
                <w:bCs w:val="1"/>
                <w:color w:val="auto"/>
              </w:rPr>
              <w:t>ADDRESS OF ISSUER'S PRINCIPAL EXECUTIVE OFFICES:</w:t>
            </w:r>
          </w:p>
        </w:tc>
        <w:tc>
          <w:tcPr>
            <w:tcW w:w="760" w:type="dxa"/>
            <w:vAlign w:val="bottom"/>
            <w:tcBorders>
              <w:top w:val="single" w:sz="8" w:color="auto"/>
            </w:tcBorders>
            <w:gridSpan w:val="2"/>
          </w:tcPr>
          <w:p>
            <w:pPr>
              <w:spacing w:after="0"/>
              <w:rPr>
                <w:sz w:val="24"/>
                <w:szCs w:val="24"/>
                <w:color w:val="auto"/>
              </w:rPr>
            </w:pPr>
          </w:p>
        </w:tc>
        <w:tc>
          <w:tcPr>
            <w:tcW w:w="2320" w:type="dxa"/>
            <w:vAlign w:val="bottom"/>
            <w:gridSpan w:val="3"/>
          </w:tcPr>
          <w:p>
            <w:pPr>
              <w:spacing w:after="0"/>
              <w:rPr>
                <w:sz w:val="24"/>
                <w:szCs w:val="24"/>
                <w:color w:val="auto"/>
              </w:rPr>
            </w:pPr>
          </w:p>
        </w:tc>
      </w:tr>
      <w:tr>
        <w:trPr>
          <w:trHeight w:val="459"/>
        </w:trPr>
        <w:tc>
          <w:tcPr>
            <w:tcW w:w="1720" w:type="dxa"/>
            <w:vAlign w:val="bottom"/>
          </w:tcPr>
          <w:p>
            <w:pPr>
              <w:spacing w:after="0"/>
              <w:rPr>
                <w:sz w:val="24"/>
                <w:szCs w:val="24"/>
                <w:color w:val="auto"/>
              </w:rPr>
            </w:pPr>
          </w:p>
        </w:tc>
        <w:tc>
          <w:tcPr>
            <w:tcW w:w="9460" w:type="dxa"/>
            <w:vAlign w:val="bottom"/>
            <w:gridSpan w:val="20"/>
          </w:tcPr>
          <w:p>
            <w:pPr>
              <w:spacing w:after="0"/>
              <w:rPr>
                <w:sz w:val="20"/>
                <w:szCs w:val="20"/>
                <w:color w:val="auto"/>
              </w:rPr>
            </w:pPr>
            <w:r>
              <w:rPr>
                <w:rFonts w:ascii="Arial" w:cs="Arial" w:eastAsia="Arial" w:hAnsi="Arial"/>
                <w:sz w:val="20"/>
                <w:szCs w:val="20"/>
                <w:color w:val="auto"/>
                <w:w w:val="99"/>
              </w:rPr>
              <w:t>The Company's principal executive offices are located at 331 Treble Cove Road, North Billerica, MA 01862.</w:t>
            </w:r>
          </w:p>
        </w:tc>
      </w:tr>
      <w:tr>
        <w:trPr>
          <w:trHeight w:val="459"/>
        </w:trPr>
        <w:tc>
          <w:tcPr>
            <w:tcW w:w="172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460" w:type="dxa"/>
            <w:vAlign w:val="bottom"/>
            <w:gridSpan w:val="20"/>
          </w:tcPr>
          <w:p>
            <w:pPr>
              <w:spacing w:after="0"/>
              <w:rPr>
                <w:sz w:val="20"/>
                <w:szCs w:val="20"/>
                <w:color w:val="auto"/>
              </w:rPr>
            </w:pPr>
            <w:r>
              <w:rPr>
                <w:rFonts w:ascii="Arial" w:cs="Arial" w:eastAsia="Arial" w:hAnsi="Arial"/>
                <w:sz w:val="20"/>
                <w:szCs w:val="20"/>
                <w:b w:val="1"/>
                <w:bCs w:val="1"/>
                <w:color w:val="auto"/>
              </w:rPr>
              <w:t>NAME OF PERSON FILING:</w:t>
            </w:r>
          </w:p>
        </w:tc>
      </w:tr>
      <w:tr>
        <w:trPr>
          <w:trHeight w:val="415"/>
        </w:trPr>
        <w:tc>
          <w:tcPr>
            <w:tcW w:w="1720" w:type="dxa"/>
            <w:vAlign w:val="bottom"/>
          </w:tcPr>
          <w:p>
            <w:pPr>
              <w:spacing w:after="0"/>
              <w:rPr>
                <w:sz w:val="24"/>
                <w:szCs w:val="24"/>
                <w:color w:val="auto"/>
              </w:rPr>
            </w:pPr>
          </w:p>
        </w:tc>
        <w:tc>
          <w:tcPr>
            <w:tcW w:w="9460" w:type="dxa"/>
            <w:vAlign w:val="bottom"/>
            <w:gridSpan w:val="20"/>
          </w:tcPr>
          <w:p>
            <w:pPr>
              <w:spacing w:after="0"/>
              <w:rPr>
                <w:sz w:val="20"/>
                <w:szCs w:val="20"/>
                <w:color w:val="auto"/>
              </w:rPr>
            </w:pPr>
            <w:r>
              <w:rPr>
                <w:rFonts w:ascii="Arial" w:cs="Arial" w:eastAsia="Arial" w:hAnsi="Arial"/>
                <w:sz w:val="20"/>
                <w:szCs w:val="20"/>
                <w:color w:val="auto"/>
                <w:w w:val="89"/>
              </w:rPr>
              <w:t>This statement is filed by the entities and persons listed below, who are collectively referred to herein as the "Reporting</w:t>
            </w:r>
          </w:p>
        </w:tc>
      </w:tr>
      <w:tr>
        <w:trPr>
          <w:trHeight w:val="210"/>
        </w:trPr>
        <w:tc>
          <w:tcPr>
            <w:tcW w:w="1720" w:type="dxa"/>
            <w:vAlign w:val="bottom"/>
          </w:tcPr>
          <w:p>
            <w:pPr>
              <w:spacing w:after="0"/>
              <w:rPr>
                <w:sz w:val="18"/>
                <w:szCs w:val="18"/>
                <w:color w:val="auto"/>
              </w:rPr>
            </w:pPr>
          </w:p>
        </w:tc>
        <w:tc>
          <w:tcPr>
            <w:tcW w:w="8660" w:type="dxa"/>
            <w:vAlign w:val="bottom"/>
            <w:gridSpan w:val="19"/>
          </w:tcPr>
          <w:p>
            <w:pPr>
              <w:spacing w:after="0" w:line="209" w:lineRule="exact"/>
              <w:rPr>
                <w:sz w:val="20"/>
                <w:szCs w:val="20"/>
                <w:color w:val="auto"/>
              </w:rPr>
            </w:pPr>
            <w:r>
              <w:rPr>
                <w:rFonts w:ascii="Arial" w:cs="Arial" w:eastAsia="Arial" w:hAnsi="Arial"/>
                <w:sz w:val="20"/>
                <w:szCs w:val="20"/>
                <w:color w:val="auto"/>
              </w:rPr>
              <w:t>Persons" with respect to the Common Stock (as defined in Item 2(d) below):</w:t>
            </w:r>
          </w:p>
        </w:tc>
        <w:tc>
          <w:tcPr>
            <w:tcW w:w="800" w:type="dxa"/>
            <w:vAlign w:val="bottom"/>
            <w:tcBorders>
              <w:top w:val="single" w:sz="8" w:color="auto"/>
            </w:tcBorders>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439"/>
        </w:trPr>
        <w:tc>
          <w:tcPr>
            <w:tcW w:w="1720" w:type="dxa"/>
            <w:vAlign w:val="bottom"/>
          </w:tcPr>
          <w:p>
            <w:pPr>
              <w:spacing w:after="0"/>
              <w:rPr>
                <w:sz w:val="24"/>
                <w:szCs w:val="24"/>
                <w:color w:val="auto"/>
              </w:rPr>
            </w:pPr>
          </w:p>
        </w:tc>
        <w:tc>
          <w:tcPr>
            <w:tcW w:w="9460" w:type="dxa"/>
            <w:vAlign w:val="bottom"/>
            <w:gridSpan w:val="20"/>
          </w:tcPr>
          <w:p>
            <w:pPr>
              <w:spacing w:after="0"/>
              <w:rPr>
                <w:sz w:val="20"/>
                <w:szCs w:val="20"/>
                <w:color w:val="auto"/>
              </w:rPr>
            </w:pPr>
            <w:r>
              <w:rPr>
                <w:rFonts w:ascii="Arial" w:cs="Arial" w:eastAsia="Arial" w:hAnsi="Arial"/>
                <w:sz w:val="20"/>
                <w:szCs w:val="20"/>
                <w:color w:val="auto"/>
              </w:rPr>
              <w:t>Investment Manager:</w:t>
            </w:r>
          </w:p>
        </w:tc>
      </w:tr>
      <w:tr>
        <w:trPr>
          <w:trHeight w:val="20"/>
        </w:trPr>
        <w:tc>
          <w:tcPr>
            <w:tcW w:w="1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439"/>
        </w:trPr>
        <w:tc>
          <w:tcPr>
            <w:tcW w:w="172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20"/>
                <w:szCs w:val="20"/>
                <w:color w:val="auto"/>
              </w:rPr>
              <w:t>(i)</w:t>
            </w:r>
          </w:p>
        </w:tc>
        <w:tc>
          <w:tcPr>
            <w:tcW w:w="9060" w:type="dxa"/>
            <w:vAlign w:val="bottom"/>
            <w:gridSpan w:val="19"/>
          </w:tcPr>
          <w:p>
            <w:pPr>
              <w:ind w:left="160"/>
              <w:spacing w:after="0"/>
              <w:rPr>
                <w:sz w:val="20"/>
                <w:szCs w:val="20"/>
                <w:color w:val="auto"/>
              </w:rPr>
            </w:pPr>
            <w:r>
              <w:rPr>
                <w:rFonts w:ascii="Arial" w:cs="Arial" w:eastAsia="Arial" w:hAnsi="Arial"/>
                <w:sz w:val="20"/>
                <w:szCs w:val="20"/>
                <w:color w:val="auto"/>
                <w:w w:val="92"/>
              </w:rPr>
              <w:t>Numeric Investors LLC (the "Investment Manager"), with respect to the Common Stock held by certain funds</w:t>
            </w:r>
          </w:p>
        </w:tc>
      </w:tr>
      <w:tr>
        <w:trPr>
          <w:trHeight w:val="20"/>
        </w:trPr>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33"/>
        </w:trPr>
        <w:tc>
          <w:tcPr>
            <w:tcW w:w="1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60" w:type="dxa"/>
            <w:vAlign w:val="bottom"/>
            <w:gridSpan w:val="19"/>
          </w:tcPr>
          <w:p>
            <w:pPr>
              <w:ind w:left="160"/>
              <w:spacing w:after="0"/>
              <w:rPr>
                <w:sz w:val="20"/>
                <w:szCs w:val="20"/>
                <w:color w:val="auto"/>
              </w:rPr>
            </w:pPr>
            <w:r>
              <w:rPr>
                <w:rFonts w:ascii="Arial" w:cs="Arial" w:eastAsia="Arial" w:hAnsi="Arial"/>
                <w:sz w:val="20"/>
                <w:szCs w:val="20"/>
                <w:color w:val="auto"/>
                <w:w w:val="92"/>
              </w:rPr>
              <w:t>and/or managed accounts to which the Investment Manager serves as investment manager (collectively, the</w:t>
            </w:r>
          </w:p>
        </w:tc>
      </w:tr>
      <w:tr>
        <w:trPr>
          <w:trHeight w:val="206"/>
        </w:trPr>
        <w:tc>
          <w:tcPr>
            <w:tcW w:w="1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60" w:type="dxa"/>
            <w:vAlign w:val="bottom"/>
            <w:gridSpan w:val="19"/>
          </w:tcPr>
          <w:p>
            <w:pPr>
              <w:ind w:left="160"/>
              <w:spacing w:after="0" w:line="206" w:lineRule="exact"/>
              <w:rPr>
                <w:sz w:val="20"/>
                <w:szCs w:val="20"/>
                <w:color w:val="auto"/>
              </w:rPr>
            </w:pPr>
            <w:r>
              <w:rPr>
                <w:rFonts w:ascii="Arial" w:cs="Arial" w:eastAsia="Arial" w:hAnsi="Arial"/>
                <w:sz w:val="20"/>
                <w:szCs w:val="20"/>
                <w:color w:val="auto"/>
              </w:rPr>
              <w:t>"Numeric Funds").</w:t>
            </w:r>
          </w:p>
        </w:tc>
      </w:tr>
      <w:tr>
        <w:trPr>
          <w:trHeight w:val="20"/>
        </w:trPr>
        <w:tc>
          <w:tcPr>
            <w:tcW w:w="17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439"/>
        </w:trPr>
        <w:tc>
          <w:tcPr>
            <w:tcW w:w="1720" w:type="dxa"/>
            <w:vAlign w:val="bottom"/>
          </w:tcPr>
          <w:p>
            <w:pPr>
              <w:spacing w:after="0"/>
              <w:rPr>
                <w:sz w:val="24"/>
                <w:szCs w:val="24"/>
                <w:color w:val="auto"/>
              </w:rPr>
            </w:pPr>
          </w:p>
        </w:tc>
        <w:tc>
          <w:tcPr>
            <w:tcW w:w="9460" w:type="dxa"/>
            <w:vAlign w:val="bottom"/>
            <w:gridSpan w:val="20"/>
          </w:tcPr>
          <w:p>
            <w:pPr>
              <w:spacing w:after="0"/>
              <w:rPr>
                <w:sz w:val="20"/>
                <w:szCs w:val="20"/>
                <w:color w:val="auto"/>
              </w:rPr>
            </w:pPr>
            <w:r>
              <w:rPr>
                <w:rFonts w:ascii="Arial" w:cs="Arial" w:eastAsia="Arial" w:hAnsi="Arial"/>
                <w:sz w:val="20"/>
                <w:szCs w:val="20"/>
                <w:color w:val="auto"/>
              </w:rPr>
              <w:t>Parent Company:</w:t>
            </w:r>
          </w:p>
        </w:tc>
      </w:tr>
      <w:tr>
        <w:trPr>
          <w:trHeight w:val="20"/>
        </w:trPr>
        <w:tc>
          <w:tcPr>
            <w:tcW w:w="1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439"/>
        </w:trPr>
        <w:tc>
          <w:tcPr>
            <w:tcW w:w="172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20"/>
                <w:szCs w:val="20"/>
                <w:color w:val="auto"/>
              </w:rPr>
              <w:t>(ii)</w:t>
            </w:r>
          </w:p>
        </w:tc>
        <w:tc>
          <w:tcPr>
            <w:tcW w:w="9060" w:type="dxa"/>
            <w:vAlign w:val="bottom"/>
            <w:gridSpan w:val="19"/>
          </w:tcPr>
          <w:p>
            <w:pPr>
              <w:ind w:left="160"/>
              <w:spacing w:after="0"/>
              <w:rPr>
                <w:sz w:val="20"/>
                <w:szCs w:val="20"/>
                <w:color w:val="auto"/>
              </w:rPr>
            </w:pPr>
            <w:r>
              <w:rPr>
                <w:rFonts w:ascii="Arial" w:cs="Arial" w:eastAsia="Arial" w:hAnsi="Arial"/>
                <w:sz w:val="20"/>
                <w:szCs w:val="20"/>
                <w:color w:val="auto"/>
                <w:w w:val="94"/>
              </w:rPr>
              <w:t>Man Group plc (the "Parent Company"), which indirectly, through various intermediate entities, controls the</w:t>
            </w:r>
          </w:p>
        </w:tc>
      </w:tr>
      <w:tr>
        <w:trPr>
          <w:trHeight w:val="20"/>
        </w:trPr>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60" w:type="dxa"/>
            <w:vAlign w:val="bottom"/>
            <w:gridSpan w:val="19"/>
          </w:tcPr>
          <w:p>
            <w:pPr>
              <w:ind w:left="160"/>
              <w:spacing w:after="0" w:line="209" w:lineRule="exact"/>
              <w:rPr>
                <w:sz w:val="20"/>
                <w:szCs w:val="20"/>
                <w:color w:val="auto"/>
              </w:rPr>
            </w:pPr>
            <w:r>
              <w:rPr>
                <w:rFonts w:ascii="Arial" w:cs="Arial" w:eastAsia="Arial" w:hAnsi="Arial"/>
                <w:sz w:val="20"/>
                <w:szCs w:val="20"/>
                <w:color w:val="auto"/>
                <w:w w:val="91"/>
              </w:rPr>
              <w:t>Investment Manager and AHL Partners LP (the "Additional Investment Manager") which serves as investment</w:t>
            </w:r>
          </w:p>
        </w:tc>
      </w:tr>
      <w:tr>
        <w:trPr>
          <w:trHeight w:val="20"/>
        </w:trPr>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2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60" w:type="dxa"/>
            <w:vAlign w:val="bottom"/>
            <w:gridSpan w:val="19"/>
          </w:tcPr>
          <w:p>
            <w:pPr>
              <w:ind w:left="160"/>
              <w:spacing w:after="0" w:line="209" w:lineRule="exact"/>
              <w:rPr>
                <w:sz w:val="20"/>
                <w:szCs w:val="20"/>
                <w:color w:val="auto"/>
              </w:rPr>
            </w:pPr>
            <w:r>
              <w:rPr>
                <w:rFonts w:ascii="Arial" w:cs="Arial" w:eastAsia="Arial" w:hAnsi="Arial"/>
                <w:sz w:val="20"/>
                <w:szCs w:val="20"/>
                <w:color w:val="auto"/>
                <w:w w:val="93"/>
              </w:rPr>
              <w:t>manager to certain funds and/or managed accounts (collectively, the "Additional Funds"), with respect to the</w:t>
            </w:r>
          </w:p>
        </w:tc>
      </w:tr>
      <w:tr>
        <w:trPr>
          <w:trHeight w:val="20"/>
        </w:trPr>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20" w:type="dxa"/>
            <w:vAlign w:val="bottom"/>
            <w:gridSpan w:val="9"/>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gridSpan w:val="4"/>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54"/>
        </w:trPr>
        <w:tc>
          <w:tcPr>
            <w:tcW w:w="1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60" w:type="dxa"/>
            <w:vAlign w:val="bottom"/>
            <w:gridSpan w:val="19"/>
          </w:tcPr>
          <w:p>
            <w:pPr>
              <w:ind w:left="160"/>
              <w:spacing w:after="0"/>
              <w:rPr>
                <w:sz w:val="20"/>
                <w:szCs w:val="20"/>
                <w:color w:val="auto"/>
              </w:rPr>
            </w:pPr>
            <w:r>
              <w:rPr>
                <w:rFonts w:ascii="Arial" w:cs="Arial" w:eastAsia="Arial" w:hAnsi="Arial"/>
                <w:sz w:val="20"/>
                <w:szCs w:val="20"/>
                <w:color w:val="auto"/>
              </w:rPr>
              <w:t>Common Stock held by each of the Numeric Funds and the Additional Funds.</w:t>
            </w:r>
          </w:p>
        </w:tc>
      </w:tr>
      <w:tr>
        <w:trPr>
          <w:trHeight w:val="432"/>
        </w:trPr>
        <w:tc>
          <w:tcPr>
            <w:tcW w:w="172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460" w:type="dxa"/>
            <w:vAlign w:val="bottom"/>
            <w:gridSpan w:val="20"/>
          </w:tcPr>
          <w:p>
            <w:pPr>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256"/>
        </w:trPr>
        <w:tc>
          <w:tcPr>
            <w:tcW w:w="172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460" w:type="dxa"/>
            <w:vAlign w:val="bottom"/>
            <w:gridSpan w:val="20"/>
          </w:tcPr>
          <w:p>
            <w:pPr>
              <w:spacing w:after="0"/>
              <w:rPr>
                <w:sz w:val="20"/>
                <w:szCs w:val="20"/>
                <w:color w:val="auto"/>
              </w:rPr>
            </w:pPr>
            <w:r>
              <w:rPr>
                <w:rFonts w:ascii="Arial" w:cs="Arial" w:eastAsia="Arial" w:hAnsi="Arial"/>
                <w:sz w:val="20"/>
                <w:szCs w:val="20"/>
                <w:b w:val="1"/>
                <w:bCs w:val="1"/>
                <w:color w:val="auto"/>
              </w:rPr>
              <w:t>CITIZENSHIP:</w:t>
            </w:r>
          </w:p>
        </w:tc>
      </w:tr>
      <w:tr>
        <w:trPr>
          <w:trHeight w:val="459"/>
        </w:trPr>
        <w:tc>
          <w:tcPr>
            <w:tcW w:w="1720" w:type="dxa"/>
            <w:vAlign w:val="bottom"/>
          </w:tcPr>
          <w:p>
            <w:pPr>
              <w:spacing w:after="0"/>
              <w:rPr>
                <w:sz w:val="24"/>
                <w:szCs w:val="24"/>
                <w:color w:val="auto"/>
              </w:rPr>
            </w:pPr>
          </w:p>
        </w:tc>
        <w:tc>
          <w:tcPr>
            <w:tcW w:w="9460" w:type="dxa"/>
            <w:vAlign w:val="bottom"/>
            <w:gridSpan w:val="20"/>
          </w:tcPr>
          <w:p>
            <w:pPr>
              <w:spacing w:after="0"/>
              <w:rPr>
                <w:sz w:val="20"/>
                <w:szCs w:val="20"/>
                <w:color w:val="auto"/>
              </w:rPr>
            </w:pPr>
            <w:r>
              <w:rPr>
                <w:rFonts w:ascii="Arial" w:cs="Arial" w:eastAsia="Arial" w:hAnsi="Arial"/>
                <w:sz w:val="20"/>
                <w:szCs w:val="20"/>
                <w:color w:val="auto"/>
              </w:rPr>
              <w:t>This statement is filed by:</w:t>
            </w:r>
          </w:p>
        </w:tc>
      </w:tr>
      <w:tr>
        <w:trPr>
          <w:trHeight w:val="438"/>
        </w:trPr>
        <w:tc>
          <w:tcPr>
            <w:tcW w:w="172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20"/>
                <w:szCs w:val="20"/>
                <w:color w:val="auto"/>
              </w:rPr>
              <w:t>(i)</w:t>
            </w:r>
          </w:p>
        </w:tc>
        <w:tc>
          <w:tcPr>
            <w:tcW w:w="9060" w:type="dxa"/>
            <w:vAlign w:val="bottom"/>
            <w:gridSpan w:val="19"/>
          </w:tcPr>
          <w:p>
            <w:pPr>
              <w:ind w:left="160"/>
              <w:spacing w:after="0"/>
              <w:rPr>
                <w:sz w:val="20"/>
                <w:szCs w:val="20"/>
                <w:color w:val="auto"/>
              </w:rPr>
            </w:pPr>
            <w:r>
              <w:rPr>
                <w:rFonts w:ascii="Arial" w:cs="Arial" w:eastAsia="Arial" w:hAnsi="Arial"/>
                <w:sz w:val="20"/>
                <w:szCs w:val="20"/>
                <w:color w:val="auto"/>
              </w:rPr>
              <w:t>Numeric Investors LLC</w:t>
            </w:r>
          </w:p>
        </w:tc>
      </w:tr>
      <w:tr>
        <w:trPr>
          <w:trHeight w:val="230"/>
        </w:trPr>
        <w:tc>
          <w:tcPr>
            <w:tcW w:w="1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60" w:type="dxa"/>
            <w:vAlign w:val="bottom"/>
            <w:gridSpan w:val="19"/>
          </w:tcPr>
          <w:p>
            <w:pPr>
              <w:ind w:left="160"/>
              <w:spacing w:after="0"/>
              <w:rPr>
                <w:sz w:val="20"/>
                <w:szCs w:val="20"/>
                <w:color w:val="auto"/>
              </w:rPr>
            </w:pPr>
            <w:r>
              <w:rPr>
                <w:rFonts w:ascii="Arial" w:cs="Arial" w:eastAsia="Arial" w:hAnsi="Arial"/>
                <w:sz w:val="20"/>
                <w:szCs w:val="20"/>
                <w:color w:val="auto"/>
              </w:rPr>
              <w:t>470 Atlantic Avenue,6th Floor</w:t>
            </w:r>
          </w:p>
        </w:tc>
      </w:tr>
      <w:tr>
        <w:trPr>
          <w:trHeight w:val="230"/>
        </w:trPr>
        <w:tc>
          <w:tcPr>
            <w:tcW w:w="1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60" w:type="dxa"/>
            <w:vAlign w:val="bottom"/>
            <w:gridSpan w:val="19"/>
          </w:tcPr>
          <w:p>
            <w:pPr>
              <w:ind w:left="160"/>
              <w:spacing w:after="0"/>
              <w:rPr>
                <w:sz w:val="20"/>
                <w:szCs w:val="20"/>
                <w:color w:val="auto"/>
              </w:rPr>
            </w:pPr>
            <w:r>
              <w:rPr>
                <w:rFonts w:ascii="Arial" w:cs="Arial" w:eastAsia="Arial" w:hAnsi="Arial"/>
                <w:sz w:val="20"/>
                <w:szCs w:val="20"/>
                <w:color w:val="auto"/>
              </w:rPr>
              <w:t>Boston, MA 02210</w:t>
            </w:r>
          </w:p>
        </w:tc>
      </w:tr>
      <w:tr>
        <w:trPr>
          <w:trHeight w:val="250"/>
        </w:trPr>
        <w:tc>
          <w:tcPr>
            <w:tcW w:w="1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60" w:type="dxa"/>
            <w:vAlign w:val="bottom"/>
            <w:gridSpan w:val="19"/>
          </w:tcPr>
          <w:p>
            <w:pPr>
              <w:ind w:left="160"/>
              <w:spacing w:after="0"/>
              <w:rPr>
                <w:sz w:val="20"/>
                <w:szCs w:val="20"/>
                <w:color w:val="auto"/>
              </w:rPr>
            </w:pPr>
            <w:r>
              <w:rPr>
                <w:rFonts w:ascii="Arial" w:cs="Arial" w:eastAsia="Arial" w:hAnsi="Arial"/>
                <w:sz w:val="20"/>
                <w:szCs w:val="20"/>
                <w:color w:val="auto"/>
              </w:rPr>
              <w:t>Citizenship: State of Delaware</w:t>
            </w:r>
          </w:p>
        </w:tc>
      </w:tr>
      <w:tr>
        <w:trPr>
          <w:trHeight w:val="438"/>
        </w:trPr>
        <w:tc>
          <w:tcPr>
            <w:tcW w:w="172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20"/>
                <w:szCs w:val="20"/>
                <w:color w:val="auto"/>
              </w:rPr>
              <w:t>(ii)</w:t>
            </w:r>
          </w:p>
        </w:tc>
        <w:tc>
          <w:tcPr>
            <w:tcW w:w="9060" w:type="dxa"/>
            <w:vAlign w:val="bottom"/>
            <w:gridSpan w:val="19"/>
          </w:tcPr>
          <w:p>
            <w:pPr>
              <w:ind w:left="160"/>
              <w:spacing w:after="0"/>
              <w:rPr>
                <w:sz w:val="20"/>
                <w:szCs w:val="20"/>
                <w:color w:val="auto"/>
              </w:rPr>
            </w:pPr>
            <w:r>
              <w:rPr>
                <w:rFonts w:ascii="Arial" w:cs="Arial" w:eastAsia="Arial" w:hAnsi="Arial"/>
                <w:sz w:val="20"/>
                <w:szCs w:val="20"/>
                <w:color w:val="auto"/>
              </w:rPr>
              <w:t>Man Group Plc</w:t>
            </w:r>
          </w:p>
        </w:tc>
      </w:tr>
      <w:tr>
        <w:trPr>
          <w:trHeight w:val="230"/>
        </w:trPr>
        <w:tc>
          <w:tcPr>
            <w:tcW w:w="1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60" w:type="dxa"/>
            <w:vAlign w:val="bottom"/>
            <w:gridSpan w:val="19"/>
          </w:tcPr>
          <w:p>
            <w:pPr>
              <w:ind w:left="160"/>
              <w:spacing w:after="0"/>
              <w:rPr>
                <w:sz w:val="20"/>
                <w:szCs w:val="20"/>
                <w:color w:val="auto"/>
              </w:rPr>
            </w:pPr>
            <w:r>
              <w:rPr>
                <w:rFonts w:ascii="Arial" w:cs="Arial" w:eastAsia="Arial" w:hAnsi="Arial"/>
                <w:sz w:val="20"/>
                <w:szCs w:val="20"/>
                <w:color w:val="auto"/>
              </w:rPr>
              <w:t>Riverbank House</w:t>
            </w:r>
          </w:p>
        </w:tc>
      </w:tr>
      <w:tr>
        <w:trPr>
          <w:trHeight w:val="230"/>
        </w:trPr>
        <w:tc>
          <w:tcPr>
            <w:tcW w:w="1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60" w:type="dxa"/>
            <w:vAlign w:val="bottom"/>
            <w:gridSpan w:val="19"/>
          </w:tcPr>
          <w:p>
            <w:pPr>
              <w:ind w:left="160"/>
              <w:spacing w:after="0"/>
              <w:rPr>
                <w:sz w:val="20"/>
                <w:szCs w:val="20"/>
                <w:color w:val="auto"/>
              </w:rPr>
            </w:pPr>
            <w:r>
              <w:rPr>
                <w:rFonts w:ascii="Arial" w:cs="Arial" w:eastAsia="Arial" w:hAnsi="Arial"/>
                <w:sz w:val="20"/>
                <w:szCs w:val="20"/>
                <w:color w:val="auto"/>
              </w:rPr>
              <w:t>2 Swan Lane</w:t>
            </w:r>
          </w:p>
        </w:tc>
      </w:tr>
      <w:tr>
        <w:trPr>
          <w:trHeight w:val="230"/>
        </w:trPr>
        <w:tc>
          <w:tcPr>
            <w:tcW w:w="1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60" w:type="dxa"/>
            <w:vAlign w:val="bottom"/>
            <w:gridSpan w:val="19"/>
          </w:tcPr>
          <w:p>
            <w:pPr>
              <w:ind w:left="160"/>
              <w:spacing w:after="0"/>
              <w:rPr>
                <w:sz w:val="20"/>
                <w:szCs w:val="20"/>
                <w:color w:val="auto"/>
              </w:rPr>
            </w:pPr>
            <w:r>
              <w:rPr>
                <w:rFonts w:ascii="Arial" w:cs="Arial" w:eastAsia="Arial" w:hAnsi="Arial"/>
                <w:sz w:val="20"/>
                <w:szCs w:val="20"/>
                <w:color w:val="auto"/>
              </w:rPr>
              <w:t>London EC4R 3AD</w:t>
            </w:r>
          </w:p>
        </w:tc>
      </w:tr>
      <w:tr>
        <w:trPr>
          <w:trHeight w:val="230"/>
        </w:trPr>
        <w:tc>
          <w:tcPr>
            <w:tcW w:w="1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60" w:type="dxa"/>
            <w:vAlign w:val="bottom"/>
            <w:gridSpan w:val="19"/>
          </w:tcPr>
          <w:p>
            <w:pPr>
              <w:ind w:left="160"/>
              <w:spacing w:after="0"/>
              <w:rPr>
                <w:sz w:val="20"/>
                <w:szCs w:val="20"/>
                <w:color w:val="auto"/>
              </w:rPr>
            </w:pPr>
            <w:r>
              <w:rPr>
                <w:rFonts w:ascii="Arial" w:cs="Arial" w:eastAsia="Arial" w:hAnsi="Arial"/>
                <w:sz w:val="20"/>
                <w:szCs w:val="20"/>
                <w:color w:val="auto"/>
              </w:rPr>
              <w:t>United Kingdom</w:t>
            </w:r>
          </w:p>
        </w:tc>
      </w:tr>
      <w:tr>
        <w:trPr>
          <w:trHeight w:val="250"/>
        </w:trPr>
        <w:tc>
          <w:tcPr>
            <w:tcW w:w="1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60" w:type="dxa"/>
            <w:vAlign w:val="bottom"/>
            <w:gridSpan w:val="19"/>
          </w:tcPr>
          <w:p>
            <w:pPr>
              <w:ind w:left="160"/>
              <w:spacing w:after="0"/>
              <w:rPr>
                <w:sz w:val="20"/>
                <w:szCs w:val="20"/>
                <w:color w:val="auto"/>
              </w:rPr>
            </w:pPr>
            <w:r>
              <w:rPr>
                <w:rFonts w:ascii="Arial" w:cs="Arial" w:eastAsia="Arial" w:hAnsi="Arial"/>
                <w:sz w:val="20"/>
                <w:szCs w:val="20"/>
                <w:color w:val="auto"/>
              </w:rPr>
              <w:t>Citizenship: United Kingdom</w:t>
            </w:r>
          </w:p>
        </w:tc>
      </w:tr>
      <w:tr>
        <w:trPr>
          <w:trHeight w:val="459"/>
        </w:trPr>
        <w:tc>
          <w:tcPr>
            <w:tcW w:w="172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460" w:type="dxa"/>
            <w:vAlign w:val="bottom"/>
            <w:gridSpan w:val="20"/>
          </w:tcPr>
          <w:p>
            <w:pPr>
              <w:spacing w:after="0"/>
              <w:rPr>
                <w:sz w:val="20"/>
                <w:szCs w:val="20"/>
                <w:color w:val="auto"/>
              </w:rPr>
            </w:pPr>
            <w:r>
              <w:rPr>
                <w:rFonts w:ascii="Arial" w:cs="Arial" w:eastAsia="Arial" w:hAnsi="Arial"/>
                <w:sz w:val="20"/>
                <w:szCs w:val="20"/>
                <w:b w:val="1"/>
                <w:bCs w:val="1"/>
                <w:color w:val="auto"/>
              </w:rPr>
              <w:t>TITLE OF CLASS OF SECURITIES:</w:t>
            </w:r>
          </w:p>
        </w:tc>
      </w:tr>
      <w:tr>
        <w:trPr>
          <w:trHeight w:val="415"/>
        </w:trPr>
        <w:tc>
          <w:tcPr>
            <w:tcW w:w="1720" w:type="dxa"/>
            <w:vAlign w:val="bottom"/>
          </w:tcPr>
          <w:p>
            <w:pPr>
              <w:spacing w:after="0"/>
              <w:rPr>
                <w:sz w:val="24"/>
                <w:szCs w:val="24"/>
                <w:color w:val="auto"/>
              </w:rPr>
            </w:pPr>
          </w:p>
        </w:tc>
        <w:tc>
          <w:tcPr>
            <w:tcW w:w="9460" w:type="dxa"/>
            <w:vAlign w:val="bottom"/>
            <w:gridSpan w:val="20"/>
          </w:tcPr>
          <w:p>
            <w:pPr>
              <w:spacing w:after="0"/>
              <w:rPr>
                <w:sz w:val="20"/>
                <w:szCs w:val="20"/>
                <w:color w:val="auto"/>
              </w:rPr>
            </w:pPr>
            <w:r>
              <w:rPr>
                <w:rFonts w:ascii="Arial" w:cs="Arial" w:eastAsia="Arial" w:hAnsi="Arial"/>
                <w:sz w:val="20"/>
                <w:szCs w:val="20"/>
                <w:color w:val="auto"/>
              </w:rPr>
              <w:t>Common Stock, par value $0.01 per share (the "Common Stock").</w:t>
            </w:r>
          </w:p>
        </w:tc>
      </w:tr>
      <w:tr>
        <w:trPr>
          <w:trHeight w:val="20"/>
        </w:trPr>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ectPr>
          <w:pgSz w:w="11900" w:h="16838" w:orient="portrait"/>
          <w:cols w:equalWidth="0" w:num="1">
            <w:col w:w="11420"/>
          </w:cols>
          <w:pgMar w:left="240" w:top="436" w:right="239" w:bottom="144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420" w:type="dxa"/>
            <w:vAlign w:val="bottom"/>
            <w:gridSpan w:val="2"/>
          </w:tcPr>
          <w:p>
            <w:pPr>
              <w:spacing w:after="0"/>
              <w:rPr>
                <w:sz w:val="20"/>
                <w:szCs w:val="20"/>
                <w:color w:val="auto"/>
              </w:rPr>
            </w:pPr>
            <w:r>
              <w:rPr>
                <w:rFonts w:ascii="Arial" w:cs="Arial" w:eastAsia="Arial" w:hAnsi="Arial"/>
                <w:sz w:val="20"/>
                <w:szCs w:val="20"/>
                <w:b w:val="1"/>
                <w:bCs w:val="1"/>
                <w:color w:val="auto"/>
              </w:rPr>
              <w:t>CUSIP No. 516544103</w:t>
            </w:r>
          </w:p>
        </w:tc>
        <w:tc>
          <w:tcPr>
            <w:tcW w:w="3500" w:type="dxa"/>
            <w:vAlign w:val="bottom"/>
          </w:tcPr>
          <w:p>
            <w:pPr>
              <w:ind w:left="1000"/>
              <w:spacing w:after="0"/>
              <w:rPr>
                <w:sz w:val="20"/>
                <w:szCs w:val="20"/>
                <w:color w:val="auto"/>
              </w:rPr>
            </w:pPr>
            <w:r>
              <w:rPr>
                <w:rFonts w:ascii="Arial" w:cs="Arial" w:eastAsia="Arial" w:hAnsi="Arial"/>
                <w:sz w:val="22"/>
                <w:szCs w:val="22"/>
                <w:b w:val="1"/>
                <w:bCs w:val="1"/>
                <w:color w:val="auto"/>
              </w:rPr>
              <w:t>13G/A</w:t>
            </w:r>
          </w:p>
        </w:tc>
        <w:tc>
          <w:tcPr>
            <w:tcW w:w="3500" w:type="dxa"/>
            <w:vAlign w:val="bottom"/>
          </w:tcPr>
          <w:p>
            <w:pPr>
              <w:ind w:left="1920"/>
              <w:spacing w:after="0"/>
              <w:rPr>
                <w:sz w:val="20"/>
                <w:szCs w:val="20"/>
                <w:color w:val="auto"/>
              </w:rPr>
            </w:pPr>
            <w:r>
              <w:rPr>
                <w:rFonts w:ascii="Arial" w:cs="Arial" w:eastAsia="Arial" w:hAnsi="Arial"/>
                <w:sz w:val="22"/>
                <w:szCs w:val="22"/>
                <w:b w:val="1"/>
                <w:bCs w:val="1"/>
                <w:color w:val="auto"/>
                <w:w w:val="83"/>
              </w:rPr>
              <w:t>Page 5 of 7 Pages</w:t>
            </w:r>
          </w:p>
        </w:tc>
      </w:tr>
      <w:tr>
        <w:trPr>
          <w:trHeight w:val="467"/>
        </w:trPr>
        <w:tc>
          <w:tcPr>
            <w:tcW w:w="1360" w:type="dxa"/>
            <w:vAlign w:val="bottom"/>
          </w:tcPr>
          <w:p>
            <w:pPr>
              <w:ind w:left="100"/>
              <w:spacing w:after="0"/>
              <w:rPr>
                <w:sz w:val="20"/>
                <w:szCs w:val="20"/>
                <w:color w:val="auto"/>
              </w:rPr>
            </w:pPr>
            <w:r>
              <w:rPr>
                <w:rFonts w:ascii="Arial" w:cs="Arial" w:eastAsia="Arial" w:hAnsi="Arial"/>
                <w:sz w:val="20"/>
                <w:szCs w:val="20"/>
                <w:b w:val="1"/>
                <w:bCs w:val="1"/>
                <w:color w:val="auto"/>
              </w:rPr>
              <w:t>Item 2(e).</w:t>
            </w:r>
          </w:p>
        </w:tc>
        <w:tc>
          <w:tcPr>
            <w:tcW w:w="3060" w:type="dxa"/>
            <w:vAlign w:val="bottom"/>
          </w:tcPr>
          <w:p>
            <w:pPr>
              <w:ind w:left="460"/>
              <w:spacing w:after="0"/>
              <w:rPr>
                <w:sz w:val="20"/>
                <w:szCs w:val="20"/>
                <w:color w:val="auto"/>
              </w:rPr>
            </w:pPr>
            <w:r>
              <w:rPr>
                <w:rFonts w:ascii="Arial" w:cs="Arial" w:eastAsia="Arial" w:hAnsi="Arial"/>
                <w:sz w:val="20"/>
                <w:szCs w:val="20"/>
                <w:b w:val="1"/>
                <w:bCs w:val="1"/>
                <w:color w:val="auto"/>
              </w:rPr>
              <w:t>CUSIP NUMBER:</w:t>
            </w:r>
          </w:p>
        </w:tc>
        <w:tc>
          <w:tcPr>
            <w:tcW w:w="3500" w:type="dxa"/>
            <w:vAlign w:val="bottom"/>
          </w:tcPr>
          <w:p>
            <w:pPr>
              <w:spacing w:after="0"/>
              <w:rPr>
                <w:sz w:val="24"/>
                <w:szCs w:val="24"/>
                <w:color w:val="auto"/>
              </w:rPr>
            </w:pPr>
          </w:p>
        </w:tc>
        <w:tc>
          <w:tcPr>
            <w:tcW w:w="3500" w:type="dxa"/>
            <w:vAlign w:val="bottom"/>
          </w:tcPr>
          <w:p>
            <w:pPr>
              <w:spacing w:after="0"/>
              <w:rPr>
                <w:sz w:val="24"/>
                <w:szCs w:val="24"/>
                <w:color w:val="auto"/>
              </w:rPr>
            </w:pPr>
          </w:p>
        </w:tc>
      </w:tr>
    </w:tbl>
    <w:p>
      <w:pPr>
        <w:spacing w:after="0" w:line="209"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516544103</w:t>
      </w:r>
    </w:p>
    <w:p>
      <w:pPr>
        <w:spacing w:after="0" w:line="223" w:lineRule="exact"/>
        <w:rPr>
          <w:sz w:val="20"/>
          <w:szCs w:val="20"/>
          <w:color w:val="auto"/>
        </w:rPr>
      </w:pPr>
    </w:p>
    <w:p>
      <w:pPr>
        <w:ind w:left="1820" w:right="100" w:hanging="1714"/>
        <w:spacing w:after="0" w:line="267" w:lineRule="auto"/>
        <w:tabs>
          <w:tab w:leader="none" w:pos="180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RULES 13d-1(b) OR 13d-2(b) OR (c), CHECK WHETHER THE PERSON FILING IS A:</w:t>
      </w:r>
    </w:p>
    <w:p>
      <w:pPr>
        <w:spacing w:after="0" w:line="159" w:lineRule="exact"/>
        <w:rPr>
          <w:sz w:val="20"/>
          <w:szCs w:val="20"/>
          <w:color w:val="auto"/>
        </w:rPr>
      </w:pPr>
    </w:p>
    <w:p>
      <w:pPr>
        <w:ind w:left="2600" w:hanging="780"/>
        <w:spacing w:after="0" w:line="230" w:lineRule="exact"/>
        <w:tabs>
          <w:tab w:leader="none" w:pos="26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Rule 13d-1(b)(1)(ii)(E);</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Employee Benefit Plan or Endowment Fund in accordance with Rule 13d-1(b)(1)(ii)(F),</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Parent Holding Company or control person in accordance with Rule 13d-1(b)(1)(ii)(G),</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Savings Association as defined in Section 3(b) of the Federal Deposit Insurance Act,</w:t>
      </w:r>
    </w:p>
    <w:p>
      <w:pPr>
        <w:spacing w:after="0" w:line="229" w:lineRule="exact"/>
        <w:rPr>
          <w:rFonts w:ascii="Arial" w:cs="Arial" w:eastAsia="Arial" w:hAnsi="Arial"/>
          <w:sz w:val="20"/>
          <w:szCs w:val="20"/>
          <w:color w:val="auto"/>
        </w:rPr>
      </w:pPr>
    </w:p>
    <w:p>
      <w:pPr>
        <w:ind w:left="3080" w:right="180" w:hanging="1260"/>
        <w:spacing w:after="0" w:line="252" w:lineRule="exact"/>
        <w:tabs>
          <w:tab w:leader="none" w:pos="2612"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church plan that is excluded from the definition of an investment company under Section 3(c)(14) of the Investment Company Act;</w:t>
      </w:r>
    </w:p>
    <w:p>
      <w:pPr>
        <w:spacing w:after="0" w:line="173"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Rule 13d-1(b)(1)(ii)(J);</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00" w:lineRule="exact"/>
        <w:rPr>
          <w:sz w:val="20"/>
          <w:szCs w:val="20"/>
          <w:color w:val="auto"/>
        </w:rPr>
      </w:pPr>
    </w:p>
    <w:p>
      <w:pPr>
        <w:spacing w:after="0" w:line="283" w:lineRule="exact"/>
        <w:rPr>
          <w:sz w:val="20"/>
          <w:szCs w:val="20"/>
          <w:color w:val="auto"/>
        </w:rPr>
      </w:pPr>
    </w:p>
    <w:p>
      <w:pPr>
        <w:ind w:left="1820" w:right="3040"/>
        <w:spacing w:after="0" w:line="316" w:lineRule="auto"/>
        <w:rPr>
          <w:sz w:val="20"/>
          <w:szCs w:val="20"/>
          <w:color w:val="auto"/>
        </w:rPr>
      </w:pPr>
      <w:r>
        <w:rPr>
          <w:rFonts w:ascii="Arial" w:cs="Arial" w:eastAsia="Arial" w:hAnsi="Arial"/>
          <w:sz w:val="18"/>
          <w:szCs w:val="18"/>
          <w:color w:val="auto"/>
        </w:rPr>
        <w:t>If filing as a non-U.S. institution in accordance with Rule 13d-1(b)(1)(ii)(J), please specify the type of institution:___________________________________</w:t>
      </w:r>
    </w:p>
    <w:p>
      <w:pPr>
        <w:spacing w:after="0" w:line="138"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235" w:lineRule="exact"/>
        <w:rPr>
          <w:sz w:val="20"/>
          <w:szCs w:val="20"/>
          <w:color w:val="auto"/>
        </w:rPr>
      </w:pPr>
    </w:p>
    <w:p>
      <w:pPr>
        <w:ind w:left="1820" w:right="100"/>
        <w:spacing w:after="0" w:line="278" w:lineRule="auto"/>
        <w:rPr>
          <w:sz w:val="20"/>
          <w:szCs w:val="20"/>
          <w:color w:val="auto"/>
        </w:rPr>
      </w:pPr>
      <w:r>
        <w:rPr>
          <w:rFonts w:ascii="Arial" w:cs="Arial" w:eastAsia="Arial" w:hAnsi="Arial"/>
          <w:sz w:val="18"/>
          <w:szCs w:val="18"/>
          <w:color w:val="auto"/>
        </w:rPr>
        <w:t>The information required by Items 4(a) – (c) is set forth in Rows (5) – (11) of the cover page for each Reporting Person hereto and is incorporated herein by reference for each such Reporting Person. The percentage set forth in Row (11) of the cover page for each Reporting Person is based on the 37,505,996 shares of Common Stock outstanding as of October 31, 2017, as reported in the Company's Quarterly Report on Form 10-Q for the quarterly period ended September 30, 2017 filed with the Securities and Exchange Commission on November 2, 2017.</w:t>
      </w:r>
    </w:p>
    <w:p>
      <w:pPr>
        <w:spacing w:after="0" w:line="179" w:lineRule="exact"/>
        <w:rPr>
          <w:sz w:val="20"/>
          <w:szCs w:val="20"/>
          <w:color w:val="auto"/>
        </w:rPr>
      </w:pPr>
    </w:p>
    <w:p>
      <w:pPr>
        <w:ind w:left="1820" w:right="100"/>
        <w:spacing w:after="0" w:line="278" w:lineRule="auto"/>
        <w:rPr>
          <w:sz w:val="20"/>
          <w:szCs w:val="20"/>
          <w:color w:val="auto"/>
        </w:rPr>
      </w:pPr>
      <w:r>
        <w:rPr>
          <w:rFonts w:ascii="Arial" w:cs="Arial" w:eastAsia="Arial" w:hAnsi="Arial"/>
          <w:sz w:val="18"/>
          <w:szCs w:val="18"/>
          <w:color w:val="auto"/>
        </w:rPr>
        <w:t>The Investment Manager, which serves as the investment manager to each of the Numeric Funds, may be deemed to be the beneficial owner of all of the Common Stock owned by the Numeric Funds. The Parent Company, which indirectly, through various intermediate entities, controls the Investment Manager and the Additional Investment Manager, may be deemed to be the beneficial owner of all the Common Stock owned by the Numeric Funds and the Additional Funds. The Parent Company hereby disclaims any beneficial ownership of any such Common Stock.</w:t>
      </w:r>
    </w:p>
    <w:p>
      <w:pPr>
        <w:sectPr>
          <w:pgSz w:w="11900" w:h="16838" w:orient="portrait"/>
          <w:cols w:equalWidth="0" w:num="1">
            <w:col w:w="11420"/>
          </w:cols>
          <w:pgMar w:left="240" w:top="436"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1"/>
        </w:trPr>
        <w:tc>
          <w:tcPr>
            <w:tcW w:w="3660" w:type="dxa"/>
            <w:vAlign w:val="bottom"/>
            <w:gridSpan w:val="2"/>
          </w:tcPr>
          <w:p>
            <w:pPr>
              <w:spacing w:after="0"/>
              <w:rPr>
                <w:sz w:val="20"/>
                <w:szCs w:val="20"/>
                <w:color w:val="auto"/>
              </w:rPr>
            </w:pPr>
            <w:r>
              <w:rPr>
                <w:rFonts w:ascii="Arial" w:cs="Arial" w:eastAsia="Arial" w:hAnsi="Arial"/>
                <w:sz w:val="20"/>
                <w:szCs w:val="20"/>
                <w:b w:val="1"/>
                <w:bCs w:val="1"/>
                <w:color w:val="auto"/>
              </w:rPr>
              <w:t>CUSIP No. 516544103</w:t>
            </w:r>
          </w:p>
        </w:tc>
        <w:tc>
          <w:tcPr>
            <w:tcW w:w="4780" w:type="dxa"/>
            <w:vAlign w:val="bottom"/>
          </w:tcPr>
          <w:p>
            <w:pPr>
              <w:ind w:left="1760"/>
              <w:spacing w:after="0"/>
              <w:rPr>
                <w:sz w:val="20"/>
                <w:szCs w:val="20"/>
                <w:color w:val="auto"/>
              </w:rPr>
            </w:pPr>
            <w:r>
              <w:rPr>
                <w:rFonts w:ascii="Arial" w:cs="Arial" w:eastAsia="Arial" w:hAnsi="Arial"/>
                <w:sz w:val="22"/>
                <w:szCs w:val="22"/>
                <w:b w:val="1"/>
                <w:bCs w:val="1"/>
                <w:color w:val="auto"/>
              </w:rPr>
              <w:t>13G/A</w:t>
            </w:r>
          </w:p>
        </w:tc>
        <w:tc>
          <w:tcPr>
            <w:tcW w:w="2980" w:type="dxa"/>
            <w:vAlign w:val="bottom"/>
          </w:tcPr>
          <w:p>
            <w:pPr>
              <w:ind w:left="1400"/>
              <w:spacing w:after="0"/>
              <w:rPr>
                <w:sz w:val="20"/>
                <w:szCs w:val="20"/>
                <w:color w:val="auto"/>
              </w:rPr>
            </w:pPr>
            <w:r>
              <w:rPr>
                <w:rFonts w:ascii="Arial" w:cs="Arial" w:eastAsia="Arial" w:hAnsi="Arial"/>
                <w:sz w:val="22"/>
                <w:szCs w:val="22"/>
                <w:b w:val="1"/>
                <w:bCs w:val="1"/>
                <w:color w:val="auto"/>
                <w:w w:val="83"/>
              </w:rPr>
              <w:t>Page 6 of 7 Pages</w:t>
            </w:r>
          </w:p>
        </w:tc>
      </w:tr>
      <w:tr>
        <w:trPr>
          <w:trHeight w:val="575"/>
        </w:trPr>
        <w:tc>
          <w:tcPr>
            <w:tcW w:w="1260" w:type="dxa"/>
            <w:vAlign w:val="bottom"/>
          </w:tcPr>
          <w:p>
            <w:pPr>
              <w:ind w:left="100"/>
              <w:spacing w:after="0"/>
              <w:rPr>
                <w:sz w:val="20"/>
                <w:szCs w:val="20"/>
                <w:color w:val="auto"/>
              </w:rPr>
            </w:pPr>
            <w:r>
              <w:rPr>
                <w:rFonts w:ascii="Arial" w:cs="Arial" w:eastAsia="Arial" w:hAnsi="Arial"/>
                <w:sz w:val="20"/>
                <w:szCs w:val="20"/>
                <w:b w:val="1"/>
                <w:bCs w:val="1"/>
                <w:color w:val="auto"/>
              </w:rPr>
              <w:t>Item 5.</w:t>
            </w:r>
          </w:p>
        </w:tc>
        <w:tc>
          <w:tcPr>
            <w:tcW w:w="7180" w:type="dxa"/>
            <w:vAlign w:val="bottom"/>
            <w:gridSpan w:val="2"/>
          </w:tcPr>
          <w:p>
            <w:pPr>
              <w:ind w:left="560"/>
              <w:spacing w:after="0"/>
              <w:rPr>
                <w:sz w:val="20"/>
                <w:szCs w:val="20"/>
                <w:color w:val="auto"/>
              </w:rPr>
            </w:pPr>
            <w:r>
              <w:rPr>
                <w:rFonts w:ascii="Arial" w:cs="Arial" w:eastAsia="Arial" w:hAnsi="Arial"/>
                <w:sz w:val="20"/>
                <w:szCs w:val="20"/>
                <w:b w:val="1"/>
                <w:bCs w:val="1"/>
                <w:color w:val="auto"/>
              </w:rPr>
              <w:t>OWNERSHIP OF FIVE PERCENT OR LESS OF A CLASS.</w:t>
            </w:r>
          </w:p>
        </w:tc>
        <w:tc>
          <w:tcPr>
            <w:tcW w:w="2980" w:type="dxa"/>
            <w:vAlign w:val="bottom"/>
          </w:tcPr>
          <w:p>
            <w:pPr>
              <w:spacing w:after="0"/>
              <w:rPr>
                <w:sz w:val="24"/>
                <w:szCs w:val="24"/>
                <w:color w:val="auto"/>
              </w:rPr>
            </w:pPr>
          </w:p>
        </w:tc>
      </w:tr>
    </w:tbl>
    <w:p>
      <w:pPr>
        <w:spacing w:after="0" w:line="209" w:lineRule="exact"/>
        <w:rPr>
          <w:sz w:val="20"/>
          <w:szCs w:val="20"/>
          <w:color w:val="auto"/>
        </w:rPr>
      </w:pPr>
    </w:p>
    <w:p>
      <w:pPr>
        <w:ind w:left="1820" w:right="340"/>
        <w:spacing w:after="0" w:line="287"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Persons have ceased to be the beneficial owner of more than five percent of the class of securities, check the following: ý</w:t>
      </w:r>
    </w:p>
    <w:p>
      <w:pPr>
        <w:spacing w:after="0" w:line="160"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See Item 2.</w:t>
      </w:r>
    </w:p>
    <w:p>
      <w:pPr>
        <w:spacing w:after="0" w:line="223" w:lineRule="exact"/>
        <w:rPr>
          <w:sz w:val="20"/>
          <w:szCs w:val="20"/>
          <w:color w:val="auto"/>
        </w:rPr>
      </w:pPr>
    </w:p>
    <w:p>
      <w:pPr>
        <w:ind w:left="1820" w:right="120" w:hanging="1714"/>
        <w:spacing w:after="0" w:line="267" w:lineRule="auto"/>
        <w:tabs>
          <w:tab w:leader="none" w:pos="18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83"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820" w:right="200"/>
        <w:spacing w:after="0" w:line="246" w:lineRule="auto"/>
        <w:rPr>
          <w:sz w:val="20"/>
          <w:szCs w:val="20"/>
          <w:color w:val="auto"/>
        </w:rPr>
      </w:pPr>
      <w:r>
        <w:rPr>
          <w:rFonts w:ascii="Arial" w:cs="Arial" w:eastAsia="Arial" w:hAnsi="Arial"/>
          <w:sz w:val="20"/>
          <w:szCs w:val="20"/>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436" w:right="239" w:bottom="1440" w:gutter="0" w:footer="0" w:header="0"/>
        </w:sectPr>
      </w:pPr>
    </w:p>
    <w:bookmarkStart w:id="6" w:name="page7"/>
    <w:bookmarkEnd w:id="6"/>
    <w:p>
      <w:pPr>
        <w:spacing w:after="0"/>
        <w:tabs>
          <w:tab w:leader="none" w:pos="5400" w:val="left"/>
          <w:tab w:leader="none" w:pos="9820" w:val="left"/>
        </w:tabs>
        <w:rPr>
          <w:sz w:val="20"/>
          <w:szCs w:val="20"/>
          <w:color w:val="auto"/>
        </w:rPr>
      </w:pPr>
      <w:r>
        <w:rPr>
          <w:rFonts w:ascii="Arial" w:cs="Arial" w:eastAsia="Arial" w:hAnsi="Arial"/>
          <w:sz w:val="20"/>
          <w:szCs w:val="20"/>
          <w:b w:val="1"/>
          <w:bCs w:val="1"/>
          <w:color w:val="auto"/>
        </w:rPr>
        <w:t>CUSIP No. 516544103</w:t>
      </w:r>
      <w:r>
        <w:rPr>
          <w:sz w:val="20"/>
          <w:szCs w:val="20"/>
          <w:color w:val="auto"/>
        </w:rPr>
        <w:tab/>
      </w:r>
      <w:r>
        <w:rPr>
          <w:rFonts w:ascii="Arial" w:cs="Arial" w:eastAsia="Arial" w:hAnsi="Arial"/>
          <w:sz w:val="22"/>
          <w:szCs w:val="22"/>
          <w:b w:val="1"/>
          <w:bCs w:val="1"/>
          <w:color w:val="auto"/>
        </w:rPr>
        <w:t>13G/A</w:t>
      </w:r>
      <w:r>
        <w:rPr>
          <w:sz w:val="20"/>
          <w:szCs w:val="20"/>
          <w:color w:val="auto"/>
        </w:rPr>
        <w:tab/>
      </w:r>
      <w:r>
        <w:rPr>
          <w:rFonts w:ascii="Arial" w:cs="Arial" w:eastAsia="Arial" w:hAnsi="Arial"/>
          <w:sz w:val="18"/>
          <w:szCs w:val="18"/>
          <w:b w:val="1"/>
          <w:bCs w:val="1"/>
          <w:color w:val="auto"/>
        </w:rPr>
        <w:t>Page 7 of 7 Pages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After reasonable inquiry and to the best of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9, 2018</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NUMERIC INVESTORS LLC</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Christopher Ancona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356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Christopher Ancona</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Chief Compliance Officer</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 GROUP PLC</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Michelle Robyn Grew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356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Michelle Robyn Grew</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Chief Administrative Officer</w:t>
      </w:r>
    </w:p>
    <w:sectPr>
      <w:pgSz w:w="11900" w:h="16838" w:orient="portrait"/>
      <w:cols w:equalWidth="0" w:num="1">
        <w:col w:w="11420"/>
      </w:cols>
      <w:pgMar w:left="240" w:top="4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3"/>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2019-12-07T23:14:08Z</dcterms:created>
  <dcterms:modified xsi:type="dcterms:W3CDTF">2019-12-07T23:14:08Z</dcterms:modified>
</cp:coreProperties>
</file>