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3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397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Lantheus Alpha Therapy,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Perspective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CATX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201 BURLINGTON ROAD, SOUTH BUILDING</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BEDFORD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01730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56,342,355</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60" w:type="dxa"/>
            <w:vAlign w:val="bottom"/>
            <w:gridSpan w:val="3"/>
          </w:tcPr>
          <w:p>
            <w:pPr>
              <w:ind w:left="6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2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Lantheus Alpha Therapy, LLC</w:t>
              </w:r>
            </w:hyperlink>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201 BURLINGTON ROAD, SOUTH BUILDING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BEDFORD</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01730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2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Lantheus Holdings, Inc.</w:t>
              </w:r>
            </w:hyperlink>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201 BURLINGTON ROAD, SOUTH BUILDING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BEDFORD</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01730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260" w:firstLine="5"/>
        <w:spacing w:after="0" w:line="294"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securities directly held by Lantheus Alpha Therapy, LLC ("Lantheus"), a wholly owned direct subsidiary of Lantheus Holdings, Inc. ("Lantheus Holdings"). Under SEC rules and regulations, Lantheus Holdings may be deemed to have indirect beneficial ownership of the shares held by Lantheus, which has direct beneficial ownership.</w:t>
      </w:r>
    </w:p>
    <w:p>
      <w:pPr>
        <w:sectPr>
          <w:pgSz w:w="11900" w:h="16838" w:orient="portrait"/>
          <w:cols w:equalWidth="0" w:num="1">
            <w:col w:w="10940"/>
          </w:cols>
          <w:pgMar w:left="480" w:top="230" w:right="479" w:bottom="0" w:gutter="0" w:footer="0" w:header="0"/>
          <w:type w:val="continuous"/>
        </w:sectPr>
      </w:pPr>
    </w:p>
    <w:p>
      <w:pPr>
        <w:spacing w:after="0" w:line="25" w:lineRule="exact"/>
        <w:rPr>
          <w:sz w:val="20"/>
          <w:szCs w:val="20"/>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/s/ Daniel Niedzwiecki,</w:t>
      </w:r>
      <w:r>
        <w:rPr>
          <w:sz w:val="20"/>
          <w:szCs w:val="20"/>
          <w:color w:val="auto"/>
        </w:rPr>
        <w:tab/>
      </w:r>
      <w:r>
        <w:rPr>
          <w:rFonts w:ascii="Times New Roman" w:cs="Times New Roman" w:eastAsia="Times New Roman" w:hAnsi="Times New Roman"/>
          <w:sz w:val="18"/>
          <w:szCs w:val="18"/>
          <w:color w:val="0000FF"/>
        </w:rPr>
        <w:t>02/01/2024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955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20"/>
          <w:szCs w:val="20"/>
          <w:color w:val="0000FF"/>
        </w:rPr>
        <w:t>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490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Officer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80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988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Counsel, Lantheus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Daniel Niedzwiecki,</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2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Chief Administrative</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Officer and General</w:t>
            </w:r>
          </w:p>
        </w:tc>
        <w:tc>
          <w:tcPr>
            <w:tcW w:w="540" w:type="dxa"/>
            <w:vAlign w:val="bottom"/>
            <w:gridSpan w:val="2"/>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02/01/2024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Counsel, Lantheus</w:t>
            </w:r>
          </w:p>
        </w:tc>
        <w:tc>
          <w:tcPr>
            <w:tcW w:w="640" w:type="dxa"/>
            <w:vAlign w:val="bottom"/>
            <w:gridSpan w:val="3"/>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Holdings</w:t>
            </w:r>
          </w:p>
        </w:tc>
        <w:tc>
          <w:tcPr>
            <w:tcW w:w="74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6"/>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6"/>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6"/>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0" Type="http://schemas.openxmlformats.org/officeDocument/2006/relationships/hyperlink" Target="http://www.sec.gov/cgi-bin/browse-edgar?action=getcompany&amp;CIK=0002010224" TargetMode="External"/><Relationship Id="rId11" Type="http://schemas.openxmlformats.org/officeDocument/2006/relationships/hyperlink" Target="http://www.sec.gov/cgi-bin/browse-edgar?action=getcompany&amp;CIK=0000728387"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2024-02-01T06:59:52Z</dcterms:created>
  <dcterms:modified xsi:type="dcterms:W3CDTF">2024-02-01T06:59:52Z</dcterms:modified>
</cp:coreProperties>
</file>