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LANTHEUS HOLDINGS,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-3337560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-3002915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-2531745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-2197100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-1862455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-807720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-473075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194945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 w:name="page2"/>
    <w:bookmarkEnd w:id="1"/>
    <w:p>
      <w:pPr>
        <w:jc w:val="center"/>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2927350</wp:posOffset>
            </wp:positionH>
            <wp:positionV relativeFrom="page">
              <wp:posOffset>183515</wp:posOffset>
            </wp:positionV>
            <wp:extent cx="171513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80060"/>
                    </a:xfrm>
                    <a:prstGeom prst="rect">
                      <a:avLst/>
                    </a:prstGeom>
                    <a:noFill/>
                  </pic:spPr>
                </pic:pic>
              </a:graphicData>
            </a:graphic>
          </wp:anchor>
        </w:drawing>
        <w:t>Important Notice Regarding the Availability of Proxy Materials for the Stockholder Meeting to be held on April 26, 2018, for Lantheus Holdings, Inc.</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This communication presents only an overview of the more complete proxy materials that are available to you on the Internet. We encourage you to access and review all of the important information contained in the proxy materials before voting. To view the proxy statement and annual report, go to </w:t>
      </w:r>
      <w:r>
        <w:rPr>
          <w:rFonts w:ascii="Arial" w:cs="Arial" w:eastAsia="Arial" w:hAnsi="Arial"/>
          <w:sz w:val="16"/>
          <w:szCs w:val="16"/>
          <w:b w:val="1"/>
          <w:bCs w:val="1"/>
          <w:u w:val="single" w:color="auto"/>
          <w:color w:val="auto"/>
        </w:rPr>
        <w:t>www.proxydocs.com/lnth</w:t>
      </w:r>
      <w:r>
        <w:rPr>
          <w:rFonts w:ascii="Arial" w:cs="Arial" w:eastAsia="Arial" w:hAnsi="Arial"/>
          <w:sz w:val="16"/>
          <w:szCs w:val="16"/>
          <w:b w:val="1"/>
          <w:bCs w:val="1"/>
          <w:color w:val="auto"/>
        </w:rPr>
        <w:t>. To submit your proxy while visiting this site, you will need the 12 digit control number in the box below.</w:t>
      </w:r>
    </w:p>
    <w:p>
      <w:pPr>
        <w:spacing w:after="0" w:line="97"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Under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1905</wp:posOffset>
            </wp:positionV>
            <wp:extent cx="2146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1905</wp:posOffset>
            </wp:positionV>
            <wp:extent cx="1371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6"/>
          <w:szCs w:val="16"/>
          <w:color w:val="auto"/>
        </w:rPr>
        <w:t>rules, proxy materials do not have to be delivered in paper.</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Proxy materials can be distributed by making them available</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on the Internet. We have chosen to use these procedures for</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our 2018 Annual Meeting and need YOUR participation.</w:t>
      </w:r>
    </w:p>
    <w:p>
      <w:pPr>
        <w:spacing w:after="0" w:line="296" w:lineRule="exact"/>
        <w:rPr>
          <w:sz w:val="20"/>
          <w:szCs w:val="20"/>
          <w:color w:val="auto"/>
        </w:rPr>
      </w:pPr>
    </w:p>
    <w:p>
      <w:pPr>
        <w:ind w:left="6800"/>
        <w:spacing w:after="0"/>
        <w:rPr>
          <w:sz w:val="20"/>
          <w:szCs w:val="20"/>
          <w:color w:val="auto"/>
        </w:rPr>
      </w:pPr>
      <w:r>
        <w:rPr>
          <w:rFonts w:ascii="Arial" w:cs="Arial" w:eastAsia="Arial" w:hAnsi="Arial"/>
          <w:sz w:val="16"/>
          <w:szCs w:val="16"/>
          <w:b w:val="1"/>
          <w:bCs w:val="1"/>
          <w:i w:val="1"/>
          <w:iCs w:val="1"/>
          <w:color w:val="auto"/>
        </w:rPr>
        <w:t>If you want to receive a paper or e-mail copy of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-104775</wp:posOffset>
            </wp:positionV>
            <wp:extent cx="21463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-104775</wp:posOffset>
            </wp:positionV>
            <wp:extent cx="13716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b w:val="1"/>
          <w:bCs w:val="1"/>
          <w:i w:val="1"/>
          <w:iCs w:val="1"/>
          <w:color w:val="auto"/>
        </w:rPr>
        <w:t>materials, you must request one. There is no charge to</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b w:val="1"/>
          <w:bCs w:val="1"/>
          <w:i w:val="1"/>
          <w:iCs w:val="1"/>
          <w:color w:val="auto"/>
        </w:rPr>
        <w:t>you for requesting a copy. In order to receive a paper</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b w:val="1"/>
          <w:bCs w:val="1"/>
          <w:i w:val="1"/>
          <w:iCs w:val="1"/>
          <w:color w:val="auto"/>
        </w:rPr>
        <w:t>package in time for this year’s annual meeting, please</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b w:val="1"/>
          <w:bCs w:val="1"/>
          <w:i w:val="1"/>
          <w:iCs w:val="1"/>
          <w:color w:val="auto"/>
        </w:rPr>
        <w:t>make this request on or before April 16, 2018.</w:t>
      </w:r>
    </w:p>
    <w:p>
      <w:pPr>
        <w:spacing w:after="0" w:line="266" w:lineRule="exact"/>
        <w:rPr>
          <w:sz w:val="20"/>
          <w:szCs w:val="20"/>
          <w:color w:val="auto"/>
        </w:rPr>
      </w:pPr>
    </w:p>
    <w:p>
      <w:pPr>
        <w:jc w:val="center"/>
        <w:ind w:right="180"/>
        <w:spacing w:after="0"/>
        <w:rPr>
          <w:sz w:val="20"/>
          <w:szCs w:val="20"/>
          <w:color w:val="auto"/>
        </w:rPr>
      </w:pPr>
      <w:r>
        <w:rPr>
          <w:rFonts w:ascii="Arial" w:cs="Arial" w:eastAsia="Arial" w:hAnsi="Arial"/>
          <w:sz w:val="36"/>
          <w:szCs w:val="36"/>
          <w:b w:val="1"/>
          <w:bCs w:val="1"/>
          <w:color w:val="auto"/>
        </w:rPr>
        <w:t>For a Convenient Way to VIEW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-240665</wp:posOffset>
            </wp:positionV>
            <wp:extent cx="6311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-146050</wp:posOffset>
            </wp:positionV>
            <wp:extent cx="27432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320" cy="591820"/>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-146050</wp:posOffset>
            </wp:positionV>
            <wp:extent cx="274320" cy="591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4320" cy="591820"/>
                    </a:xfrm>
                    <a:prstGeom prst="rect">
                      <a:avLst/>
                    </a:prstGeom>
                    <a:noFill/>
                  </pic:spPr>
                </pic:pic>
              </a:graphicData>
            </a:graphic>
          </wp:anchor>
        </w:drawing>
      </w:r>
    </w:p>
    <w:p>
      <w:pPr>
        <w:spacing w:after="0" w:line="31" w:lineRule="exact"/>
        <w:rPr>
          <w:sz w:val="20"/>
          <w:szCs w:val="20"/>
          <w:color w:val="auto"/>
        </w:rPr>
      </w:pPr>
    </w:p>
    <w:p>
      <w:pPr>
        <w:jc w:val="center"/>
        <w:ind w:right="180"/>
        <w:spacing w:after="0"/>
        <w:rPr>
          <w:sz w:val="20"/>
          <w:szCs w:val="20"/>
          <w:color w:val="auto"/>
        </w:rPr>
      </w:pPr>
      <w:r>
        <w:rPr>
          <w:rFonts w:ascii="Arial" w:cs="Arial" w:eastAsia="Arial" w:hAnsi="Arial"/>
          <w:sz w:val="34"/>
          <w:szCs w:val="34"/>
          <w:color w:val="auto"/>
        </w:rPr>
        <w:t xml:space="preserve">– </w:t>
      </w:r>
      <w:r>
        <w:rPr>
          <w:rFonts w:ascii="Arial" w:cs="Arial" w:eastAsia="Arial" w:hAnsi="Arial"/>
          <w:sz w:val="34"/>
          <w:szCs w:val="34"/>
          <w:b w:val="1"/>
          <w:bCs w:val="1"/>
          <w:color w:val="auto"/>
        </w:rPr>
        <w:t>and</w:t>
      </w:r>
      <w:r>
        <w:rPr>
          <w:rFonts w:ascii="Arial" w:cs="Arial" w:eastAsia="Arial" w:hAnsi="Arial"/>
          <w:sz w:val="34"/>
          <w:szCs w:val="34"/>
          <w:color w:val="auto"/>
        </w:rPr>
        <w:t xml:space="preserve"> –</w:t>
      </w:r>
    </w:p>
    <w:p>
      <w:pPr>
        <w:jc w:val="center"/>
        <w:ind w:right="180"/>
        <w:spacing w:after="0"/>
        <w:rPr>
          <w:sz w:val="20"/>
          <w:szCs w:val="20"/>
          <w:color w:val="auto"/>
        </w:rPr>
      </w:pPr>
      <w:r>
        <w:rPr>
          <w:rFonts w:ascii="Arial" w:cs="Arial" w:eastAsia="Arial" w:hAnsi="Arial"/>
          <w:sz w:val="36"/>
          <w:szCs w:val="36"/>
          <w:b w:val="1"/>
          <w:bCs w:val="1"/>
          <w:color w:val="auto"/>
        </w:rPr>
        <w:t xml:space="preserve">VOTE Online go to: </w:t>
      </w:r>
      <w:r>
        <w:rPr>
          <w:rFonts w:ascii="Arial" w:cs="Arial" w:eastAsia="Arial" w:hAnsi="Arial"/>
          <w:sz w:val="36"/>
          <w:szCs w:val="36"/>
          <w:b w:val="1"/>
          <w:bCs w:val="1"/>
          <w:u w:val="single" w:color="auto"/>
          <w:color w:val="auto"/>
        </w:rPr>
        <w:t>www.proxydocs.com/lnth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3810</wp:posOffset>
            </wp:positionV>
            <wp:extent cx="6311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Materials Available to View or Receive:</w:t>
      </w:r>
    </w:p>
    <w:p>
      <w:pPr>
        <w:ind w:left="5200" w:hanging="206"/>
        <w:spacing w:after="0"/>
        <w:tabs>
          <w:tab w:leader="none" w:pos="5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w:t>
      </w:r>
    </w:p>
    <w:p>
      <w:pPr>
        <w:spacing w:after="0" w:line="27" w:lineRule="exact"/>
        <w:rPr>
          <w:rFonts w:ascii="Arial" w:cs="Arial" w:eastAsia="Arial" w:hAnsi="Arial"/>
          <w:sz w:val="18"/>
          <w:szCs w:val="18"/>
          <w:b w:val="1"/>
          <w:bCs w:val="1"/>
          <w:color w:val="auto"/>
        </w:rPr>
      </w:pPr>
    </w:p>
    <w:p>
      <w:pPr>
        <w:ind w:left="5220" w:hanging="202"/>
        <w:spacing w:after="0"/>
        <w:tabs>
          <w:tab w:leader="none" w:pos="52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Printed materials may be requested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45085</wp:posOffset>
            </wp:positionV>
            <wp:extent cx="2135505" cy="634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5505" cy="634365"/>
                    </a:xfrm>
                    <a:prstGeom prst="rect">
                      <a:avLst/>
                    </a:prstGeom>
                    <a:noFill/>
                  </pic:spPr>
                </pic:pic>
              </a:graphicData>
            </a:graphic>
          </wp:anchor>
        </w:drawing>
      </w:r>
    </w:p>
    <w:p>
      <w:pPr>
        <w:sectPr>
          <w:pgSz w:w="11900" w:h="16838" w:orient="portrait"/>
          <w:cols w:equalWidth="0" w:num="1">
            <w:col w:w="11420"/>
          </w:cols>
          <w:pgMar w:left="240" w:top="1066" w:right="239" w:bottom="1440" w:gutter="0" w:footer="0" w:header="0"/>
        </w:sectPr>
      </w:pPr>
    </w:p>
    <w:p>
      <w:pPr>
        <w:spacing w:after="0" w:line="51" w:lineRule="exact"/>
        <w:rPr>
          <w:sz w:val="20"/>
          <w:szCs w:val="20"/>
          <w:color w:val="auto"/>
        </w:rPr>
      </w:pPr>
    </w:p>
    <w:tbl>
      <w:tblPr>
        <w:tblLayout w:type="fixed"/>
        <w:tblInd w:w="470" w:type="dxa"/>
        <w:tblCellMar>
          <w:top w:w="0" w:type="dxa"/>
          <w:left w:w="0" w:type="dxa"/>
          <w:bottom w:w="0" w:type="dxa"/>
          <w:right w:w="0" w:type="dxa"/>
        </w:tblCellMar>
      </w:tblPr>
      <w:tr>
        <w:trPr>
          <w:trHeight w:val="765"/>
        </w:trPr>
        <w:tc>
          <w:tcPr>
            <w:tcW w:w="320" w:type="dxa"/>
            <w:vAlign w:val="bottom"/>
            <w:tcBorders>
              <w:top w:val="single" w:sz="8" w:color="auto"/>
              <w:left w:val="single" w:sz="8" w:color="auto"/>
            </w:tcBorders>
          </w:tcPr>
          <w:p>
            <w:pPr>
              <w:spacing w:after="0"/>
              <w:rPr>
                <w:sz w:val="24"/>
                <w:szCs w:val="24"/>
                <w:color w:val="auto"/>
              </w:rPr>
            </w:pPr>
          </w:p>
        </w:tc>
        <w:tc>
          <w:tcPr>
            <w:tcW w:w="2700" w:type="dxa"/>
            <w:vAlign w:val="bottom"/>
            <w:tcBorders>
              <w:top w:val="single" w:sz="8" w:color="auto"/>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INTERNET</w:t>
            </w:r>
          </w:p>
        </w:tc>
        <w:tc>
          <w:tcPr>
            <w:tcW w:w="100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TELEPHONE</w:t>
            </w:r>
          </w:p>
        </w:tc>
      </w:tr>
      <w:tr>
        <w:trPr>
          <w:trHeight w:val="180"/>
        </w:trPr>
        <w:tc>
          <w:tcPr>
            <w:tcW w:w="3020" w:type="dxa"/>
            <w:vAlign w:val="bottom"/>
            <w:tcBorders>
              <w:left w:val="single" w:sz="8" w:color="auto"/>
              <w:right w:val="single" w:sz="8" w:color="auto"/>
            </w:tcBorders>
            <w:gridSpan w:val="3"/>
          </w:tcPr>
          <w:p>
            <w:pPr>
              <w:jc w:val="center"/>
              <w:spacing w:after="0" w:line="181" w:lineRule="exact"/>
              <w:rPr>
                <w:sz w:val="20"/>
                <w:szCs w:val="20"/>
                <w:color w:val="auto"/>
              </w:rPr>
            </w:pPr>
            <w:r>
              <w:rPr>
                <w:rFonts w:ascii="Arial" w:cs="Arial" w:eastAsia="Arial" w:hAnsi="Arial"/>
                <w:sz w:val="16"/>
                <w:szCs w:val="16"/>
                <w:b w:val="1"/>
                <w:bCs w:val="1"/>
                <w:color w:val="auto"/>
              </w:rPr>
              <w:t>www.investorelections.com/lnth</w:t>
            </w:r>
          </w:p>
        </w:tc>
        <w:tc>
          <w:tcPr>
            <w:tcW w:w="100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jc w:val="right"/>
              <w:ind w:right="159"/>
              <w:spacing w:after="0" w:line="181" w:lineRule="exact"/>
              <w:rPr>
                <w:sz w:val="20"/>
                <w:szCs w:val="20"/>
                <w:color w:val="auto"/>
              </w:rPr>
            </w:pPr>
            <w:r>
              <w:rPr>
                <w:rFonts w:ascii="Arial" w:cs="Arial" w:eastAsia="Arial" w:hAnsi="Arial"/>
                <w:sz w:val="16"/>
                <w:szCs w:val="16"/>
                <w:b w:val="1"/>
                <w:bCs w:val="1"/>
                <w:color w:val="auto"/>
              </w:rPr>
              <w:t>(866) 648-8133</w:t>
            </w:r>
          </w:p>
        </w:tc>
      </w:tr>
      <w:tr>
        <w:trPr>
          <w:trHeight w:val="21"/>
        </w:trPr>
        <w:tc>
          <w:tcPr>
            <w:tcW w:w="320" w:type="dxa"/>
            <w:vAlign w:val="bottom"/>
            <w:tcBorders>
              <w:left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-548005</wp:posOffset>
            </wp:positionV>
            <wp:extent cx="274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-565150</wp:posOffset>
            </wp:positionV>
            <wp:extent cx="30035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9" w:lineRule="exact"/>
        <w:rPr>
          <w:sz w:val="20"/>
          <w:szCs w:val="20"/>
          <w:color w:val="auto"/>
        </w:rPr>
      </w:pPr>
    </w:p>
    <w:p>
      <w:pPr>
        <w:jc w:val="center"/>
        <w:ind w:left="378"/>
        <w:spacing w:after="0"/>
        <w:rPr>
          <w:sz w:val="20"/>
          <w:szCs w:val="20"/>
          <w:color w:val="auto"/>
        </w:rPr>
      </w:pPr>
      <w:r>
        <w:rPr>
          <w:rFonts w:ascii="Arial" w:cs="Arial" w:eastAsia="Arial" w:hAnsi="Arial"/>
          <w:sz w:val="22"/>
          <w:szCs w:val="22"/>
          <w:b w:val="1"/>
          <w:bCs w:val="1"/>
          <w:color w:val="auto"/>
        </w:rPr>
        <w:t>You must use the 12 digit control number</w:t>
      </w:r>
    </w:p>
    <w:p>
      <w:pPr>
        <w:spacing w:after="0" w:line="16" w:lineRule="exact"/>
        <w:rPr>
          <w:sz w:val="20"/>
          <w:szCs w:val="20"/>
          <w:color w:val="auto"/>
        </w:rPr>
      </w:pPr>
    </w:p>
    <w:p>
      <w:pPr>
        <w:jc w:val="center"/>
        <w:ind w:left="378"/>
        <w:spacing w:after="0"/>
        <w:rPr>
          <w:sz w:val="20"/>
          <w:szCs w:val="20"/>
          <w:color w:val="auto"/>
        </w:rPr>
      </w:pPr>
      <w:r>
        <w:rPr>
          <w:rFonts w:ascii="Arial" w:cs="Arial" w:eastAsia="Arial" w:hAnsi="Arial"/>
          <w:sz w:val="22"/>
          <w:szCs w:val="22"/>
          <w:b w:val="1"/>
          <w:bCs w:val="1"/>
          <w:color w:val="auto"/>
        </w:rPr>
        <w:t>located in the shaded gray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323850</wp:posOffset>
            </wp:positionV>
            <wp:extent cx="7105015" cy="265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015" cy="265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42"/>
        <w:spacing w:after="0"/>
        <w:rPr>
          <w:sz w:val="20"/>
          <w:szCs w:val="20"/>
          <w:color w:val="auto"/>
        </w:rPr>
      </w:pPr>
      <w:r>
        <w:rPr>
          <w:rFonts w:ascii="Arial" w:cs="Arial" w:eastAsia="Arial" w:hAnsi="Arial"/>
          <w:sz w:val="16"/>
          <w:szCs w:val="16"/>
          <w:b w:val="1"/>
          <w:bCs w:val="1"/>
          <w:color w:val="auto"/>
        </w:rPr>
        <w:t>*E-MAIL</w:t>
      </w:r>
    </w:p>
    <w:p>
      <w:pPr>
        <w:spacing w:after="0" w:line="25" w:lineRule="exact"/>
        <w:rPr>
          <w:sz w:val="20"/>
          <w:szCs w:val="20"/>
          <w:color w:val="auto"/>
        </w:rPr>
      </w:pPr>
    </w:p>
    <w:p>
      <w:pPr>
        <w:jc w:val="center"/>
        <w:ind w:right="842"/>
        <w:spacing w:after="0"/>
        <w:rPr>
          <w:sz w:val="20"/>
          <w:szCs w:val="20"/>
          <w:color w:val="auto"/>
        </w:rPr>
      </w:pPr>
      <w:r>
        <w:rPr>
          <w:rFonts w:ascii="Arial" w:cs="Arial" w:eastAsia="Arial" w:hAnsi="Arial"/>
          <w:sz w:val="16"/>
          <w:szCs w:val="16"/>
          <w:b w:val="1"/>
          <w:bCs w:val="1"/>
          <w:u w:val="single" w:color="auto"/>
          <w:color w:val="auto"/>
        </w:rPr>
        <w:t>paper@investorelections.com</w:t>
      </w:r>
    </w:p>
    <w:p>
      <w:pPr>
        <w:spacing w:after="0" w:line="24" w:lineRule="exact"/>
        <w:rPr>
          <w:sz w:val="20"/>
          <w:szCs w:val="20"/>
          <w:color w:val="auto"/>
        </w:rPr>
      </w:pPr>
    </w:p>
    <w:p>
      <w:pPr>
        <w:jc w:val="both"/>
        <w:ind w:left="158" w:right="1000" w:hanging="158"/>
        <w:spacing w:after="0" w:line="222" w:lineRule="auto"/>
        <w:tabs>
          <w:tab w:leader="none" w:pos="158"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requesting material by e-mail, please send a blank e-mail with the 12 digit control number (located below) in the subject line. No other requests, instructions or other inquiries should be included with your e-mail requesting material.</w:t>
      </w:r>
    </w:p>
    <w:p>
      <w:pPr>
        <w:spacing w:after="0" w:line="200" w:lineRule="exact"/>
        <w:rPr>
          <w:sz w:val="20"/>
          <w:szCs w:val="20"/>
          <w:color w:val="auto"/>
        </w:rPr>
      </w:pPr>
    </w:p>
    <w:p>
      <w:pPr>
        <w:sectPr>
          <w:pgSz w:w="11900" w:h="16838" w:orient="portrait"/>
          <w:cols w:equalWidth="0" w:num="2">
            <w:col w:w="6302" w:space="720"/>
            <w:col w:w="4398"/>
          </w:cols>
          <w:pgMar w:left="240" w:top="1066" w:right="2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Lantheus Holdings, Inc., Notice of Annual Meeting</w:t>
      </w:r>
    </w:p>
    <w:p>
      <w:pPr>
        <w:spacing w:after="0" w:line="241" w:lineRule="exact"/>
        <w:rPr>
          <w:sz w:val="20"/>
          <w:szCs w:val="20"/>
          <w:color w:val="auto"/>
        </w:rPr>
      </w:pPr>
    </w:p>
    <w:tbl>
      <w:tblPr>
        <w:tblLayout w:type="fixed"/>
        <w:tblInd w:w="426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5300" w:type="dxa"/>
            <w:vAlign w:val="bottom"/>
          </w:tcPr>
          <w:p>
            <w:pPr>
              <w:ind w:left="160"/>
              <w:spacing w:after="0"/>
              <w:rPr>
                <w:sz w:val="20"/>
                <w:szCs w:val="20"/>
                <w:color w:val="auto"/>
              </w:rPr>
            </w:pPr>
            <w:r>
              <w:rPr>
                <w:rFonts w:ascii="Arial" w:cs="Arial" w:eastAsia="Arial" w:hAnsi="Arial"/>
                <w:sz w:val="16"/>
                <w:szCs w:val="16"/>
                <w:color w:val="auto"/>
              </w:rPr>
              <w:t>Thursday, April 26,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Arial" w:cs="Arial" w:eastAsia="Arial" w:hAnsi="Arial"/>
                <w:sz w:val="16"/>
                <w:szCs w:val="16"/>
                <w:color w:val="auto"/>
              </w:rPr>
              <w:t>Time:</w:t>
            </w:r>
          </w:p>
        </w:tc>
        <w:tc>
          <w:tcPr>
            <w:tcW w:w="5300" w:type="dxa"/>
            <w:vAlign w:val="bottom"/>
          </w:tcPr>
          <w:p>
            <w:pPr>
              <w:ind w:left="160"/>
              <w:spacing w:after="0"/>
              <w:rPr>
                <w:sz w:val="20"/>
                <w:szCs w:val="20"/>
                <w:color w:val="auto"/>
              </w:rPr>
            </w:pPr>
            <w:r>
              <w:rPr>
                <w:rFonts w:ascii="Arial" w:cs="Arial" w:eastAsia="Arial" w:hAnsi="Arial"/>
                <w:sz w:val="16"/>
                <w:szCs w:val="16"/>
                <w:color w:val="auto"/>
              </w:rPr>
              <w:t>11:00 A.M. (Eastern Time)</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Place:</w:t>
            </w:r>
          </w:p>
        </w:tc>
        <w:tc>
          <w:tcPr>
            <w:tcW w:w="5300" w:type="dxa"/>
            <w:vAlign w:val="bottom"/>
            <w:vMerge w:val="restart"/>
          </w:tcPr>
          <w:p>
            <w:pPr>
              <w:ind w:left="160"/>
              <w:spacing w:after="0"/>
              <w:rPr>
                <w:sz w:val="20"/>
                <w:szCs w:val="20"/>
                <w:color w:val="auto"/>
              </w:rPr>
            </w:pPr>
            <w:r>
              <w:rPr>
                <w:rFonts w:ascii="Arial" w:cs="Arial" w:eastAsia="Arial" w:hAnsi="Arial"/>
                <w:sz w:val="16"/>
                <w:szCs w:val="16"/>
                <w:color w:val="auto"/>
              </w:rPr>
              <w:t>DoubleTree - Bedford Glen, 44 Middlesex Turnpike, Bedford, MA 01730</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Board of Directors Recommends a Vote FOR all the nominees listed in proposal 1 and for proposals 2, 3, 4 and 5.</w:t>
      </w:r>
    </w:p>
    <w:p>
      <w:pPr>
        <w:ind w:left="880" w:hanging="305"/>
        <w:spacing w:after="0" w:line="185" w:lineRule="auto"/>
        <w:tabs>
          <w:tab w:leader="none" w:pos="880" w:val="left"/>
        </w:tabs>
        <w:numPr>
          <w:ilvl w:val="0"/>
          <w:numId w:val="8"/>
        </w:numPr>
        <w:rPr>
          <w:rFonts w:ascii="Arial" w:cs="Arial" w:eastAsia="Arial" w:hAnsi="Arial"/>
          <w:sz w:val="28"/>
          <w:szCs w:val="28"/>
          <w:color w:val="auto"/>
          <w:vertAlign w:val="superscript"/>
        </w:rPr>
      </w:pPr>
      <w:r>
        <w:rPr>
          <w:rFonts w:ascii="Arial" w:cs="Arial" w:eastAsia="Arial" w:hAnsi="Arial"/>
          <w:sz w:val="14"/>
          <w:szCs w:val="14"/>
          <w:color w:val="auto"/>
        </w:rPr>
        <w:t>To elect four Class III directors to serve until the 2021 Annual Meeting of Stockholders:</w:t>
      </w:r>
    </w:p>
    <w:p>
      <w:pPr>
        <w:spacing w:after="0" w:line="1" w:lineRule="exact"/>
        <w:rPr>
          <w:rFonts w:ascii="Arial" w:cs="Arial" w:eastAsia="Arial" w:hAnsi="Arial"/>
          <w:sz w:val="28"/>
          <w:szCs w:val="28"/>
          <w:color w:val="auto"/>
          <w:vertAlign w:val="superscript"/>
        </w:rPr>
      </w:pPr>
    </w:p>
    <w:p>
      <w:pPr>
        <w:ind w:left="880"/>
        <w:spacing w:after="0"/>
        <w:rPr>
          <w:rFonts w:ascii="Arial" w:cs="Arial" w:eastAsia="Arial" w:hAnsi="Arial"/>
          <w:sz w:val="28"/>
          <w:szCs w:val="28"/>
          <w:color w:val="auto"/>
          <w:vertAlign w:val="superscript"/>
        </w:rPr>
      </w:pPr>
      <w:r>
        <w:rPr>
          <w:rFonts w:ascii="Arial" w:cs="Arial" w:eastAsia="Arial" w:hAnsi="Arial"/>
          <w:sz w:val="15"/>
          <w:szCs w:val="15"/>
          <w:color w:val="auto"/>
        </w:rPr>
        <w:t>01 Brian Markison</w:t>
      </w:r>
    </w:p>
    <w:p>
      <w:pPr>
        <w:spacing w:after="0" w:line="16" w:lineRule="exact"/>
        <w:rPr>
          <w:rFonts w:ascii="Arial" w:cs="Arial" w:eastAsia="Arial" w:hAnsi="Arial"/>
          <w:sz w:val="28"/>
          <w:szCs w:val="28"/>
          <w:color w:val="auto"/>
          <w:vertAlign w:val="superscript"/>
        </w:rPr>
      </w:pPr>
    </w:p>
    <w:p>
      <w:pPr>
        <w:ind w:left="880"/>
        <w:spacing w:after="0"/>
        <w:rPr>
          <w:rFonts w:ascii="Arial" w:cs="Arial" w:eastAsia="Arial" w:hAnsi="Arial"/>
          <w:sz w:val="28"/>
          <w:szCs w:val="28"/>
          <w:color w:val="auto"/>
          <w:vertAlign w:val="superscript"/>
        </w:rPr>
      </w:pPr>
      <w:r>
        <w:rPr>
          <w:rFonts w:ascii="Arial" w:cs="Arial" w:eastAsia="Arial" w:hAnsi="Arial"/>
          <w:sz w:val="15"/>
          <w:szCs w:val="15"/>
          <w:color w:val="auto"/>
        </w:rPr>
        <w:t>02 Gary Pruden</w:t>
      </w:r>
    </w:p>
    <w:p>
      <w:pPr>
        <w:spacing w:after="0" w:line="16" w:lineRule="exact"/>
        <w:rPr>
          <w:rFonts w:ascii="Arial" w:cs="Arial" w:eastAsia="Arial" w:hAnsi="Arial"/>
          <w:sz w:val="28"/>
          <w:szCs w:val="28"/>
          <w:color w:val="auto"/>
          <w:vertAlign w:val="superscript"/>
        </w:rPr>
      </w:pPr>
    </w:p>
    <w:p>
      <w:pPr>
        <w:ind w:left="880"/>
        <w:spacing w:after="0"/>
        <w:rPr>
          <w:rFonts w:ascii="Arial" w:cs="Arial" w:eastAsia="Arial" w:hAnsi="Arial"/>
          <w:sz w:val="28"/>
          <w:szCs w:val="28"/>
          <w:color w:val="auto"/>
          <w:vertAlign w:val="superscript"/>
        </w:rPr>
      </w:pPr>
      <w:r>
        <w:rPr>
          <w:rFonts w:ascii="Arial" w:cs="Arial" w:eastAsia="Arial" w:hAnsi="Arial"/>
          <w:sz w:val="15"/>
          <w:szCs w:val="15"/>
          <w:color w:val="auto"/>
        </w:rPr>
        <w:t>03 Kenneth Pucel</w:t>
      </w:r>
    </w:p>
    <w:p>
      <w:pPr>
        <w:spacing w:after="0" w:line="16" w:lineRule="exact"/>
        <w:rPr>
          <w:rFonts w:ascii="Arial" w:cs="Arial" w:eastAsia="Arial" w:hAnsi="Arial"/>
          <w:sz w:val="28"/>
          <w:szCs w:val="28"/>
          <w:color w:val="auto"/>
          <w:vertAlign w:val="superscript"/>
        </w:rPr>
      </w:pPr>
    </w:p>
    <w:p>
      <w:pPr>
        <w:ind w:left="880"/>
        <w:spacing w:after="0"/>
        <w:rPr>
          <w:rFonts w:ascii="Arial" w:cs="Arial" w:eastAsia="Arial" w:hAnsi="Arial"/>
          <w:sz w:val="28"/>
          <w:szCs w:val="28"/>
          <w:color w:val="auto"/>
          <w:vertAlign w:val="superscript"/>
        </w:rPr>
      </w:pPr>
      <w:r>
        <w:rPr>
          <w:rFonts w:ascii="Arial" w:cs="Arial" w:eastAsia="Arial" w:hAnsi="Arial"/>
          <w:sz w:val="15"/>
          <w:szCs w:val="15"/>
          <w:color w:val="auto"/>
        </w:rPr>
        <w:t>04 Dr. James Thrall</w:t>
      </w:r>
    </w:p>
    <w:p>
      <w:pPr>
        <w:spacing w:after="0" w:line="124" w:lineRule="exact"/>
        <w:rPr>
          <w:rFonts w:ascii="Arial" w:cs="Arial" w:eastAsia="Arial" w:hAnsi="Arial"/>
          <w:sz w:val="28"/>
          <w:szCs w:val="28"/>
          <w:color w:val="auto"/>
          <w:vertAlign w:val="superscript"/>
        </w:rPr>
      </w:pPr>
    </w:p>
    <w:p>
      <w:pPr>
        <w:ind w:left="920" w:hanging="345"/>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our Charter to eliminate the supermajority voting requirement for amendments to certain provisions of our Charter.</w:t>
      </w:r>
    </w:p>
    <w:p>
      <w:pPr>
        <w:spacing w:after="0" w:line="97" w:lineRule="exact"/>
        <w:rPr>
          <w:rFonts w:ascii="Arial" w:cs="Arial" w:eastAsia="Arial" w:hAnsi="Arial"/>
          <w:sz w:val="15"/>
          <w:szCs w:val="15"/>
          <w:color w:val="auto"/>
        </w:rPr>
      </w:pPr>
    </w:p>
    <w:p>
      <w:pPr>
        <w:ind w:left="920" w:hanging="345"/>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our Charter to permit the holders of at least a majority of our common stock to call special meetings of the stockholders.</w:t>
      </w:r>
    </w:p>
    <w:p>
      <w:pPr>
        <w:spacing w:after="0" w:line="97" w:lineRule="exact"/>
        <w:rPr>
          <w:rFonts w:ascii="Arial" w:cs="Arial" w:eastAsia="Arial" w:hAnsi="Arial"/>
          <w:sz w:val="15"/>
          <w:szCs w:val="15"/>
          <w:color w:val="auto"/>
        </w:rPr>
      </w:pPr>
    </w:p>
    <w:p>
      <w:pPr>
        <w:ind w:left="920" w:hanging="345"/>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our Charter to delete various provisions related to our former sponsor that are no longer applicable.</w:t>
      </w:r>
    </w:p>
    <w:p>
      <w:pPr>
        <w:spacing w:after="0" w:line="97" w:lineRule="exact"/>
        <w:rPr>
          <w:rFonts w:ascii="Arial" w:cs="Arial" w:eastAsia="Arial" w:hAnsi="Arial"/>
          <w:sz w:val="15"/>
          <w:szCs w:val="15"/>
          <w:color w:val="auto"/>
        </w:rPr>
      </w:pPr>
    </w:p>
    <w:p>
      <w:pPr>
        <w:ind w:left="920" w:right="180" w:hanging="345"/>
        <w:spacing w:after="0" w:line="242" w:lineRule="auto"/>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Company’s independent registered public accounting firm for the fiscal year ending on December 31, 2018.</w:t>
      </w:r>
    </w:p>
    <w:p>
      <w:pPr>
        <w:spacing w:after="0" w:line="79" w:lineRule="exact"/>
        <w:rPr>
          <w:sz w:val="20"/>
          <w:szCs w:val="20"/>
          <w:color w:val="auto"/>
        </w:rPr>
      </w:pPr>
    </w:p>
    <w:p>
      <w:pPr>
        <w:jc w:val="both"/>
        <w:ind w:left="360"/>
        <w:spacing w:after="0" w:line="230" w:lineRule="auto"/>
        <w:rPr>
          <w:sz w:val="20"/>
          <w:szCs w:val="20"/>
          <w:color w:val="auto"/>
        </w:rPr>
      </w:pPr>
      <w:r>
        <w:rPr>
          <w:rFonts w:ascii="Arial" w:cs="Arial" w:eastAsia="Arial" w:hAnsi="Arial"/>
          <w:sz w:val="13"/>
          <w:szCs w:val="13"/>
          <w:b w:val="1"/>
          <w:bCs w:val="1"/>
          <w:color w:val="auto"/>
        </w:rPr>
        <w:t xml:space="preserve">Vote In-Person Instructions: </w:t>
      </w:r>
      <w:r>
        <w:rPr>
          <w:rFonts w:ascii="Arial" w:cs="Arial" w:eastAsia="Arial" w:hAnsi="Arial"/>
          <w:sz w:val="13"/>
          <w:szCs w:val="13"/>
          <w:color w:val="auto"/>
        </w:rPr>
        <w:t>While we encourage stockholders to vote by the means indicated above, a stockholder is entitled to vote in person at the Annual Meeting. If you wish to vote your</w:t>
      </w:r>
      <w:r>
        <w:rPr>
          <w:rFonts w:ascii="Arial" w:cs="Arial" w:eastAsia="Arial" w:hAnsi="Arial"/>
          <w:sz w:val="13"/>
          <w:szCs w:val="13"/>
          <w:b w:val="1"/>
          <w:bCs w:val="1"/>
          <w:color w:val="auto"/>
        </w:rPr>
        <w:t xml:space="preserve"> </w:t>
      </w:r>
      <w:r>
        <w:rPr>
          <w:rFonts w:ascii="Arial" w:cs="Arial" w:eastAsia="Arial" w:hAnsi="Arial"/>
          <w:sz w:val="13"/>
          <w:szCs w:val="13"/>
          <w:color w:val="auto"/>
        </w:rPr>
        <w:t>shares at the Annual Meeting, please register with the Inspector of Elections at the desk marked “Stockholder Registration” at the entrance to receive a ballot. Proper photo ID is required. Ballots should be returned to the Inspector of Elections in order to be counted. Additionally, a stockholder who has submitted a proxy before the meeting may revoke that proxy in person at the Annual Meeting.</w:t>
      </w:r>
    </w:p>
    <w:sectPr>
      <w:pgSz w:w="11900" w:h="16838" w:orient="portrait"/>
      <w:cols w:equalWidth="0" w:num="1">
        <w:col w:w="11420"/>
      </w:cols>
      <w:pgMar w:left="240" w:top="106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lvl w:ilvl="1">
      <w:lvlJc w:val="left"/>
      <w:lvlText w:val="%2."/>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2019-12-07T23:10:33Z</dcterms:created>
  <dcterms:modified xsi:type="dcterms:W3CDTF">2019-12-07T23:10:33Z</dcterms:modified>
</cp:coreProperties>
</file>