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8945d8k.htm"/>
      <w:bookmarkStart w:id="1" w:name="ksd8894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7,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001-36569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35-2318913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45" w:type="dxa"/>
        <w:jc w:val="left"/>
        <w:tblInd w:w="0" w:type="dxa"/>
        <w:tblLayout w:type="fixed"/>
        <w:tblCellMar>
          <w:top w:w="0" w:type="dxa"/>
          <w:left w:w="0" w:type="dxa"/>
          <w:bottom w:w="0" w:type="dxa"/>
          <w:right w:w="0" w:type="dxa"/>
        </w:tblCellMar>
      </w:tblPr>
      <w:tblGrid>
        <w:gridCol w:w="5045"/>
      </w:tblGrid>
      <w:tr>
        <w:trPr/>
        <w:tc>
          <w:tcPr>
            <w:tcW w:w="5045" w:type="dxa"/>
            <w:tcBorders/>
            <w:vAlign w:val="center"/>
          </w:tcPr>
          <w:p>
            <w:pPr>
              <w:pStyle w:val="TableContents"/>
              <w:bidi w:val="0"/>
              <w:spacing w:before="0" w:after="283"/>
              <w:jc w:val="left"/>
              <w:rPr>
                <w:sz w:val="4"/>
                <w:szCs w:val="4"/>
              </w:rPr>
            </w:pPr>
            <w:r>
              <w:rPr>
                <w:sz w:val="4"/>
                <w:szCs w:val="4"/>
              </w:rPr>
            </w:r>
          </w:p>
        </w:tc>
      </w:tr>
      <w:tr>
        <w:trPr/>
        <w:tc>
          <w:tcPr>
            <w:tcW w:w="5045" w:type="dxa"/>
            <w:tcBorders/>
            <w:vAlign w:val="center"/>
          </w:tcPr>
          <w:p>
            <w:pPr>
              <w:pStyle w:val="TableContents"/>
              <w:bidi w:val="0"/>
              <w:spacing w:before="0" w:after="283"/>
              <w:jc w:val="center"/>
              <w:rPr>
                <w:b/>
              </w:rPr>
            </w:pPr>
            <w:r>
              <w:rPr>
                <w:b/>
              </w:rPr>
              <w:t>201 Burlington Road, South Building</w:t>
            </w:r>
          </w:p>
        </w:tc>
      </w:tr>
      <w:tr>
        <w:trPr/>
        <w:tc>
          <w:tcPr>
            <w:tcW w:w="5045" w:type="dxa"/>
            <w:tcBorders/>
            <w:vAlign w:val="center"/>
          </w:tcPr>
          <w:p>
            <w:pPr>
              <w:pStyle w:val="TableContents"/>
              <w:bidi w:val="0"/>
              <w:spacing w:before="0" w:after="283"/>
              <w:jc w:val="center"/>
              <w:rPr>
                <w:b/>
              </w:rPr>
            </w:pPr>
            <w:r>
              <w:rPr>
                <w:b/>
              </w:rPr>
              <w:t>Bedford, Massachusetts 01730</w:t>
            </w:r>
          </w:p>
        </w:tc>
      </w:tr>
      <w:tr>
        <w:trPr/>
        <w:tc>
          <w:tcPr>
            <w:tcW w:w="5045" w:type="dxa"/>
            <w:tcBorders/>
            <w:vAlign w:val="center"/>
          </w:tcPr>
          <w:p>
            <w:pPr>
              <w:pStyle w:val="TableContents"/>
              <w:bidi w:val="0"/>
              <w:spacing w:before="0" w:after="283"/>
              <w:jc w:val="center"/>
              <w:rPr>
                <w:b/>
              </w:rPr>
            </w:pPr>
            <w:r>
              <w:rPr>
                <w:b/>
              </w:rPr>
              <w:t>(Address of principal executive offices) (Zip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(978) 671-8001</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3980"/>
        <w:gridCol w:w="60"/>
        <w:gridCol w:w="740"/>
        <w:gridCol w:w="60"/>
        <w:gridCol w:w="263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LNTH</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Lantheus Holdings, Inc. (the “Company”) announces that Amanda Morgan, Chief Commercial Officer, has informed the Company that, effective August 8, 2025, she is taking leave from the Company for personal reasons.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665"/>
        <w:gridCol w:w="60"/>
        <w:gridCol w:w="480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5" w:type="dxa"/>
            <w:tcBorders/>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b/>
              </w:rPr>
            </w:pPr>
            <w:r>
              <w:rPr>
                <w:b/>
              </w:rPr>
              <w:t>LANTHEUS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486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Niedzwiecki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Daniel Niedzwiecki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Chief Administrative Officer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11, 2025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411</Words>
  <Characters>2340</Characters>
  <CharactersWithSpaces>2732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