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Avista Capital Partners GP,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AVISTA CAPITAL HOLDINGS,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 EAST 55TH STREET, 18TH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Lantheus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LNTH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140" w:type="dxa"/>
            <w:vAlign w:val="bottom"/>
            <w:gridSpan w:val="3"/>
          </w:tcPr>
          <w:p>
            <w:pPr>
              <w:ind w:left="80"/>
              <w:spacing w:after="0"/>
              <w:rPr>
                <w:sz w:val="20"/>
                <w:szCs w:val="20"/>
                <w:color w:val="auto"/>
              </w:rPr>
            </w:pPr>
            <w:r>
              <w:rPr>
                <w:rFonts w:ascii="Arial" w:cs="Arial" w:eastAsia="Arial" w:hAnsi="Arial"/>
                <w:sz w:val="18"/>
                <w:szCs w:val="18"/>
                <w:color w:val="0000FF"/>
              </w:rPr>
              <w:t>11/21/2016</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0" w:type="dxa"/>
            <w:vAlign w:val="bottom"/>
          </w:tcPr>
          <w:p>
            <w:pPr>
              <w:spacing w:after="0"/>
              <w:rPr>
                <w:sz w:val="14"/>
                <w:szCs w:val="14"/>
                <w:color w:val="auto"/>
              </w:rPr>
            </w:pP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3"/>
            <w:vMerge w:val="restart"/>
          </w:tcPr>
          <w:p>
            <w:pPr>
              <w:ind w:left="720"/>
              <w:spacing w:after="0"/>
              <w:rPr>
                <w:sz w:val="20"/>
                <w:szCs w:val="20"/>
                <w:color w:val="auto"/>
              </w:rPr>
            </w:pPr>
            <w:r>
              <w:rPr>
                <w:rFonts w:ascii="Arial" w:cs="Arial" w:eastAsia="Arial" w:hAnsi="Arial"/>
                <w:sz w:val="18"/>
                <w:szCs w:val="18"/>
                <w:color w:val="0000FF"/>
              </w:rPr>
              <w:t>11/21/2016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9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1,424,399</w:t>
            </w: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w:t>
            </w:r>
          </w:p>
        </w:tc>
        <w:tc>
          <w:tcPr>
            <w:tcW w:w="1420" w:type="dxa"/>
            <w:vAlign w:val="bottom"/>
            <w:gridSpan w:val="3"/>
            <w:vMerge w:val="restart"/>
          </w:tcPr>
          <w:p>
            <w:pPr>
              <w:ind w:left="420"/>
              <w:spacing w:after="0"/>
              <w:rPr>
                <w:sz w:val="20"/>
                <w:szCs w:val="20"/>
                <w:color w:val="auto"/>
              </w:rPr>
            </w:pPr>
            <w:r>
              <w:rPr>
                <w:rFonts w:ascii="Arial" w:cs="Arial" w:eastAsia="Arial" w:hAnsi="Arial"/>
                <w:sz w:val="18"/>
                <w:szCs w:val="18"/>
                <w:color w:val="0000FF"/>
              </w:rPr>
              <w:t>8,713,673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3"/>
            <w:vMerge w:val="restart"/>
          </w:tcPr>
          <w:p>
            <w:pPr>
              <w:ind w:left="720"/>
              <w:spacing w:after="0"/>
              <w:rPr>
                <w:sz w:val="20"/>
                <w:szCs w:val="20"/>
                <w:color w:val="auto"/>
              </w:rPr>
            </w:pPr>
            <w:r>
              <w:rPr>
                <w:rFonts w:ascii="Arial" w:cs="Arial" w:eastAsia="Arial" w:hAnsi="Arial"/>
                <w:sz w:val="18"/>
                <w:szCs w:val="18"/>
                <w:color w:val="0000FF"/>
              </w:rPr>
              <w:t>11/21/2016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left="90"/>
              <w:spacing w:after="0"/>
              <w:rPr>
                <w:sz w:val="20"/>
                <w:szCs w:val="20"/>
                <w:color w:val="auto"/>
              </w:rPr>
            </w:pPr>
            <w:r>
              <w:rPr>
                <w:rFonts w:ascii="Arial" w:cs="Arial" w:eastAsia="Arial" w:hAnsi="Arial"/>
                <w:sz w:val="18"/>
                <w:szCs w:val="18"/>
                <w:color w:val="0000FF"/>
                <w:w w:val="89"/>
              </w:rPr>
              <w:t>375,601</w:t>
            </w:r>
          </w:p>
        </w:tc>
        <w:tc>
          <w:tcPr>
            <w:tcW w:w="120" w:type="dxa"/>
            <w:vAlign w:val="bottom"/>
          </w:tcPr>
          <w:p>
            <w:pPr>
              <w:spacing w:after="0"/>
              <w:rPr>
                <w:sz w:val="22"/>
                <w:szCs w:val="22"/>
                <w:color w:val="auto"/>
              </w:rPr>
            </w:pP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w:t>
            </w:r>
          </w:p>
        </w:tc>
        <w:tc>
          <w:tcPr>
            <w:tcW w:w="1420" w:type="dxa"/>
            <w:vAlign w:val="bottom"/>
            <w:gridSpan w:val="3"/>
            <w:vMerge w:val="restart"/>
          </w:tcPr>
          <w:p>
            <w:pPr>
              <w:ind w:left="420"/>
              <w:spacing w:after="0"/>
              <w:rPr>
                <w:sz w:val="20"/>
                <w:szCs w:val="20"/>
                <w:color w:val="auto"/>
              </w:rPr>
            </w:pPr>
            <w:r>
              <w:rPr>
                <w:rFonts w:ascii="Arial" w:cs="Arial" w:eastAsia="Arial" w:hAnsi="Arial"/>
                <w:sz w:val="18"/>
                <w:szCs w:val="18"/>
                <w:color w:val="0000FF"/>
              </w:rPr>
              <w:t>2,297,718</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3"/>
            <w:vMerge w:val="restart"/>
          </w:tcPr>
          <w:p>
            <w:pPr>
              <w:ind w:left="720"/>
              <w:spacing w:after="0"/>
              <w:rPr>
                <w:sz w:val="20"/>
                <w:szCs w:val="20"/>
                <w:color w:val="auto"/>
              </w:rPr>
            </w:pPr>
            <w:r>
              <w:rPr>
                <w:rFonts w:ascii="Arial" w:cs="Arial" w:eastAsia="Arial" w:hAnsi="Arial"/>
                <w:sz w:val="18"/>
                <w:szCs w:val="18"/>
                <w:color w:val="0000FF"/>
              </w:rPr>
              <w:t>11/21/2016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left="90"/>
              <w:spacing w:after="0"/>
              <w:rPr>
                <w:sz w:val="20"/>
                <w:szCs w:val="20"/>
                <w:color w:val="auto"/>
              </w:rPr>
            </w:pPr>
            <w:r>
              <w:rPr>
                <w:rFonts w:ascii="Arial" w:cs="Arial" w:eastAsia="Arial" w:hAnsi="Arial"/>
                <w:sz w:val="18"/>
                <w:szCs w:val="18"/>
                <w:color w:val="0000FF"/>
                <w:w w:val="89"/>
              </w:rPr>
              <w:t>700,000</w:t>
            </w:r>
          </w:p>
        </w:tc>
        <w:tc>
          <w:tcPr>
            <w:tcW w:w="120" w:type="dxa"/>
            <w:vAlign w:val="bottom"/>
          </w:tcPr>
          <w:p>
            <w:pPr>
              <w:spacing w:after="0"/>
              <w:rPr>
                <w:sz w:val="22"/>
                <w:szCs w:val="22"/>
                <w:color w:val="auto"/>
              </w:rPr>
            </w:pP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w:t>
            </w:r>
          </w:p>
        </w:tc>
        <w:tc>
          <w:tcPr>
            <w:tcW w:w="1420" w:type="dxa"/>
            <w:vAlign w:val="bottom"/>
            <w:gridSpan w:val="3"/>
            <w:vMerge w:val="restart"/>
          </w:tcPr>
          <w:p>
            <w:pPr>
              <w:ind w:left="420"/>
              <w:spacing w:after="0"/>
              <w:rPr>
                <w:sz w:val="20"/>
                <w:szCs w:val="20"/>
                <w:color w:val="auto"/>
              </w:rPr>
            </w:pPr>
            <w:r>
              <w:rPr>
                <w:rFonts w:ascii="Arial" w:cs="Arial" w:eastAsia="Arial" w:hAnsi="Arial"/>
                <w:sz w:val="18"/>
                <w:szCs w:val="18"/>
                <w:color w:val="0000FF"/>
              </w:rPr>
              <w:t>4,282,208</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80" w:type="dxa"/>
            <w:vAlign w:val="bottom"/>
            <w:gridSpan w:val="14"/>
          </w:tcPr>
          <w:p>
            <w:pPr>
              <w:jc w:val="right"/>
              <w:ind w:righ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Avista Capital Partners GP, LLC</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C/O AVISTA CAPITAL HOLDINGS,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65 EAST 55TH STREET, 18TH FLOOR</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w w:val="94"/>
              </w:rPr>
            </w:pPr>
            <w:hyperlink r:id="rId14">
              <w:r>
                <w:rPr>
                  <w:rFonts w:ascii="Arial" w:cs="Arial" w:eastAsia="Arial" w:hAnsi="Arial"/>
                  <w:sz w:val="22"/>
                  <w:szCs w:val="22"/>
                  <w:color w:val="0000EE"/>
                  <w:w w:val="94"/>
                </w:rPr>
                <w:t>Avista Capital Partners, L.P.</w:t>
              </w:r>
            </w:hyperlink>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rPr>
              <w:t>65 EAST 55TH STREET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18TH FLOOR</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597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359727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Avista Capital Partners (Offshore),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65 EAST 55TH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18TH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0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3"/>
          </w:tcPr>
          <w:p>
            <w:pPr>
              <w:spacing w:after="0" w:line="224" w:lineRule="exact"/>
              <w:rPr>
                <w:rFonts w:ascii="Arial" w:cs="Arial" w:eastAsia="Arial" w:hAnsi="Arial"/>
                <w:sz w:val="22"/>
                <w:szCs w:val="22"/>
                <w:color w:val="0000EE"/>
                <w:w w:val="97"/>
              </w:rPr>
            </w:pPr>
            <w:hyperlink r:id="rId17">
              <w:r>
                <w:rPr>
                  <w:rFonts w:ascii="Arial" w:cs="Arial" w:eastAsia="Arial" w:hAnsi="Arial"/>
                  <w:sz w:val="22"/>
                  <w:szCs w:val="22"/>
                  <w:color w:val="0000EE"/>
                  <w:w w:val="97"/>
                </w:rPr>
                <w:t>ACP-Lantern Co-Invest, LLC</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65 EAST 55TH STREET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18TH FLOOR</w:t>
            </w: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0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 held by Avista Capital Partners, L.P. ("ACP"). Avista Capital Partners GP, LLC ("ACP GP") is the general partner of ACP. By virtue of this relationship, ACP GP may be deemed to share voting and dispositive power with respect to the shares of common stock held by ACP. Each of ACP GP and ACP expressly disclaims beneficial ownership of any such securities, except to the extent of its pecuniary interest therein.</w:t>
      </w:r>
    </w:p>
    <w:p>
      <w:pPr>
        <w:spacing w:after="0" w:line="30" w:lineRule="exact"/>
        <w:rPr>
          <w:rFonts w:ascii="Arial" w:cs="Arial" w:eastAsia="Arial" w:hAnsi="Arial"/>
          <w:sz w:val="14"/>
          <w:szCs w:val="14"/>
          <w:color w:val="008000"/>
        </w:rPr>
      </w:pPr>
    </w:p>
    <w:p>
      <w:pPr>
        <w:ind w:left="20" w:right="6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 held by Avista Capital Partners (Offshore), L.P. ("ACP Offshore"). ACP GP is the general partner of ACP Offshore. By virtue of this relationship, ACP GP may be deemed to share voting and dispositive power with respect to the shares of common stock held by ACP Offshore. Each of ACP GP and ACP Offshore expressly disclaims beneficial ownership of any such securities, except to the extent of its pecuniary interest therein.</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 held by ACP-Lantern Co-Invest, LLC ("ACP Co-Invest"). ACP GP is the manager of ACP Co-Invest. By virtue of this relationship, ACP GP may be deemed to share voting and dispositive power with respect to the shares of common stock held by ACP Co-Invest. Each of ACP GP and ACP Co-Invest expressly disclaims beneficial ownership of any such securities, except to the extent of its pecuniary interest therein.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320"/>
          </w:cols>
          <w:pgMar w:left="260" w:top="113" w:right="319" w:bottom="1440" w:gutter="0" w:footer="0" w:header="0"/>
        </w:sectPr>
      </w:pP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Avista Capital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11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 By: /s/ Ben Silbert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92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09283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Avista Capital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8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827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By: Avista Capital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08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400810"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14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Ben Silbert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375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63754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Avista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25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(Offshore), L.P., By: Avista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24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249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Capital Partners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004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Partner, By: /s/ 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553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553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2971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ACP-Lantern Co-Invest,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620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By: Avista Capital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08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400810"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its Manager, By: /s/ 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87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4874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2971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124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0000FF"/>
        </w:rPr>
        <w:t>11/21/2016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11/21/2016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11/21/2016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11/21/2016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60" w:space="80"/>
            <w:col w:w="2180"/>
          </w:cols>
          <w:pgMar w:left="260" w:top="113" w:right="31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13"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2" Type="http://schemas.openxmlformats.org/officeDocument/2006/relationships/hyperlink" Target="http://www.sec.gov/cgi-bin/browse-edgar?action=getcompany&amp;CIK=0001374781" TargetMode="External"/><Relationship Id="rId13" Type="http://schemas.openxmlformats.org/officeDocument/2006/relationships/hyperlink" Target="http://www.sec.gov/cgi-bin/browse-edgar?action=getcompany&amp;CIK=0001521036" TargetMode="External"/><Relationship Id="rId14" Type="http://schemas.openxmlformats.org/officeDocument/2006/relationships/hyperlink" Target="http://www.sec.gov/cgi-bin/browse-edgar?action=getcompany&amp;CIK=0001374541" TargetMode="External"/><Relationship Id="rId16" Type="http://schemas.openxmlformats.org/officeDocument/2006/relationships/hyperlink" Target="http://www.sec.gov/cgi-bin/browse-edgar?action=getcompany&amp;CIK=0001374540" TargetMode="External"/><Relationship Id="rId17" Type="http://schemas.openxmlformats.org/officeDocument/2006/relationships/hyperlink" Target="http://www.sec.gov/cgi-bin/browse-edgar?action=getcompany&amp;CIK=00016136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2019-12-23T15:48:35Z</dcterms:created>
  <dcterms:modified xsi:type="dcterms:W3CDTF">2019-12-23T15:48:35Z</dcterms:modified>
</cp:coreProperties>
</file>