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9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Burgstahler David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08/29/2017</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06"/>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08/29/2017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17,769</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17.02</w:t>
            </w:r>
            <w:r>
              <w:rPr>
                <w:rFonts w:ascii="Arial" w:cs="Arial" w:eastAsia="Arial" w:hAnsi="Arial"/>
                <w:sz w:val="22"/>
                <w:szCs w:val="22"/>
                <w:color w:val="008000"/>
                <w:w w:val="90"/>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582,750</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08/29/2017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2,884</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17.02</w:t>
            </w:r>
            <w:r>
              <w:rPr>
                <w:rFonts w:ascii="Arial" w:cs="Arial" w:eastAsia="Arial" w:hAnsi="Arial"/>
                <w:sz w:val="22"/>
                <w:szCs w:val="22"/>
                <w:color w:val="008000"/>
                <w:w w:val="90"/>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94,595</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08/30/2017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49,927</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17.05</w:t>
            </w:r>
            <w:r>
              <w:rPr>
                <w:rFonts w:ascii="Arial" w:cs="Arial" w:eastAsia="Arial" w:hAnsi="Arial"/>
                <w:sz w:val="22"/>
                <w:szCs w:val="22"/>
                <w:color w:val="008000"/>
                <w:w w:val="90"/>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532,823</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08/30/2017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8,104</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17.05</w:t>
            </w:r>
            <w:r>
              <w:rPr>
                <w:rFonts w:ascii="Arial" w:cs="Arial" w:eastAsia="Arial" w:hAnsi="Arial"/>
                <w:sz w:val="22"/>
                <w:szCs w:val="22"/>
                <w:color w:val="008000"/>
                <w:w w:val="90"/>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86,491</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08/31/2017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ind w:left="4"/>
              <w:spacing w:after="0"/>
              <w:rPr>
                <w:sz w:val="20"/>
                <w:szCs w:val="20"/>
                <w:color w:val="auto"/>
              </w:rPr>
            </w:pPr>
            <w:r>
              <w:rPr>
                <w:rFonts w:ascii="Arial" w:cs="Arial" w:eastAsia="Arial" w:hAnsi="Arial"/>
                <w:sz w:val="18"/>
                <w:szCs w:val="18"/>
                <w:color w:val="0000FF"/>
                <w:w w:val="89"/>
              </w:rPr>
              <w:t>130,773</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17.36</w:t>
            </w:r>
            <w:r>
              <w:rPr>
                <w:rFonts w:ascii="Arial" w:cs="Arial" w:eastAsia="Arial" w:hAnsi="Arial"/>
                <w:sz w:val="22"/>
                <w:szCs w:val="22"/>
                <w:color w:val="008000"/>
                <w:w w:val="90"/>
                <w:vertAlign w:val="superscript"/>
              </w:rPr>
              <w:t>(5)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402,050</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jc w:val="center"/>
              <w:ind w:left="406"/>
              <w:spacing w:after="0"/>
              <w:rPr>
                <w:sz w:val="20"/>
                <w:szCs w:val="20"/>
                <w:color w:val="auto"/>
              </w:rPr>
            </w:pPr>
            <w:r>
              <w:rPr>
                <w:rFonts w:ascii="Arial" w:cs="Arial" w:eastAsia="Arial" w:hAnsi="Arial"/>
                <w:sz w:val="18"/>
                <w:szCs w:val="18"/>
                <w:color w:val="0000FF"/>
                <w:w w:val="88"/>
              </w:rPr>
              <w:t>08/31/2017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21,228</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17.36</w:t>
            </w:r>
            <w:r>
              <w:rPr>
                <w:rFonts w:ascii="Arial" w:cs="Arial" w:eastAsia="Arial" w:hAnsi="Arial"/>
                <w:sz w:val="22"/>
                <w:szCs w:val="22"/>
                <w:color w:val="008000"/>
                <w:w w:val="90"/>
                <w:vertAlign w:val="superscript"/>
              </w:rPr>
              <w:t>(5)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65,263</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13,248</w:t>
            </w:r>
          </w:p>
        </w:tc>
        <w:tc>
          <w:tcPr>
            <w:tcW w:w="940" w:type="dxa"/>
            <w:vAlign w:val="bottom"/>
            <w:tcBorders>
              <w:top w:val="single" w:sz="8" w:color="2C2C2C"/>
            </w:tcBorders>
          </w:tcPr>
          <w:p>
            <w:pPr>
              <w:jc w:val="center"/>
              <w:ind w:right="27"/>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7"/>
              <w:spacing w:after="0"/>
              <w:rPr>
                <w:sz w:val="20"/>
                <w:szCs w:val="20"/>
                <w:color w:val="auto"/>
              </w:rPr>
            </w:pPr>
            <w:r>
              <w:rPr>
                <w:rFonts w:ascii="Arial" w:cs="Arial" w:eastAsia="Arial" w:hAnsi="Arial"/>
                <w:sz w:val="18"/>
                <w:szCs w:val="18"/>
                <w:color w:val="0000FF"/>
                <w:w w:val="88"/>
              </w:rPr>
              <w:t>1,562</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$17.15,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footnotes (1), (4) and (5) to this Form 4.</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Mr. Burgstahler is a member of the investment committee of ACP GP. By virtue of these relationships, Mr. Burgstahler may be deemed to share voting and dispositive power with respect to the shares of common stock held by ACP.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Mr. Burgstahler is a member of the investment committee of ACP GP. By virtue of these relationships, Mr. Burgstahler may be deemed to share voting and dispositive power with respect to the shares of common stock held by ACP Offshore.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$17.175,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$17.525,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such shares except to the extent of his pecuniary interest therein.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By: /s/ David Burgstahler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08/31/2017</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79"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2019-12-23T15:53:14Z</dcterms:created>
  <dcterms:modified xsi:type="dcterms:W3CDTF">2019-12-23T15:53:14Z</dcterms:modified>
</cp:coreProperties>
</file>