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submitted confidentially with the Securities and Exchange Commission on April 28, 2014</w:t>
      </w:r>
    </w:p>
    <w:p>
      <w:pPr>
        <w:spacing w:after="0" w:line="2" w:lineRule="exact"/>
        <w:rPr>
          <w:sz w:val="24"/>
          <w:szCs w:val="24"/>
          <w:color w:val="auto"/>
        </w:rPr>
      </w:pPr>
    </w:p>
    <w:p>
      <w:pPr>
        <w:ind w:left="9780" w:right="400" w:hanging="8751"/>
        <w:spacing w:after="0" w:line="297"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3"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S-1</w:t>
      </w:r>
    </w:p>
    <w:p>
      <w:pPr>
        <w:jc w:val="center"/>
        <w:spacing w:after="0" w:line="223" w:lineRule="auto"/>
        <w:rPr>
          <w:sz w:val="20"/>
          <w:szCs w:val="20"/>
          <w:color w:val="auto"/>
        </w:rPr>
      </w:pPr>
      <w:r>
        <w:rPr>
          <w:rFonts w:ascii="Arial" w:cs="Arial" w:eastAsia="Arial" w:hAnsi="Arial"/>
          <w:sz w:val="14"/>
          <w:szCs w:val="14"/>
          <w:b w:val="1"/>
          <w:bCs w:val="1"/>
          <w:color w:val="auto"/>
        </w:rPr>
        <w:t>REGISTRATION STATEMENT UNDER THE</w:t>
      </w:r>
    </w:p>
    <w:p>
      <w:pPr>
        <w:jc w:val="center"/>
        <w:spacing w:after="0"/>
        <w:rPr>
          <w:sz w:val="20"/>
          <w:szCs w:val="20"/>
          <w:color w:val="auto"/>
        </w:rPr>
      </w:pPr>
      <w:r>
        <w:rPr>
          <w:rFonts w:ascii="Arial" w:cs="Arial" w:eastAsia="Arial" w:hAnsi="Arial"/>
          <w:sz w:val="14"/>
          <w:szCs w:val="14"/>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Lantheus MI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1"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800" w:type="dxa"/>
            <w:vAlign w:val="bottom"/>
          </w:tcPr>
          <w:p>
            <w:pPr>
              <w:jc w:val="center"/>
              <w:ind w:right="1072"/>
              <w:spacing w:after="0"/>
              <w:rPr>
                <w:sz w:val="20"/>
                <w:szCs w:val="20"/>
                <w:color w:val="auto"/>
              </w:rPr>
            </w:pPr>
            <w:r>
              <w:rPr>
                <w:rFonts w:ascii="Arial" w:cs="Arial" w:eastAsia="Arial" w:hAnsi="Arial"/>
                <w:sz w:val="14"/>
                <w:szCs w:val="14"/>
                <w:b w:val="1"/>
                <w:bCs w:val="1"/>
                <w:color w:val="auto"/>
                <w:w w:val="87"/>
              </w:rPr>
              <w:t>Delaware</w:t>
            </w:r>
          </w:p>
        </w:tc>
        <w:tc>
          <w:tcPr>
            <w:tcW w:w="39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2834</w:t>
            </w:r>
          </w:p>
        </w:tc>
        <w:tc>
          <w:tcPr>
            <w:tcW w:w="2240" w:type="dxa"/>
            <w:vAlign w:val="bottom"/>
          </w:tcPr>
          <w:p>
            <w:pPr>
              <w:jc w:val="center"/>
              <w:ind w:left="1172"/>
              <w:spacing w:after="0"/>
              <w:rPr>
                <w:sz w:val="20"/>
                <w:szCs w:val="20"/>
                <w:color w:val="auto"/>
              </w:rPr>
            </w:pPr>
            <w:r>
              <w:rPr>
                <w:rFonts w:ascii="Arial" w:cs="Arial" w:eastAsia="Arial" w:hAnsi="Arial"/>
                <w:sz w:val="14"/>
                <w:szCs w:val="14"/>
                <w:b w:val="1"/>
                <w:bCs w:val="1"/>
                <w:color w:val="auto"/>
                <w:w w:val="85"/>
              </w:rPr>
              <w:t>35-2318913</w:t>
            </w:r>
          </w:p>
        </w:tc>
      </w:tr>
      <w:tr>
        <w:trPr>
          <w:trHeight w:val="149"/>
        </w:trPr>
        <w:tc>
          <w:tcPr>
            <w:tcW w:w="2800" w:type="dxa"/>
            <w:vAlign w:val="bottom"/>
          </w:tcPr>
          <w:p>
            <w:pPr>
              <w:jc w:val="center"/>
              <w:ind w:right="1072"/>
              <w:spacing w:after="0" w:line="149" w:lineRule="exact"/>
              <w:rPr>
                <w:sz w:val="20"/>
                <w:szCs w:val="20"/>
                <w:color w:val="auto"/>
              </w:rPr>
            </w:pPr>
            <w:r>
              <w:rPr>
                <w:rFonts w:ascii="Arial" w:cs="Arial" w:eastAsia="Arial" w:hAnsi="Arial"/>
                <w:sz w:val="14"/>
                <w:szCs w:val="14"/>
                <w:color w:val="auto"/>
                <w:w w:val="88"/>
              </w:rPr>
              <w:t>(State or Other Jurisdiction of</w:t>
            </w:r>
          </w:p>
        </w:tc>
        <w:tc>
          <w:tcPr>
            <w:tcW w:w="39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(Primary Standard Industrial</w:t>
            </w:r>
          </w:p>
        </w:tc>
        <w:tc>
          <w:tcPr>
            <w:tcW w:w="2240" w:type="dxa"/>
            <w:vAlign w:val="bottom"/>
          </w:tcPr>
          <w:p>
            <w:pPr>
              <w:jc w:val="center"/>
              <w:ind w:left="1152"/>
              <w:spacing w:after="0" w:line="149" w:lineRule="exact"/>
              <w:rPr>
                <w:sz w:val="20"/>
                <w:szCs w:val="20"/>
                <w:color w:val="auto"/>
              </w:rPr>
            </w:pPr>
            <w:r>
              <w:rPr>
                <w:rFonts w:ascii="Arial" w:cs="Arial" w:eastAsia="Arial" w:hAnsi="Arial"/>
                <w:sz w:val="14"/>
                <w:szCs w:val="14"/>
                <w:color w:val="auto"/>
                <w:w w:val="90"/>
              </w:rPr>
              <w:t>(IRS Employer</w:t>
            </w:r>
          </w:p>
        </w:tc>
      </w:tr>
      <w:tr>
        <w:trPr>
          <w:trHeight w:val="172"/>
        </w:trPr>
        <w:tc>
          <w:tcPr>
            <w:tcW w:w="2800" w:type="dxa"/>
            <w:vAlign w:val="bottom"/>
          </w:tcPr>
          <w:p>
            <w:pPr>
              <w:jc w:val="center"/>
              <w:ind w:right="1072"/>
              <w:spacing w:after="0"/>
              <w:rPr>
                <w:sz w:val="20"/>
                <w:szCs w:val="20"/>
                <w:color w:val="auto"/>
              </w:rPr>
            </w:pPr>
            <w:r>
              <w:rPr>
                <w:rFonts w:ascii="Arial" w:cs="Arial" w:eastAsia="Arial" w:hAnsi="Arial"/>
                <w:sz w:val="14"/>
                <w:szCs w:val="14"/>
                <w:color w:val="auto"/>
                <w:w w:val="89"/>
              </w:rPr>
              <w:t>Incorporation or Organization)</w:t>
            </w:r>
          </w:p>
        </w:tc>
        <w:tc>
          <w:tcPr>
            <w:tcW w:w="3940" w:type="dxa"/>
            <w:vAlign w:val="bottom"/>
          </w:tcPr>
          <w:p>
            <w:pPr>
              <w:jc w:val="center"/>
              <w:ind w:right="12"/>
              <w:spacing w:after="0"/>
              <w:rPr>
                <w:sz w:val="20"/>
                <w:szCs w:val="20"/>
                <w:color w:val="auto"/>
              </w:rPr>
            </w:pPr>
            <w:r>
              <w:rPr>
                <w:rFonts w:ascii="Arial" w:cs="Arial" w:eastAsia="Arial" w:hAnsi="Arial"/>
                <w:sz w:val="14"/>
                <w:szCs w:val="14"/>
                <w:color w:val="auto"/>
                <w:w w:val="88"/>
              </w:rPr>
              <w:t>Classification Code Number)</w:t>
            </w:r>
          </w:p>
        </w:tc>
        <w:tc>
          <w:tcPr>
            <w:tcW w:w="2240" w:type="dxa"/>
            <w:vAlign w:val="bottom"/>
          </w:tcPr>
          <w:p>
            <w:pPr>
              <w:jc w:val="center"/>
              <w:ind w:left="1172"/>
              <w:spacing w:after="0"/>
              <w:rPr>
                <w:sz w:val="20"/>
                <w:szCs w:val="20"/>
                <w:color w:val="auto"/>
              </w:rPr>
            </w:pPr>
            <w:r>
              <w:rPr>
                <w:rFonts w:ascii="Arial" w:cs="Arial" w:eastAsia="Arial" w:hAnsi="Arial"/>
                <w:sz w:val="14"/>
                <w:szCs w:val="14"/>
                <w:color w:val="auto"/>
                <w:w w:val="91"/>
              </w:rPr>
              <w:t>Identification No.)</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331 Treble Cove Road</w:t>
      </w:r>
    </w:p>
    <w:p>
      <w:pPr>
        <w:jc w:val="center"/>
        <w:spacing w:after="0" w:line="223" w:lineRule="auto"/>
        <w:rPr>
          <w:sz w:val="20"/>
          <w:szCs w:val="20"/>
          <w:color w:val="auto"/>
        </w:rPr>
      </w:pPr>
      <w:r>
        <w:rPr>
          <w:rFonts w:ascii="Arial" w:cs="Arial" w:eastAsia="Arial" w:hAnsi="Arial"/>
          <w:sz w:val="14"/>
          <w:szCs w:val="14"/>
          <w:b w:val="1"/>
          <w:bCs w:val="1"/>
          <w:color w:val="auto"/>
        </w:rPr>
        <w:t>North Billerica, Massachusetts 01862</w:t>
      </w:r>
    </w:p>
    <w:p>
      <w:pPr>
        <w:jc w:val="center"/>
        <w:spacing w:after="0" w:line="222" w:lineRule="auto"/>
        <w:rPr>
          <w:sz w:val="20"/>
          <w:szCs w:val="20"/>
          <w:color w:val="auto"/>
        </w:rPr>
      </w:pPr>
      <w:r>
        <w:rPr>
          <w:rFonts w:ascii="Arial" w:cs="Arial" w:eastAsia="Arial" w:hAnsi="Arial"/>
          <w:sz w:val="14"/>
          <w:szCs w:val="14"/>
          <w:b w:val="1"/>
          <w:bCs w:val="1"/>
          <w:color w:val="auto"/>
        </w:rPr>
        <w:t>(978) 671-8001</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Michael P. Duffy</w:t>
      </w:r>
    </w:p>
    <w:p>
      <w:pPr>
        <w:jc w:val="center"/>
        <w:spacing w:after="0" w:line="223" w:lineRule="auto"/>
        <w:rPr>
          <w:sz w:val="20"/>
          <w:szCs w:val="20"/>
          <w:color w:val="auto"/>
        </w:rPr>
      </w:pPr>
      <w:r>
        <w:rPr>
          <w:rFonts w:ascii="Arial" w:cs="Arial" w:eastAsia="Arial" w:hAnsi="Arial"/>
          <w:sz w:val="14"/>
          <w:szCs w:val="14"/>
          <w:b w:val="1"/>
          <w:bCs w:val="1"/>
          <w:color w:val="auto"/>
        </w:rPr>
        <w:t>Vice President, 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331 Treble Cove Road, Building 600-2</w:t>
      </w:r>
    </w:p>
    <w:p>
      <w:pPr>
        <w:jc w:val="center"/>
        <w:spacing w:after="0" w:line="221" w:lineRule="auto"/>
        <w:rPr>
          <w:sz w:val="20"/>
          <w:szCs w:val="20"/>
          <w:color w:val="auto"/>
        </w:rPr>
      </w:pPr>
      <w:r>
        <w:rPr>
          <w:rFonts w:ascii="Arial" w:cs="Arial" w:eastAsia="Arial" w:hAnsi="Arial"/>
          <w:sz w:val="14"/>
          <w:szCs w:val="14"/>
          <w:b w:val="1"/>
          <w:bCs w:val="1"/>
          <w:color w:val="auto"/>
        </w:rPr>
        <w:t>North Billerica, Massachusetts 01862</w:t>
      </w:r>
    </w:p>
    <w:p>
      <w:pPr>
        <w:jc w:val="center"/>
        <w:spacing w:after="0" w:line="222" w:lineRule="auto"/>
        <w:rPr>
          <w:sz w:val="20"/>
          <w:szCs w:val="20"/>
          <w:color w:val="auto"/>
        </w:rPr>
      </w:pPr>
      <w:r>
        <w:rPr>
          <w:rFonts w:ascii="Arial" w:cs="Arial" w:eastAsia="Arial" w:hAnsi="Arial"/>
          <w:sz w:val="14"/>
          <w:szCs w:val="14"/>
          <w:b w:val="1"/>
          <w:bCs w:val="1"/>
          <w:color w:val="auto"/>
        </w:rPr>
        <w:t>(978) 671-8408</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77470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4" w:lineRule="exact"/>
        <w:rPr>
          <w:sz w:val="24"/>
          <w:szCs w:val="24"/>
          <w:color w:val="auto"/>
        </w:rPr>
      </w:pPr>
    </w:p>
    <w:tbl>
      <w:tblPr>
        <w:tblLayout w:type="fixed"/>
        <w:tblInd w:w="20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90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9"/>
              </w:rPr>
              <w:t>Heather L. Emmel, Esq.</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Marc D. Jaffe, Esq.</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9"/>
              </w:rPr>
              <w:t>Weil, Gotshal &amp; Manges LLP</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7"/>
              </w:rPr>
              <w:t>Ian D. Schuman, Esq.</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767 Fifth Avenue</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92"/>
              </w:rPr>
              <w:t>Latham &amp; Watkins LLP</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8"/>
              </w:rPr>
              <w:t>New York, New York 10153</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885 Third Avenue</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7"/>
              </w:rPr>
              <w:t>Telephone: (212) 310-8000</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New York, New York 10022</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8"/>
              </w:rPr>
              <w:t>Facsimile: (212) 310-8007</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7"/>
              </w:rPr>
              <w:t>Telephone: (212) 906-1200</w:t>
            </w:r>
          </w:p>
        </w:tc>
      </w:tr>
      <w:tr>
        <w:trPr>
          <w:trHeight w:val="174"/>
        </w:trPr>
        <w:tc>
          <w:tcPr>
            <w:tcW w:w="2560" w:type="dxa"/>
            <w:vAlign w:val="bottom"/>
          </w:tcPr>
          <w:p>
            <w:pPr>
              <w:spacing w:after="0"/>
              <w:rPr>
                <w:sz w:val="15"/>
                <w:szCs w:val="15"/>
                <w:color w:val="auto"/>
              </w:rPr>
            </w:pPr>
          </w:p>
        </w:tc>
        <w:tc>
          <w:tcPr>
            <w:tcW w:w="4900" w:type="dxa"/>
            <w:vAlign w:val="bottom"/>
          </w:tcPr>
          <w:p>
            <w:pPr>
              <w:jc w:val="center"/>
              <w:ind w:left="3232"/>
              <w:spacing w:after="0"/>
              <w:rPr>
                <w:sz w:val="20"/>
                <w:szCs w:val="20"/>
                <w:color w:val="auto"/>
              </w:rPr>
            </w:pPr>
            <w:r>
              <w:rPr>
                <w:rFonts w:ascii="Arial" w:cs="Arial" w:eastAsia="Arial" w:hAnsi="Arial"/>
                <w:sz w:val="14"/>
                <w:szCs w:val="14"/>
                <w:b w:val="1"/>
                <w:bCs w:val="1"/>
                <w:color w:val="auto"/>
                <w:w w:val="88"/>
              </w:rPr>
              <w:t>Facsimile: (212) 751-4864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94615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4"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57" w:lineRule="exact"/>
        <w:rPr>
          <w:sz w:val="24"/>
          <w:szCs w:val="24"/>
          <w:color w:val="auto"/>
        </w:rPr>
      </w:pPr>
    </w:p>
    <w:p>
      <w:pPr>
        <w:ind w:right="12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the Securities Act, check the following box. </w:t>
      </w:r>
      <w:r>
        <w:rPr>
          <w:rFonts w:ascii="MS PGothic" w:cs="MS PGothic" w:eastAsia="MS PGothic" w:hAnsi="MS PGothic"/>
          <w:sz w:val="14"/>
          <w:szCs w:val="14"/>
          <w:color w:val="auto"/>
        </w:rPr>
        <w:t>☐</w:t>
      </w:r>
    </w:p>
    <w:p>
      <w:pPr>
        <w:spacing w:after="0" w:line="31"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46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20" w:type="dxa"/>
            <w:vAlign w:val="bottom"/>
          </w:tcPr>
          <w:p>
            <w:pPr>
              <w:ind w:left="3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11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320" w:type="dxa"/>
            <w:vAlign w:val="bottom"/>
            <w:gridSpan w:val="2"/>
          </w:tcPr>
          <w:p>
            <w:pPr>
              <w:jc w:val="center"/>
              <w:ind w:left="832"/>
              <w:spacing w:after="0" w:line="161" w:lineRule="exact"/>
              <w:rPr>
                <w:sz w:val="20"/>
                <w:szCs w:val="20"/>
                <w:color w:val="auto"/>
              </w:rPr>
            </w:pPr>
            <w:r>
              <w:rPr>
                <w:rFonts w:ascii="Arial" w:cs="Arial" w:eastAsia="Arial" w:hAnsi="Arial"/>
                <w:sz w:val="14"/>
                <w:szCs w:val="14"/>
                <w:color w:val="auto"/>
                <w:w w:val="91"/>
              </w:rPr>
              <w:t xml:space="preserve">Non-accelerated filer </w:t>
            </w:r>
            <w:r>
              <w:rPr>
                <w:rFonts w:ascii="MS PGothic" w:cs="MS PGothic" w:eastAsia="MS PGothic" w:hAnsi="MS PGothic"/>
                <w:sz w:val="14"/>
                <w:szCs w:val="14"/>
                <w:color w:val="auto"/>
                <w:w w:val="91"/>
              </w:rPr>
              <w:t>☒</w:t>
            </w:r>
          </w:p>
        </w:tc>
        <w:tc>
          <w:tcPr>
            <w:tcW w:w="1240" w:type="dxa"/>
            <w:vAlign w:val="bottom"/>
          </w:tcPr>
          <w:p>
            <w:pPr>
              <w:spacing w:after="0"/>
              <w:rPr>
                <w:sz w:val="15"/>
                <w:szCs w:val="15"/>
                <w:color w:val="auto"/>
              </w:rPr>
            </w:pPr>
          </w:p>
        </w:tc>
        <w:tc>
          <w:tcPr>
            <w:tcW w:w="2040" w:type="dxa"/>
            <w:vAlign w:val="bottom"/>
            <w:gridSpan w:val="2"/>
          </w:tcPr>
          <w:p>
            <w:pPr>
              <w:jc w:val="right"/>
              <w:ind w:right="272"/>
              <w:spacing w:after="0" w:line="161" w:lineRule="exact"/>
              <w:rPr>
                <w:sz w:val="20"/>
                <w:szCs w:val="20"/>
                <w:color w:val="auto"/>
              </w:rPr>
            </w:pPr>
            <w:r>
              <w:rPr>
                <w:rFonts w:ascii="Arial" w:cs="Arial" w:eastAsia="Arial" w:hAnsi="Arial"/>
                <w:sz w:val="14"/>
                <w:szCs w:val="14"/>
                <w:color w:val="auto"/>
                <w:w w:val="90"/>
              </w:rPr>
              <w:t xml:space="preserve">Smaller reporting company </w:t>
            </w:r>
            <w:r>
              <w:rPr>
                <w:rFonts w:ascii="MS PGothic" w:cs="MS PGothic" w:eastAsia="MS PGothic" w:hAnsi="MS PGothic"/>
                <w:sz w:val="14"/>
                <w:szCs w:val="14"/>
                <w:color w:val="auto"/>
                <w:w w:val="90"/>
              </w:rPr>
              <w:t>☐</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20" w:type="dxa"/>
            <w:vAlign w:val="bottom"/>
            <w:gridSpan w:val="2"/>
          </w:tcPr>
          <w:p>
            <w:pPr>
              <w:jc w:val="center"/>
              <w:ind w:left="812"/>
              <w:spacing w:after="0" w:line="149" w:lineRule="exact"/>
              <w:rPr>
                <w:sz w:val="20"/>
                <w:szCs w:val="20"/>
                <w:color w:val="auto"/>
              </w:rPr>
            </w:pPr>
            <w:r>
              <w:rPr>
                <w:rFonts w:ascii="Arial" w:cs="Arial" w:eastAsia="Arial" w:hAnsi="Arial"/>
                <w:sz w:val="14"/>
                <w:szCs w:val="14"/>
                <w:color w:val="auto"/>
                <w:w w:val="88"/>
              </w:rPr>
              <w:t>(Do not check if a smaller</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20" w:type="dxa"/>
            <w:vAlign w:val="bottom"/>
            <w:gridSpan w:val="2"/>
          </w:tcPr>
          <w:p>
            <w:pPr>
              <w:jc w:val="center"/>
              <w:ind w:left="852"/>
              <w:spacing w:after="0"/>
              <w:rPr>
                <w:sz w:val="20"/>
                <w:szCs w:val="20"/>
                <w:color w:val="auto"/>
              </w:rPr>
            </w:pPr>
            <w:r>
              <w:rPr>
                <w:rFonts w:ascii="Arial" w:cs="Arial" w:eastAsia="Arial" w:hAnsi="Arial"/>
                <w:sz w:val="14"/>
                <w:szCs w:val="14"/>
                <w:color w:val="auto"/>
                <w:w w:val="89"/>
              </w:rPr>
              <w:t>reporting company)</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4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CALCULATION OF REGISTRATION FEE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5"/>
        </w:trPr>
        <w:tc>
          <w:tcPr>
            <w:tcW w:w="2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8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9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60" w:type="dxa"/>
            <w:vAlign w:val="bottom"/>
            <w:tcBorders>
              <w:right w:val="single" w:sz="8" w:color="auto"/>
            </w:tcBorders>
          </w:tcPr>
          <w:p>
            <w:pPr>
              <w:spacing w:after="0"/>
              <w:rPr>
                <w:sz w:val="12"/>
                <w:szCs w:val="12"/>
                <w:color w:val="auto"/>
              </w:rPr>
            </w:pPr>
          </w:p>
        </w:tc>
        <w:tc>
          <w:tcPr>
            <w:tcW w:w="17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jc w:val="center"/>
              <w:ind w:right="712"/>
              <w:spacing w:after="0"/>
              <w:rPr>
                <w:sz w:val="20"/>
                <w:szCs w:val="20"/>
                <w:color w:val="auto"/>
              </w:rPr>
            </w:pPr>
            <w:r>
              <w:rPr>
                <w:rFonts w:ascii="Arial" w:cs="Arial" w:eastAsia="Arial" w:hAnsi="Arial"/>
                <w:sz w:val="14"/>
                <w:szCs w:val="14"/>
                <w:b w:val="1"/>
                <w:bCs w:val="1"/>
                <w:color w:val="auto"/>
                <w:w w:val="85"/>
              </w:rPr>
              <w:t>Securities to be Registered</w:t>
            </w:r>
          </w:p>
        </w:tc>
        <w:tc>
          <w:tcPr>
            <w:tcW w:w="198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Price(1)</w:t>
            </w:r>
          </w:p>
        </w:tc>
        <w:tc>
          <w:tcPr>
            <w:tcW w:w="2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5"/>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9"/>
              </w:rPr>
              <w:t>Common Stock, par value $0.001 per share</w:t>
            </w:r>
          </w:p>
        </w:tc>
        <w:tc>
          <w:tcPr>
            <w:tcW w:w="3080" w:type="dxa"/>
            <w:vAlign w:val="bottom"/>
            <w:tcBorders>
              <w:bottom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tcBorders>
          </w:tcPr>
          <w:p>
            <w:pPr>
              <w:jc w:val="right"/>
              <w:ind w:right="952"/>
              <w:spacing w:after="0" w:line="142"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0" w:lineRule="exact"/>
        <w:rPr>
          <w:sz w:val="24"/>
          <w:szCs w:val="24"/>
          <w:color w:val="auto"/>
        </w:rPr>
      </w:pPr>
    </w:p>
    <w:p>
      <w:pPr>
        <w:ind w:left="340" w:right="26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promulgated under the Securities Act. Includes shares of common stock that may be purchased by the underwriters under their option to purchase additional shares of common stock, if any.</w:t>
      </w:r>
    </w:p>
    <w:p>
      <w:pPr>
        <w:spacing w:after="0" w:line="42" w:lineRule="exact"/>
        <w:rPr>
          <w:sz w:val="24"/>
          <w:szCs w:val="24"/>
          <w:color w:val="auto"/>
        </w:rPr>
      </w:pPr>
    </w:p>
    <w:p>
      <w:pPr>
        <w:ind w:right="12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3" w:lineRule="exact"/>
        <w:rPr>
          <w:sz w:val="24"/>
          <w:szCs w:val="24"/>
          <w:color w:val="auto"/>
        </w:rPr>
      </w:pPr>
    </w:p>
    <w:p>
      <w:pPr>
        <w:ind w:left="340" w:right="440" w:hanging="332"/>
        <w:spacing w:after="0" w:line="31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Lantheus MI Holdings, Inc. is the registrant filing this Registration Statement with the Securities and Exchange Commission. Prior to the closing of this offering, Lantheus MI Holdings, Inc. will be renamed Lantheus Holdings, Inc. The securities issued to investors in connection with this offering will be shares of common stock of 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the consummation of this offering, we were known as Lantheus MI Holdings, Inc. Upon consummation of this offering, we will enter into a corporate reorganization, whereby our direct, wholly-owned subsidiary, Lantheus MI Intermediate, Inc. will merge with and into us, and we will be renamed Lantheus Holdings, Inc. See “Prospectus Summary—Corporate Reorganization” in the accompanying prospectus.</w:t>
      </w:r>
    </w:p>
    <w:p>
      <w:pPr>
        <w:sectPr>
          <w:pgSz w:w="11900" w:h="16838" w:orient="portrait"/>
          <w:cols w:equalWidth="0" w:num="1">
            <w:col w:w="11000"/>
          </w:cols>
          <w:pgMar w:left="240" w:top="459" w:right="6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APRIL 28, 2014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118110</wp:posOffset>
            </wp:positionV>
            <wp:extent cx="171513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Shares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Lantheus Holdings, Inc.</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64" w:lineRule="exact"/>
        <w:rPr>
          <w:sz w:val="20"/>
          <w:szCs w:val="20"/>
          <w:color w:val="auto"/>
        </w:rPr>
      </w:pPr>
    </w:p>
    <w:p>
      <w:pPr>
        <w:ind w:left="5680" w:hanging="1223"/>
        <w:spacing w:after="0"/>
        <w:tabs>
          <w:tab w:leader="none" w:pos="5680" w:val="left"/>
        </w:tabs>
        <w:numPr>
          <w:ilvl w:val="0"/>
          <w:numId w:val="3"/>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is the initial public offering of our common stock. We are selling shares of our common stock. We currently expect the initial public offering price to be between $ and $ per share of common stock. No public market currently exists for our common stock.</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granted the underwriters an option to purchase up to</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additional shares of common stock solely to cover over-allotments.</w:t>
      </w:r>
    </w:p>
    <w:p>
      <w:pPr>
        <w:spacing w:after="0" w:line="192" w:lineRule="exact"/>
        <w:rPr>
          <w:sz w:val="20"/>
          <w:szCs w:val="20"/>
          <w:color w:val="auto"/>
        </w:rPr>
      </w:pPr>
    </w:p>
    <w:p>
      <w:pPr>
        <w:sectPr>
          <w:pgSz w:w="11900" w:h="16838" w:orient="portrait"/>
          <w:cols w:equalWidth="0" w:num="2">
            <w:col w:w="4780" w:space="620"/>
            <w:col w:w="60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We intend to apply to have our common stock listed on the New York Stock Exchange or the NASDAQ Global Market under the symbol “LANT.”</w:t>
      </w:r>
    </w:p>
    <w:p>
      <w:pPr>
        <w:spacing w:after="0" w:line="18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9"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a high degree of risks. See “</w:t>
      </w:r>
      <w:hyperlink w:anchor="page22">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17.</w:t>
      </w:r>
    </w:p>
    <w:p>
      <w:pPr>
        <w:spacing w:after="0" w:line="16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123190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Underwriting Discount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to Lantheus Holdings, Inc. (before expenses)</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2"/>
          </w:tcPr>
          <w:p>
            <w:pPr>
              <w:ind w:left="460"/>
              <w:spacing w:after="0"/>
              <w:rPr>
                <w:sz w:val="20"/>
                <w:szCs w:val="20"/>
                <w:color w:val="auto"/>
              </w:rPr>
            </w:pPr>
            <w:r>
              <w:rPr>
                <w:rFonts w:ascii="Arial" w:cs="Arial" w:eastAsia="Arial" w:hAnsi="Arial"/>
                <w:sz w:val="18"/>
                <w:szCs w:val="18"/>
                <w:color w:val="auto"/>
                <w:w w:val="95"/>
              </w:rPr>
              <w:t>The underwriters expect to deliver the shares to purchasers on or about</w:t>
            </w:r>
          </w:p>
        </w:tc>
        <w:tc>
          <w:tcPr>
            <w:tcW w:w="5300" w:type="dxa"/>
            <w:vAlign w:val="bottom"/>
            <w:gridSpan w:val="2"/>
          </w:tcPr>
          <w:p>
            <w:pPr>
              <w:ind w:left="460"/>
              <w:spacing w:after="0"/>
              <w:rPr>
                <w:sz w:val="20"/>
                <w:szCs w:val="20"/>
                <w:color w:val="auto"/>
              </w:rPr>
            </w:pPr>
            <w:r>
              <w:rPr>
                <w:rFonts w:ascii="Arial" w:cs="Arial" w:eastAsia="Arial" w:hAnsi="Arial"/>
                <w:sz w:val="18"/>
                <w:szCs w:val="18"/>
                <w:color w:val="auto"/>
                <w:w w:val="96"/>
              </w:rPr>
              <w:t>, 2014 through the book-entry facilities of The Depository Trust</w:t>
            </w: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1"/>
        </w:trPr>
        <w:tc>
          <w:tcPr>
            <w:tcW w:w="5900" w:type="dxa"/>
            <w:vAlign w:val="bottom"/>
            <w:gridSpan w:val="2"/>
          </w:tcPr>
          <w:p>
            <w:pPr>
              <w:spacing w:after="0"/>
              <w:rPr>
                <w:sz w:val="20"/>
                <w:szCs w:val="20"/>
                <w:color w:val="auto"/>
              </w:rPr>
            </w:pPr>
            <w:r>
              <w:rPr>
                <w:rFonts w:ascii="Arial" w:cs="Arial" w:eastAsia="Arial" w:hAnsi="Arial"/>
                <w:sz w:val="43"/>
                <w:szCs w:val="43"/>
                <w:b w:val="1"/>
                <w:bCs w:val="1"/>
                <w:color w:val="auto"/>
              </w:rPr>
              <w:t>Citigroup</w:t>
            </w:r>
          </w:p>
        </w:tc>
        <w:tc>
          <w:tcPr>
            <w:tcW w:w="680" w:type="dxa"/>
            <w:vAlign w:val="bottom"/>
          </w:tcPr>
          <w:p>
            <w:pPr>
              <w:spacing w:after="0"/>
              <w:rPr>
                <w:sz w:val="24"/>
                <w:szCs w:val="24"/>
                <w:color w:val="auto"/>
              </w:rPr>
            </w:pPr>
          </w:p>
        </w:tc>
        <w:tc>
          <w:tcPr>
            <w:tcW w:w="4620" w:type="dxa"/>
            <w:vAlign w:val="bottom"/>
          </w:tcPr>
          <w:p>
            <w:pPr>
              <w:ind w:left="3060"/>
              <w:spacing w:after="0"/>
              <w:rPr>
                <w:sz w:val="20"/>
                <w:szCs w:val="20"/>
                <w:color w:val="auto"/>
              </w:rPr>
            </w:pPr>
            <w:r>
              <w:rPr>
                <w:rFonts w:ascii="Arial" w:cs="Arial" w:eastAsia="Arial" w:hAnsi="Arial"/>
                <w:sz w:val="43"/>
                <w:szCs w:val="43"/>
                <w:b w:val="1"/>
                <w:bCs w:val="1"/>
                <w:color w:val="auto"/>
                <w:w w:val="87"/>
              </w:rPr>
              <w:t>Jefferies</w:t>
            </w:r>
          </w:p>
        </w:tc>
        <w:tc>
          <w:tcPr>
            <w:tcW w:w="0" w:type="dxa"/>
            <w:vAlign w:val="bottom"/>
          </w:tcPr>
          <w:p>
            <w:pPr>
              <w:spacing w:after="0"/>
              <w:rPr>
                <w:sz w:val="1"/>
                <w:szCs w:val="1"/>
                <w:color w:val="auto"/>
              </w:rPr>
            </w:pPr>
          </w:p>
        </w:tc>
      </w:tr>
      <w:tr>
        <w:trPr>
          <w:trHeight w:val="208"/>
        </w:trPr>
        <w:tc>
          <w:tcPr>
            <w:tcW w:w="4860" w:type="dxa"/>
            <w:vAlign w:val="bottom"/>
            <w:vMerge w:val="restart"/>
          </w:tcPr>
          <w:p>
            <w:pPr>
              <w:jc w:val="right"/>
              <w:ind w:right="3420"/>
              <w:spacing w:after="0"/>
              <w:rPr>
                <w:sz w:val="20"/>
                <w:szCs w:val="20"/>
                <w:color w:val="auto"/>
              </w:rPr>
            </w:pPr>
            <w:r>
              <w:rPr>
                <w:rFonts w:ascii="Arial" w:cs="Arial" w:eastAsia="Arial" w:hAnsi="Arial"/>
                <w:sz w:val="18"/>
                <w:szCs w:val="18"/>
                <w:color w:val="auto"/>
              </w:rPr>
              <w:t>, 2014</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gridSpan w:val="3"/>
          </w:tcPr>
          <w:p>
            <w:pPr>
              <w:ind w:left="7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26"/>
        </w:trPr>
        <w:tc>
          <w:tcPr>
            <w:tcW w:w="150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Summary</w:t>
              </w:r>
            </w:hyperlink>
          </w:p>
        </w:tc>
        <w:tc>
          <w:tcPr>
            <w:tcW w:w="7360" w:type="dxa"/>
            <w:vAlign w:val="bottom"/>
            <w:gridSpan w:val="1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796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Cautionary Note Regarding Forward-Looking Statements</w:t>
              </w:r>
            </w:hyperlink>
          </w:p>
        </w:tc>
        <w:tc>
          <w:tcPr>
            <w:tcW w:w="480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Dividend Policy</w:t>
              </w:r>
            </w:hyperlink>
          </w:p>
        </w:tc>
        <w:tc>
          <w:tcPr>
            <w:tcW w:w="770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Capitalization</w:t>
              </w:r>
            </w:hyperlink>
          </w:p>
        </w:tc>
        <w:tc>
          <w:tcPr>
            <w:tcW w:w="786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Dilution</w:t>
              </w:r>
            </w:hyperlink>
          </w:p>
        </w:tc>
        <w:tc>
          <w:tcPr>
            <w:tcW w:w="826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Non-GAAP Financial Measures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Selected Consolidated Financial Data</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90">
              <w:r>
                <w:rPr>
                  <w:rFonts w:ascii="Arial" w:cs="Arial" w:eastAsia="Arial" w:hAnsi="Arial"/>
                  <w:sz w:val="18"/>
                  <w:szCs w:val="18"/>
                  <w:color w:val="0000EE"/>
                  <w:w w:val="84"/>
                </w:rPr>
                <w:t>Business</w:t>
              </w:r>
            </w:hyperlink>
          </w:p>
        </w:tc>
        <w:tc>
          <w:tcPr>
            <w:tcW w:w="5660" w:type="dxa"/>
            <w:vAlign w:val="bottom"/>
            <w:tcBorders>
              <w:top w:val="single" w:sz="8" w:color="0000EE"/>
            </w:tcBorders>
            <w:gridSpan w:val="20"/>
          </w:tcPr>
          <w:p>
            <w:pPr>
              <w:spacing w:after="0"/>
              <w:rPr>
                <w:sz w:val="17"/>
                <w:szCs w:val="17"/>
                <w:color w:val="auto"/>
              </w:rPr>
            </w:pPr>
          </w:p>
        </w:tc>
        <w:tc>
          <w:tcPr>
            <w:tcW w:w="25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Management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Executive and Director Compensation</w:t>
              </w:r>
            </w:hyperlink>
          </w:p>
        </w:tc>
        <w:tc>
          <w:tcPr>
            <w:tcW w:w="616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386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137">
              <w:r>
                <w:rPr>
                  <w:rFonts w:ascii="Arial" w:cs="Arial" w:eastAsia="Arial" w:hAnsi="Arial"/>
                  <w:sz w:val="18"/>
                  <w:szCs w:val="18"/>
                  <w:color w:val="0000EE"/>
                  <w:w w:val="86"/>
                </w:rPr>
                <w:t>Certain Relationships and Related Person Transactions</w:t>
              </w:r>
            </w:hyperlink>
          </w:p>
        </w:tc>
        <w:tc>
          <w:tcPr>
            <w:tcW w:w="500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Principal Stockholders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Description of Capital Stock</w:t>
              </w:r>
            </w:hyperlink>
          </w:p>
        </w:tc>
        <w:tc>
          <w:tcPr>
            <w:tcW w:w="684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Description of Material Indebtedness</w:t>
              </w:r>
            </w:hyperlink>
          </w:p>
        </w:tc>
        <w:tc>
          <w:tcPr>
            <w:tcW w:w="622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Shares Eligible for Future Sale</w:t>
              </w:r>
            </w:hyperlink>
          </w:p>
        </w:tc>
        <w:tc>
          <w:tcPr>
            <w:tcW w:w="66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50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Material U.S. Federal Income Tax Considerations to Non-U.S. Holders</w:t>
              </w:r>
            </w:hyperlink>
          </w:p>
        </w:tc>
        <w:tc>
          <w:tcPr>
            <w:tcW w:w="386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Underwriting</w:t>
              </w:r>
            </w:hyperlink>
          </w:p>
        </w:tc>
        <w:tc>
          <w:tcPr>
            <w:tcW w:w="790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Legal Matters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Experts</w:t>
              </w:r>
            </w:hyperlink>
          </w:p>
        </w:tc>
        <w:tc>
          <w:tcPr>
            <w:tcW w:w="788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60">
              <w:r>
                <w:rPr>
                  <w:rFonts w:ascii="Arial" w:cs="Arial" w:eastAsia="Arial" w:hAnsi="Arial"/>
                  <w:sz w:val="18"/>
                  <w:szCs w:val="18"/>
                  <w:color w:val="0000EE"/>
                  <w:w w:val="91"/>
                </w:rPr>
                <w:t>Where You Can Find Additional Information</w:t>
              </w:r>
            </w:hyperlink>
          </w:p>
        </w:tc>
        <w:tc>
          <w:tcPr>
            <w:tcW w:w="56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Index to Consolidated Financial Statements</w:t>
              </w:r>
            </w:hyperlink>
          </w:p>
        </w:tc>
        <w:tc>
          <w:tcPr>
            <w:tcW w:w="57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We and the underwriters have not authorized any other person to provide you with any additional information or different information. If anyone provides you with additional, different or inconsistent information, you should not rely on it. We and the underwriters are not making an offer to sell these securities in any jurisdiction where the offer or sale is not permitted. You should assume that the information appearing in this prospectus is only accurate as of the date on the front cover of this prospectus. Our business, financial condition, results of operations and prospects may have changed since that date.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own or have the rights to various trademarks, service marks and trade names, including, among others, the following: DEFINITY</w:t>
      </w:r>
      <w:r>
        <w:rPr>
          <w:rFonts w:ascii="Arial" w:cs="Arial" w:eastAsia="Arial" w:hAnsi="Arial"/>
          <w:sz w:val="11"/>
          <w:szCs w:val="11"/>
          <w:color w:val="auto"/>
        </w:rPr>
        <w:t>®</w:t>
      </w:r>
      <w:r>
        <w:rPr>
          <w:rFonts w:ascii="Arial" w:cs="Arial" w:eastAsia="Arial" w:hAnsi="Arial"/>
          <w:sz w:val="18"/>
          <w:szCs w:val="18"/>
          <w:color w:val="auto"/>
        </w:rPr>
        <w:t>, TechneLite</w:t>
      </w:r>
      <w:r>
        <w:rPr>
          <w:rFonts w:ascii="Arial" w:cs="Arial" w:eastAsia="Arial" w:hAnsi="Arial"/>
          <w:sz w:val="11"/>
          <w:szCs w:val="11"/>
          <w:color w:val="auto"/>
        </w:rPr>
        <w:t>®</w:t>
      </w:r>
      <w:r>
        <w:rPr>
          <w:rFonts w:ascii="Arial" w:cs="Arial" w:eastAsia="Arial" w:hAnsi="Arial"/>
          <w:sz w:val="18"/>
          <w:szCs w:val="18"/>
          <w:color w:val="auto"/>
        </w:rPr>
        <w:t>, Cardiolite</w:t>
      </w:r>
      <w:r>
        <w:rPr>
          <w:rFonts w:ascii="Arial" w:cs="Arial" w:eastAsia="Arial" w:hAnsi="Arial"/>
          <w:sz w:val="11"/>
          <w:szCs w:val="11"/>
          <w:color w:val="auto"/>
        </w:rPr>
        <w:t>®</w:t>
      </w:r>
      <w:r>
        <w:rPr>
          <w:rFonts w:ascii="Arial" w:cs="Arial" w:eastAsia="Arial" w:hAnsi="Arial"/>
          <w:sz w:val="18"/>
          <w:szCs w:val="18"/>
          <w:color w:val="auto"/>
        </w:rPr>
        <w:t>, Neurolite</w:t>
      </w:r>
      <w:r>
        <w:rPr>
          <w:rFonts w:ascii="Arial" w:cs="Arial" w:eastAsia="Arial" w:hAnsi="Arial"/>
          <w:sz w:val="11"/>
          <w:szCs w:val="11"/>
          <w:color w:val="auto"/>
        </w:rPr>
        <w:t>®</w:t>
      </w:r>
      <w:r>
        <w:rPr>
          <w:rFonts w:ascii="Arial" w:cs="Arial" w:eastAsia="Arial" w:hAnsi="Arial"/>
          <w:sz w:val="18"/>
          <w:szCs w:val="18"/>
          <w:color w:val="auto"/>
        </w:rPr>
        <w:t>, Ablavar</w:t>
      </w:r>
      <w:r>
        <w:rPr>
          <w:rFonts w:ascii="Arial" w:cs="Arial" w:eastAsia="Arial" w:hAnsi="Arial"/>
          <w:sz w:val="11"/>
          <w:szCs w:val="11"/>
          <w:color w:val="auto"/>
        </w:rPr>
        <w:t>®</w:t>
      </w:r>
      <w:r>
        <w:rPr>
          <w:rFonts w:ascii="Arial" w:cs="Arial" w:eastAsia="Arial" w:hAnsi="Arial"/>
          <w:sz w:val="18"/>
          <w:szCs w:val="18"/>
          <w:color w:val="auto"/>
        </w:rPr>
        <w:t>, Vialmix</w:t>
      </w:r>
      <w:r>
        <w:rPr>
          <w:rFonts w:ascii="Arial" w:cs="Arial" w:eastAsia="Arial" w:hAnsi="Arial"/>
          <w:sz w:val="11"/>
          <w:szCs w:val="11"/>
          <w:color w:val="auto"/>
        </w:rPr>
        <w:t>®</w:t>
      </w:r>
      <w:r>
        <w:rPr>
          <w:rFonts w:ascii="Arial" w:cs="Arial" w:eastAsia="Arial" w:hAnsi="Arial"/>
          <w:sz w:val="18"/>
          <w:szCs w:val="18"/>
          <w:color w:val="auto"/>
        </w:rPr>
        <w:t>, Quadramet</w:t>
      </w:r>
      <w:r>
        <w:rPr>
          <w:rFonts w:ascii="Arial" w:cs="Arial" w:eastAsia="Arial" w:hAnsi="Arial"/>
          <w:sz w:val="11"/>
          <w:szCs w:val="11"/>
          <w:color w:val="auto"/>
        </w:rPr>
        <w:t>®</w:t>
      </w:r>
      <w:r>
        <w:rPr>
          <w:rFonts w:ascii="Arial" w:cs="Arial" w:eastAsia="Arial" w:hAnsi="Arial"/>
          <w:sz w:val="18"/>
          <w:szCs w:val="18"/>
          <w:color w:val="auto"/>
        </w:rPr>
        <w:t xml:space="preserve"> (United States only) and Lantheus Medical Imaging</w:t>
      </w:r>
      <w:r>
        <w:rPr>
          <w:rFonts w:ascii="Arial" w:cs="Arial" w:eastAsia="Arial" w:hAnsi="Arial"/>
          <w:sz w:val="11"/>
          <w:szCs w:val="11"/>
          <w:color w:val="auto"/>
        </w:rPr>
        <w:t>®</w:t>
      </w:r>
      <w:r>
        <w:rPr>
          <w:rFonts w:ascii="Arial" w:cs="Arial" w:eastAsia="Arial" w:hAnsi="Arial"/>
          <w:sz w:val="18"/>
          <w:szCs w:val="18"/>
          <w:color w:val="auto"/>
        </w:rPr>
        <w:t xml:space="preserve"> referred to in this prospectus. Solely for convenience, we refer to trademarks, service marks and trade names in this prospectus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service marks and trade names. Each trademark, trade name or service mark of any other company appearing in this prospectus, such as Myoview</w:t>
      </w:r>
      <w:r>
        <w:rPr>
          <w:rFonts w:ascii="Arial" w:cs="Arial" w:eastAsia="Arial" w:hAnsi="Arial"/>
          <w:sz w:val="11"/>
          <w:szCs w:val="11"/>
          <w:color w:val="auto"/>
        </w:rPr>
        <w:t>®</w:t>
      </w:r>
      <w:r>
        <w:rPr>
          <w:rFonts w:ascii="Arial" w:cs="Arial" w:eastAsia="Arial" w:hAnsi="Arial"/>
          <w:sz w:val="18"/>
          <w:szCs w:val="18"/>
          <w:color w:val="auto"/>
        </w:rPr>
        <w:t>, Optison</w:t>
      </w:r>
      <w:r>
        <w:rPr>
          <w:rFonts w:ascii="Arial" w:cs="Arial" w:eastAsia="Arial" w:hAnsi="Arial"/>
          <w:sz w:val="11"/>
          <w:szCs w:val="11"/>
          <w:color w:val="auto"/>
        </w:rPr>
        <w:t>®</w:t>
      </w:r>
      <w:r>
        <w:rPr>
          <w:rFonts w:ascii="Arial" w:cs="Arial" w:eastAsia="Arial" w:hAnsi="Arial"/>
          <w:sz w:val="18"/>
          <w:szCs w:val="18"/>
          <w:color w:val="auto"/>
        </w:rPr>
        <w:t xml:space="preserve"> and SonoVue</w:t>
      </w:r>
      <w:r>
        <w:rPr>
          <w:rFonts w:ascii="Arial" w:cs="Arial" w:eastAsia="Arial" w:hAnsi="Arial"/>
          <w:sz w:val="11"/>
          <w:szCs w:val="11"/>
          <w:color w:val="auto"/>
        </w:rPr>
        <w:t>®</w:t>
      </w:r>
      <w:r>
        <w:rPr>
          <w:rFonts w:ascii="Arial" w:cs="Arial" w:eastAsia="Arial" w:hAnsi="Arial"/>
          <w:sz w:val="18"/>
          <w:szCs w:val="18"/>
          <w:color w:val="auto"/>
        </w:rPr>
        <w:t xml:space="preserve"> are, to our knowledge, owned by that other company.</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Market data and industry information used throughout this prospectus is based on management’s knowledge of the industry and the good faith estimates of management. We also relied, to the extent available, upon management’s review of independent industry surveys and publications, including Global Industry Analysts, Inc., and other publicly available information prepared by a number of sources, including American Heart Association. All of the market data and industry information used in this prospectus involves a number of assumptions and limitations, and you are cautioned not to give undue weight to these estimates. While we believe the estimated market position, market opportunity and market size information included in this prospectus is reliable, that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Those and other factors could cause results to differ materially from those expressed in our estimates and beliefs and in the estimates prepared by independent parties.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This summary provides an overview of selected key information contained elsewhere in this prospectus and is qualified in its entirety by the more detailed information and consolidated financial statements included elsewhere in this prospectus. You should carefully review the entire prospectus, including the risk factors, the consolidated financial statements and the notes thereto, and the other documents to which this prospectus refers before making an investment decision. Unless the context requires otherwise: references to “Lantheus,” “the Company,” “our company,” “we,” “us” and “our” refer to Lantheus Holdings, Inc. and, as the context requires, its direct and indirect subsidiaries, after giving effect to the corporate reorganization described below; references to “Lantheus Holdings” refer to Lantheus MI Holdings, Inc., our predecessor; references to “Lantheus Intermediate” refer to Lantheus MI Intermediate, Inc.; and references to “LMI” refer to Lantheus Medical Imaging, Inc., our wholly-owned subsidiary.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peripheral vascular disease and other diseases. Clinicians use our imaging agents and products across a range of imaging modalities, including nuclear imaging, echocardiography and magnetic resonance imaging, or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We sell our products globally and have operations in the United States, Puerto Rico, Canada and Australia and distribution relationships in Europe, Asia Pacific and Latin America.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we recorded revenues, net income (loss) and Adjusted EBITDA Before Run-Rate Savings of $283.7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$(61.6) million and $47.4 million, respectively. Our products are sold in 30 countries and we generated approximately 25% of our revenues outside of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for the year ended December 31, 2013. For an explanation of Adjusted EBITDA and a reconciliation of Adjusted EBITDA and Adjusted EBITDA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Run-Rate Savings to net income (loss) as calculated under generally accepted accounting principles, or GAAP, see footnote (1) of “—Summary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and Other Data.”</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portfolio of 10 commercial products is diversified across a range of imaging modalities. Our imaging agents include radiopharmaceuticals and contrast agents.</w:t>
      </w:r>
    </w:p>
    <w:p>
      <w:pPr>
        <w:spacing w:after="0" w:line="3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Radiopharmaceuticals are radioactive pharmaceuticals used by clinicians to perform nuclear imaging procedures.</w:t>
      </w:r>
    </w:p>
    <w:p>
      <w:pPr>
        <w:spacing w:after="0" w:line="103" w:lineRule="exact"/>
        <w:rPr>
          <w:rFonts w:ascii="Arial" w:cs="Arial" w:eastAsia="Arial" w:hAnsi="Arial"/>
          <w:sz w:val="18"/>
          <w:szCs w:val="18"/>
          <w:color w:val="auto"/>
        </w:rPr>
      </w:pPr>
    </w:p>
    <w:p>
      <w:pPr>
        <w:ind w:left="1360" w:right="40" w:hanging="447"/>
        <w:spacing w:after="0" w:line="268" w:lineRule="auto"/>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certain circumstances, a radioactive element, or radioisotope, is attached to a chemical compound to form the radiopharmaceutical. This act of attaching the radioisotope to the chemical compound is called radiolabeling, or labeling.</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other circumstances, a radioisotope can be used as a radiopharmaceutical without attaching any additional chemical compound.</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1360" w:right="580" w:hanging="447"/>
        <w:spacing w:after="0" w:line="325" w:lineRule="auto"/>
        <w:tabs>
          <w:tab w:leader="none" w:pos="1360" w:val="left"/>
        </w:tabs>
        <w:numPr>
          <w:ilvl w:val="1"/>
          <w:numId w:val="5"/>
        </w:numPr>
        <w:rPr>
          <w:rFonts w:ascii="Arial" w:cs="Arial" w:eastAsia="Arial" w:hAnsi="Arial"/>
          <w:sz w:val="16"/>
          <w:szCs w:val="16"/>
          <w:color w:val="auto"/>
        </w:rPr>
      </w:pPr>
      <w:r>
        <w:rPr>
          <w:rFonts w:ascii="Arial" w:cs="Arial" w:eastAsia="Arial" w:hAnsi="Arial"/>
          <w:sz w:val="16"/>
          <w:szCs w:val="16"/>
          <w:color w:val="auto"/>
        </w:rPr>
        <w:t>Radioisotopes are most commonly manufactured in a nuclear research reactor, where a radioactive target is bombarded with subatomic particles, or on a cyclotron, which is a type of particle accelerator that also creates radioisotopes.</w:t>
      </w:r>
    </w:p>
    <w:p>
      <w:pPr>
        <w:spacing w:after="0" w:line="1" w:lineRule="exact"/>
        <w:rPr>
          <w:rFonts w:ascii="Arial" w:cs="Arial" w:eastAsia="Arial" w:hAnsi="Arial"/>
          <w:sz w:val="16"/>
          <w:szCs w:val="16"/>
          <w:color w:val="auto"/>
        </w:rPr>
      </w:pPr>
    </w:p>
    <w:p>
      <w:pPr>
        <w:ind w:left="1360" w:hanging="447"/>
        <w:spacing w:after="0" w:line="259"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Two common forms of nuclear imaging procedures are single-photon emission computed tomography, or SPECT, which measures gamma rays emitted by a SPECT radiopharmaceutical, and positron emission tomography, or PET, which measures positrons emitted by a PET radiopharmaceutical.</w:t>
      </w:r>
    </w:p>
    <w:p>
      <w:pPr>
        <w:spacing w:after="0" w:line="45"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Contrast agents are typically non-radiolabeled compounds that are used in diagnostic procedures such as cardiac ultrasounds, or echocardiograms, x-ray imaging or MRIs that are used by physicians to improve the clarity of the diagnostic image.</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an example of the procedures in which our products may be used, in the diagnosis of coronary artery disease, a typical diagnostic progression could include an electrocardiogram, followed by an echocardiogram (possibly using our agent DEFINITY), and then a nuclear myocardial perfusion imaging, or MPI, study using either SPECT or PET imaging (possibly using our technetium generator or one of our MPI agents). An MPI study assesses blood flow distribution to the heart. MPI is also used for diagnosing the presence of coronary artery disease. See “—Diagnostic Medical Imaging Overview.”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Products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leading commercial products are:</w:t>
      </w:r>
    </w:p>
    <w:p>
      <w:pPr>
        <w:spacing w:after="0" w:line="77" w:lineRule="exact"/>
        <w:rPr>
          <w:sz w:val="20"/>
          <w:szCs w:val="20"/>
          <w:color w:val="auto"/>
        </w:rPr>
      </w:pPr>
    </w:p>
    <w:p>
      <w:pPr>
        <w:ind w:left="660" w:right="60" w:hanging="206"/>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DEFINITY</w:t>
      </w:r>
      <w:r>
        <w:rPr>
          <w:rFonts w:ascii="Arial" w:cs="Arial" w:eastAsia="Arial" w:hAnsi="Arial"/>
          <w:sz w:val="18"/>
          <w:szCs w:val="18"/>
          <w:color w:val="auto"/>
        </w:rPr>
        <w:t>—the leading ultrasound contrast imaging agent used by cardiologists and sonographers during echocardiography exams based 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 Since its launch in 2001, DEFINITY has been used to image approximately five million patients.</w:t>
      </w:r>
    </w:p>
    <w:p>
      <w:pPr>
        <w:spacing w:after="0" w:line="48" w:lineRule="exact"/>
        <w:rPr>
          <w:sz w:val="20"/>
          <w:szCs w:val="20"/>
          <w:color w:val="auto"/>
        </w:rPr>
      </w:pPr>
    </w:p>
    <w:p>
      <w:pPr>
        <w:ind w:left="700" w:right="180"/>
        <w:spacing w:after="0" w:line="291" w:lineRule="auto"/>
        <w:rPr>
          <w:sz w:val="20"/>
          <w:szCs w:val="20"/>
          <w:color w:val="auto"/>
        </w:rPr>
      </w:pPr>
      <w:r>
        <w:rPr>
          <w:rFonts w:ascii="Arial" w:cs="Arial" w:eastAsia="Arial" w:hAnsi="Arial"/>
          <w:sz w:val="16"/>
          <w:szCs w:val="16"/>
          <w:color w:val="auto"/>
        </w:rPr>
        <w:t>Of the approximately 28 million echocardiograms performed each year in the United States, a third party source estimates that approximately 20%, or approximately six million echocardiograms, produce suboptimal images. We believe that in 2013, 3.1% of the total echocardiography procedures performed in the United States used a contrast agent (which translates to only approximately 15% of all echocardiograms considered suboptimal). Contrast penetration rates in echocardiography procedures have increased over the past six years and we believe will continue to increase in the future as clinicians continue to adopt the use of contrast as an important tool to assist their clinical decision-making. Of the echocardiograms in which a contrast agent is used, we estimate that DEFINITY had an approximate 75% share of these procedures in the United States in December 2013.</w:t>
      </w:r>
    </w:p>
    <w:p>
      <w:pPr>
        <w:spacing w:after="0" w:line="26"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We believe that DEFINITY has this leading position because of its preferred product functionality and composition derived from a synthetic rather than a blood-based product. As a result, we believe DEFINITY will be a key driver of the future growth of our business, both in the United States and in international markets as we continue to grow contrast penetration through sales and marketing efforts focused on the appropriate use of contrast and maintain our leading position. DEFINITY currently has patent or other exclusivity protection until 2021 in the United States and until 2019 outside of the United States.</w:t>
      </w:r>
    </w:p>
    <w:p>
      <w:pPr>
        <w:spacing w:after="0" w:line="48" w:lineRule="exact"/>
        <w:rPr>
          <w:sz w:val="20"/>
          <w:szCs w:val="20"/>
          <w:color w:val="auto"/>
        </w:rPr>
      </w:pPr>
    </w:p>
    <w:p>
      <w:pPr>
        <w:ind w:left="660" w:right="240" w:hanging="206"/>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TechneLite</w:t>
      </w:r>
      <w:r>
        <w:rPr>
          <w:rFonts w:ascii="Arial" w:cs="Arial" w:eastAsia="Arial" w:hAnsi="Arial"/>
          <w:sz w:val="18"/>
          <w:szCs w:val="18"/>
          <w:color w:val="auto"/>
        </w:rPr>
        <w:t>—a self-contained system, or generator, of technetium (Tc99m), a radioisotope with a six hour half-life, used by radiopharmacists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radiopharmacies to prepare patient-specific radiolabeled imaging agents. Technetium results from the radioactive decay of Molybdenum-99, or Moly, itself a radioisotope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55" w:lineRule="auto"/>
        <w:rPr>
          <w:sz w:val="20"/>
          <w:szCs w:val="20"/>
          <w:color w:val="auto"/>
        </w:rPr>
      </w:pPr>
      <w:r>
        <w:rPr>
          <w:rFonts w:ascii="Arial" w:cs="Arial" w:eastAsia="Arial" w:hAnsi="Arial"/>
          <w:sz w:val="18"/>
          <w:szCs w:val="18"/>
          <w:color w:val="auto"/>
        </w:rPr>
        <w:t>with a 66-hour half-life produced in nuclear research reactors around the world from enriched uranium. Because of the short half-lives of Moly and technetium, radiopharmacies typically replace TechneLite generators on a weekly basis pursuant to standing orders made with us. In addition, the supply chain for Moly is global and, because of the 66-hour half-life, we utilize just-in-time inventory management. We believe that we have the most balanced and diversified supply chain in the industry, buying Moly from four out of the five major global Moly processors, which are supplied by seven of the eight major global Moly reactors.</w:t>
      </w:r>
    </w:p>
    <w:p>
      <w:pPr>
        <w:spacing w:after="0" w:line="48" w:lineRule="exact"/>
        <w:rPr>
          <w:sz w:val="20"/>
          <w:szCs w:val="20"/>
          <w:color w:val="auto"/>
        </w:rPr>
      </w:pPr>
    </w:p>
    <w:p>
      <w:pPr>
        <w:ind w:left="700" w:right="220"/>
        <w:spacing w:after="0" w:line="255" w:lineRule="auto"/>
        <w:rPr>
          <w:sz w:val="20"/>
          <w:szCs w:val="20"/>
          <w:color w:val="auto"/>
        </w:rPr>
      </w:pPr>
      <w:r>
        <w:rPr>
          <w:rFonts w:ascii="Arial" w:cs="Arial" w:eastAsia="Arial" w:hAnsi="Arial"/>
          <w:sz w:val="18"/>
          <w:szCs w:val="18"/>
          <w:color w:val="auto"/>
        </w:rPr>
        <w:t>We are one of two principal technetium generator manufacturers in the United States and Canada. We are also the leading and most consistent U.S. manufacturer of low-enriched uranium, or LEU, technetium generators. Governments and policy-makers are encouraging the increased use of technetium generators made with Moly derived from LEU rather than highly-enriched uranium, or HEU, which may present greater proliferation and security risks. In the United States, nuclear imaging agent unit doses prepared with LEU technetium generators are reimbursed by Medicare in the hospital outpatient setting at a premium rate.</w:t>
      </w:r>
    </w:p>
    <w:p>
      <w:pPr>
        <w:spacing w:after="0" w:line="48" w:lineRule="exact"/>
        <w:rPr>
          <w:sz w:val="20"/>
          <w:szCs w:val="20"/>
          <w:color w:val="auto"/>
        </w:rPr>
      </w:pPr>
    </w:p>
    <w:p>
      <w:pPr>
        <w:ind w:left="700" w:right="60"/>
        <w:spacing w:after="0" w:line="298" w:lineRule="auto"/>
        <w:rPr>
          <w:sz w:val="20"/>
          <w:szCs w:val="20"/>
          <w:color w:val="auto"/>
        </w:rPr>
      </w:pPr>
      <w:r>
        <w:rPr>
          <w:rFonts w:ascii="Arial" w:cs="Arial" w:eastAsia="Arial" w:hAnsi="Arial"/>
          <w:sz w:val="16"/>
          <w:szCs w:val="16"/>
          <w:color w:val="auto"/>
        </w:rPr>
        <w:t>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We estimate that in 2013, we had an approximately 40% share of generator sales in the United States. Certain TechneLite generator components currently have U.S. patent protection until 2029.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Products</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market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10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Xenon Xe 133 Gas </w:t>
      </w:r>
      <w:r>
        <w:rPr>
          <w:rFonts w:ascii="Arial" w:cs="Arial" w:eastAsia="Arial" w:hAnsi="Arial"/>
          <w:sz w:val="18"/>
          <w:szCs w:val="18"/>
          <w:color w:val="auto"/>
        </w:rPr>
        <w:t>is a radiopharmaceutical gas that is inhaled and used to assess pulmonary function and also to image blood flow. Our Xenon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a third party as part of the Moly production process and packaged by us. We are currently the leading provider of Xenon in the United States.</w:t>
      </w:r>
    </w:p>
    <w:p>
      <w:pPr>
        <w:spacing w:after="0" w:line="45" w:lineRule="exact"/>
        <w:rPr>
          <w:rFonts w:ascii="Arial" w:cs="Arial" w:eastAsia="Arial" w:hAnsi="Arial"/>
          <w:sz w:val="18"/>
          <w:szCs w:val="18"/>
          <w:color w:val="auto"/>
        </w:rPr>
      </w:pPr>
    </w:p>
    <w:p>
      <w:pPr>
        <w:ind w:left="660" w:right="34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Cardiolite </w:t>
      </w:r>
      <w:r>
        <w:rPr>
          <w:rFonts w:ascii="Arial" w:cs="Arial" w:eastAsia="Arial" w:hAnsi="Arial"/>
          <w:sz w:val="18"/>
          <w:szCs w:val="18"/>
          <w:color w:val="auto"/>
        </w:rPr>
        <w:t>is an injectable, technetium-labeled imaging agent, also known by its generic name sestamibi, used with SPECT technology in MPI</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assess blood flow to the muscle of the heart. Since its launch in 1991, Cardiolite has become the best-selling radiopharmaceutical in history.</w:t>
      </w:r>
    </w:p>
    <w:p>
      <w:pPr>
        <w:spacing w:after="0" w:line="45"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technetium-labeled imaging agent used with SPECT technology to identify the area within the brain where blood flow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blocked or reduced due to stroke.</w:t>
      </w:r>
    </w:p>
    <w:p>
      <w:pPr>
        <w:spacing w:after="0" w:line="37"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and is manufactured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using cyclotron-based technology.</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Gallium Ga67 </w:t>
      </w:r>
      <w:r>
        <w:rPr>
          <w:rFonts w:ascii="Arial" w:cs="Arial" w:eastAsia="Arial" w:hAnsi="Arial"/>
          <w:sz w:val="18"/>
          <w:szCs w:val="18"/>
          <w:color w:val="auto"/>
        </w:rPr>
        <w:t>is an injectable radiopharmaceutical imaging agent used to detect certain infections and cancerous tumors, especially lymphoma, and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us using cyclotron technology.</w:t>
      </w:r>
    </w:p>
    <w:p>
      <w:pPr>
        <w:spacing w:after="0" w:line="37"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fludeoxyglucose F 18 injection, or FDG.</w:t>
      </w:r>
    </w:p>
    <w:p>
      <w:pPr>
        <w:spacing w:after="0" w:line="37"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Quadramet</w:t>
      </w:r>
      <w:r>
        <w:rPr>
          <w:rFonts w:ascii="Arial" w:cs="Arial" w:eastAsia="Arial" w:hAnsi="Arial"/>
          <w:sz w:val="18"/>
          <w:szCs w:val="18"/>
          <w:color w:val="auto"/>
        </w:rPr>
        <w:t>, our only therapeutic product, is an injectable radiopharmaceutical used to treat severe bone pain associated with certain kinds of cancer, and</w:t>
      </w:r>
      <w:r>
        <w:rPr>
          <w:rFonts w:ascii="Arial" w:cs="Arial" w:eastAsia="Arial" w:hAnsi="Arial"/>
          <w:sz w:val="18"/>
          <w:szCs w:val="18"/>
          <w:i w:val="1"/>
          <w:iCs w:val="1"/>
          <w:color w:val="auto"/>
        </w:rPr>
        <w:t xml:space="preserve"> </w:t>
      </w:r>
      <w:r>
        <w:rPr>
          <w:rFonts w:ascii="Arial" w:cs="Arial" w:eastAsia="Arial" w:hAnsi="Arial"/>
          <w:sz w:val="18"/>
          <w:szCs w:val="18"/>
          <w:color w:val="auto"/>
        </w:rPr>
        <w:t>is manufactured by us. Previously, we served as a contract manufacturer of Samarium 153, the radioisotope used to prepare Quadramet. Effective December 13, 2013, we purchased the rights to Quadramet in the United States and now serve as the direct manufacturer and supplier of Quadramet in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20" w:hanging="20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Ablavar </w:t>
      </w:r>
      <w:r>
        <w:rPr>
          <w:rFonts w:ascii="Arial" w:cs="Arial" w:eastAsia="Arial" w:hAnsi="Arial"/>
          <w:sz w:val="18"/>
          <w:szCs w:val="18"/>
          <w:color w:val="auto"/>
        </w:rPr>
        <w:t>is an injectable, gadolinium-based contrast agent used with magnetic resonance angiography, or MRA, a type of MRI scan, to image the iliac</w:t>
      </w:r>
      <w:r>
        <w:rPr>
          <w:rFonts w:ascii="Arial" w:cs="Arial" w:eastAsia="Arial" w:hAnsi="Arial"/>
          <w:sz w:val="18"/>
          <w:szCs w:val="18"/>
          <w:i w:val="1"/>
          <w:iCs w:val="1"/>
          <w:color w:val="auto"/>
        </w:rPr>
        <w:t xml:space="preserve"> </w:t>
      </w:r>
      <w:r>
        <w:rPr>
          <w:rFonts w:ascii="Arial" w:cs="Arial" w:eastAsia="Arial" w:hAnsi="Arial"/>
          <w:sz w:val="18"/>
          <w:szCs w:val="18"/>
          <w:color w:val="auto"/>
        </w:rPr>
        <w:t>arteries that start at the aorta and go through the pelvis into the legs, in order to diagnose narrowing or blockage of these arteries in known or suspected peripheral vascular disease.</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United States, we sell DEFINITY through our sales team of approximately 80 employees that call on healthcare providers in the echocardiography space, as well as group purchasing organizations and integrated delivery networks. Our radiopharmaceutical products are primarily distributed through over 350 radiopharmacies, the majority of which are controlled by or associated with Cardinal Health, or Cardinal, United Pharmacy Partners, or UPPI, GE Healthcare and Triad Isotopes, Inc., or Triad.</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Canada, Puerto Rico and Australia, we own nine radiopharmacies and sell our radiopharmaceuticals, as well as others, directly to end users. In Europe, Asia Pacific and Latin America, we utilize distributor relationships to market, sell and distribute our products. We have entered into a partnership with Double-Crane Pharmaceutical Company to complete confirmatory clinical trials necessary for Chinese regulatory approval and to distribute DEFINITY in China. We believe that international markets, particularly China, represent significant growth opportunities for our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Agents in Development</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established a portfolio of three internally-discovered imaging agents in clinical and preclinical development, each of which we believe could represent a large market opportunity and has the potential to significantly enhance current imaging modalities and fulfill unmet diagnostic medical imaging needs. We are currently seeking strategic partners to pursue the further development of each of these agents, which include:</w:t>
      </w:r>
    </w:p>
    <w:p>
      <w:pPr>
        <w:spacing w:after="0" w:line="12" w:lineRule="exact"/>
        <w:rPr>
          <w:sz w:val="20"/>
          <w:szCs w:val="20"/>
          <w:color w:val="auto"/>
        </w:rPr>
      </w:pPr>
    </w:p>
    <w:p>
      <w:pPr>
        <w:ind w:left="660" w:right="20" w:hanging="206"/>
        <w:spacing w:after="0" w:line="28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Flurpiridaz F 18—Myocardial Perfusion Imaging Agent</w:t>
      </w:r>
      <w:r>
        <w:rPr>
          <w:rFonts w:ascii="Arial" w:cs="Arial" w:eastAsia="Arial" w:hAnsi="Arial"/>
          <w:sz w:val="16"/>
          <w:szCs w:val="16"/>
          <w:color w:val="auto"/>
        </w:rPr>
        <w:t>. Flurpiridaz F 18 is a small molecule imaging agent radiolabeled with fluorine-18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for use in PET MPI to assess blood flow to the muscle of the heart. We believe that in comparison to SPECT MPI, the current standard of care, PET MPI with flurpiridaz F 18 potentially provides higher image quality, increased diagnostic certainty, more accurate risk stratification and reduced patient radiation exposure. This agent could be particularly useful in difficult to image heart patients, including women and obese patients. In the first of two planned Phase 3 studies, flurpiridaz F 18 outperformed SPECT in a highly statistically significant manner in the co-primary endpoint of sensitivity (that is, its ability to identify disease) and in the secondary endpoints of image quality and diagnostic certainty. However, flurpiridaz F 18 did not meet its other co-primary endpoint of non-inferiority for specificity (that is, its ability to rule out disease). Consequently, we have initiated discussions about potential next steps in the flurpiridaz F 18 development process with the U.S. Food and Drug Administration, or FDA. At the same time, we are seeking strategic partners to further develop and, if approved, commercialize flurpiridaz F 18. This compound currently has U.S. patent protection until 2028 before taking into account any potential regulatory extensions.</w:t>
      </w:r>
    </w:p>
    <w:p>
      <w:pPr>
        <w:spacing w:after="0" w:line="28" w:lineRule="exact"/>
        <w:rPr>
          <w:rFonts w:ascii="Arial" w:cs="Arial" w:eastAsia="Arial" w:hAnsi="Arial"/>
          <w:sz w:val="16"/>
          <w:szCs w:val="16"/>
          <w:color w:val="auto"/>
        </w:rPr>
      </w:pPr>
    </w:p>
    <w:p>
      <w:pPr>
        <w:ind w:left="660" w:right="180" w:hanging="206"/>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18F LMI 1195—Cardiac Neuronal Imaging Agent</w:t>
      </w:r>
      <w:r>
        <w:rPr>
          <w:rFonts w:ascii="Arial" w:cs="Arial" w:eastAsia="Arial" w:hAnsi="Arial"/>
          <w:sz w:val="18"/>
          <w:szCs w:val="18"/>
          <w:color w:val="auto"/>
        </w:rPr>
        <w:t>. 18F LMI 1195 is a small molecule imaging agent also radiolabeled with fluorine-18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assess cardiac sympathetic nerve function with PET imaging. We believe that PET imaging with 18F LMI 1195 could allow for better identification of patients at risk of heart failure progression and fatal arrhythmias, which would better inform pharmaceutical therapy or implantable device use. This compound has completed a Phase 1 study and currently has U.S. patent protection until 2030 before taking into account any potential regulatory extensions.</w:t>
      </w:r>
    </w:p>
    <w:p>
      <w:pPr>
        <w:spacing w:after="0" w:line="48" w:lineRule="exact"/>
        <w:rPr>
          <w:rFonts w:ascii="Arial" w:cs="Arial" w:eastAsia="Arial" w:hAnsi="Arial"/>
          <w:sz w:val="18"/>
          <w:szCs w:val="18"/>
          <w:color w:val="auto"/>
        </w:rPr>
      </w:pPr>
    </w:p>
    <w:p>
      <w:pPr>
        <w:jc w:val="both"/>
        <w:ind w:left="660" w:right="18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LMI 1174—Vascular Remodeling Imaging Agent</w:t>
      </w:r>
      <w:r>
        <w:rPr>
          <w:rFonts w:ascii="Arial" w:cs="Arial" w:eastAsia="Arial" w:hAnsi="Arial"/>
          <w:sz w:val="16"/>
          <w:szCs w:val="16"/>
          <w:color w:val="auto"/>
        </w:rPr>
        <w:t>. LMI 1174 is a gadolinium-based MRI agent designed to identify elastin in the arterial walls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atherosclerotic plaques. We believe that this agent could allow for the minimally-invasive assessment of plaque location, burden and composition and, accordingly, could be used to risk stratify patients for potential vascular events, including heart attack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320"/>
        <w:spacing w:after="0" w:line="268" w:lineRule="auto"/>
        <w:rPr>
          <w:sz w:val="20"/>
          <w:szCs w:val="20"/>
          <w:color w:val="auto"/>
        </w:rPr>
      </w:pPr>
      <w:r>
        <w:rPr>
          <w:rFonts w:ascii="Arial" w:cs="Arial" w:eastAsia="Arial" w:hAnsi="Arial"/>
          <w:sz w:val="18"/>
          <w:szCs w:val="18"/>
          <w:color w:val="auto"/>
        </w:rPr>
        <w:t>stroke. This compound is in late-stage preclinical studies and currently has U.S. patent protection until 2031 before taking into account any potential regulatory extensions.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Diagnostic Medical Imaging Overview</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Medical imaging is commonly employed as a critical aid in the diagnosis of numerous medical conditions, including heart disease and cancer. Selection of treatment options and monitoring of disease progression are also facilitated by the use of imaging procedures. Diagnostic medical imaging procedures often employ imaging agents to highlight specific tissues and organs, or physiological or pathological processes. Imaging agents can be used in a range of imaging modalities, including x-ray, computed tomography, or CT, ultrasound, SPECT, PET and MRI.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Nuclear Imaging</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Nuclear imaging uses small amounts of radioactive materials, called radiopharmaceuticals, taken by injection, inhalation, or orally to diagnose and treat disease. Radiopharmaceutical imaging agents consist of a radioisotope (such as technetium) paired with a molecular agent designed to localize in specific organs and tissues (such as Cardiolite and Neurolite). Clinicians utilize specialized cameras, either SPECT or PET, designed to capture radiation emitted by the agent. Computers are then used to generate detailed images of the area of interest. The resulting images provide clinicians with important information on both the structure and function of the internal organ or tissue.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Echocardiography</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Cardiac ultrasound, also known as echocardiography, is a non-invasive test that uses sound waves to create moving images of the heart. These images allow an assessment of the heart’s size, shape and function. For example, echocardiography can be used to detect areas of the heart that are not functioning properly due to poor blood supply, as seen in patients with coronary artery disease. Echocardiography is considered to be one of the safest, most reliable and cost-effective ways to diagnose certain cardiac abnormalities, and it is the most widely used technique for non-invasive imaging of the heart. Echocardiography may, however, yield images of limited diagnostic value in certain situations due to signal attenuation, such as in women and patients who are obese or have lung disease. It is estimated that suboptimal image quality occurs in approximately 20% of all patients undergoing echocardiography in the United States. Uninterpretable images may lead to misdiagnosis or the need for additional, often unnecessary and costly tests. Use of contrast agents in echocardiography increases sensitivity (the ability to identify the disease) and specificity (the ability to rule out the disease), particularly in hard to image patients, by improving the delineation of the edges of the heart wall. In 2013, according to a third party source, there were 28.3 million echocardiography procedures performed in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Imaging Agents Market</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believe that the demand for imaging agents in developed and developing markets will continue to be driven by an aging and increasingly obese population, and bolstered by long-term initiatives focused on improving healthcare and the supporting infrastructure, with a particular emphasis on expanding access to rural areas and small towns and cities. According to a research report dated February 2012 released by Global Industry Analysts, Inc., or GIA, the worldwide diagnostic imaging market is projected to reach $15.5 billion by 2015, reflecting a compound annual growth rate of 6.9% over the period from 2007 through 2015.</w:t>
      </w:r>
    </w:p>
    <w:p>
      <w:pPr>
        <w:spacing w:after="0" w:line="12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Heart disease is a key driver of growth in the market for diagnostic medical imaging procedures and agents. Heart disease is currently the leading cause of death for both women and men in the United States and worldwide. According to the American Heart Association, or AHA, an estimated 83.6 million American adults,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greater than one in three, have one or more types of heart disease. Heart disease refers to a number of disease states including coronary artery disease and structural defects of the heart. Coronary artery disease is the most common form of heart disease, with an estimated prevalence of approximately 6% in the United States. Many of our imaging agents and products are used in connection with diagnostic imaging for heart disease.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Competitive Strengths</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believe that our business model provides us with a strong platform to reach our strategic goal of providing cost-effective, clinically-beneficial diagnostic medical imaging agents and products that enable clinicians either to identify and characterize, or rule out, disease and consequently improve patient care. We believe our competitive strengths include:</w:t>
      </w:r>
    </w:p>
    <w:p>
      <w:pPr>
        <w:spacing w:after="0" w:line="46" w:lineRule="exact"/>
        <w:rPr>
          <w:sz w:val="20"/>
          <w:szCs w:val="20"/>
          <w:color w:val="auto"/>
        </w:rPr>
      </w:pPr>
    </w:p>
    <w:p>
      <w:pPr>
        <w:ind w:left="660" w:right="180" w:hanging="206"/>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Leading Position Across a Range of Imaging Modalities</w:t>
      </w:r>
      <w:r>
        <w:rPr>
          <w:rFonts w:ascii="Arial" w:cs="Arial" w:eastAsia="Arial" w:hAnsi="Arial"/>
          <w:sz w:val="16"/>
          <w:szCs w:val="16"/>
          <w:color w:val="auto"/>
        </w:rPr>
        <w:t>. We are a global leader in the diagnostic medical imaging industry with over 50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developing and bringing to market differentiated products critical to healthcare decision making, including radiopharmaceutical imaging agents, contrast imaging agents and other products. Our key brands include: DEFINITY, the leading echocardiology contrast imaging agent based on revenue and usage; and TechneLite, our technetium-based generator used by radiopharmacies to radiolabel technetium-based imaging agents, such as our own SPECT products Cardiolite and Neurolite, that are used in combination with nuclear imaging technologies. We also sell a broad portfolio of other commercial agents and products, diversified across a range of imaging modalities.</w:t>
      </w:r>
    </w:p>
    <w:p>
      <w:pPr>
        <w:spacing w:after="0" w:line="25" w:lineRule="exact"/>
        <w:rPr>
          <w:rFonts w:ascii="Arial" w:cs="Arial" w:eastAsia="Arial" w:hAnsi="Arial"/>
          <w:sz w:val="16"/>
          <w:szCs w:val="16"/>
          <w:color w:val="auto"/>
        </w:rPr>
      </w:pPr>
    </w:p>
    <w:p>
      <w:pPr>
        <w:ind w:left="660" w:right="40" w:hanging="206"/>
        <w:spacing w:after="0" w:line="29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DEFINITY is a Uniquely-Positioned Growth Opportunity in the United States and Globally</w:t>
      </w:r>
      <w:r>
        <w:rPr>
          <w:rFonts w:ascii="Arial" w:cs="Arial" w:eastAsia="Arial" w:hAnsi="Arial"/>
          <w:sz w:val="16"/>
          <w:szCs w:val="16"/>
          <w:color w:val="auto"/>
        </w:rPr>
        <w:t>. We believe that DEFINITY will be a key driver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growth of our business, both in the United States and globally. In echocardiography procedures in which a contrast agent is used, we estimate that DEFINITY had approximately 75% share of these procedures in the United States in December 2013. We are actively pursuing international growth opportunities, such as our partnership with Double-Crane Pharmaceutical Company in China. If the regulatory and required clinical trial processes in China are both timely and successful, we currently estimate the commercialization of DEFINITY in China could begin by 2017. We are also pursuing additional product registrations internationally to maximize the global potential of DEFINITY. We also believe our intellectual property for DEFINITY currently gives us patent or other market exclusivity protection in the United States until 2021 and outside of the United States until 2019.</w:t>
      </w:r>
    </w:p>
    <w:p>
      <w:pPr>
        <w:spacing w:after="0" w:line="23" w:lineRule="exact"/>
        <w:rPr>
          <w:rFonts w:ascii="Arial" w:cs="Arial" w:eastAsia="Arial" w:hAnsi="Arial"/>
          <w:sz w:val="16"/>
          <w:szCs w:val="16"/>
          <w:color w:val="auto"/>
        </w:rPr>
      </w:pPr>
    </w:p>
    <w:p>
      <w:pPr>
        <w:ind w:left="660" w:right="160" w:hanging="206"/>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Complex Manufacturing and Regulatory Capabilities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expertise in the design, development and validation of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systems and processes that many of our radiopharmaceutical products require due to their limited half-lives, as well as our strong track record of on-time delivery and reputation as a high-quality, reliable provider, has enabled us to become a leader in the diagnostic medical imaging industry.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w:t>
      </w:r>
    </w:p>
    <w:p>
      <w:pPr>
        <w:spacing w:after="0" w:line="49" w:lineRule="exact"/>
        <w:rPr>
          <w:rFonts w:ascii="Arial" w:cs="Arial" w:eastAsia="Arial" w:hAnsi="Arial"/>
          <w:sz w:val="18"/>
          <w:szCs w:val="18"/>
          <w:color w:val="auto"/>
        </w:rPr>
      </w:pPr>
    </w:p>
    <w:p>
      <w:pPr>
        <w:ind w:left="660" w:right="40" w:hanging="206"/>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Supply Chain. </w:t>
      </w:r>
      <w:r>
        <w:rPr>
          <w:rFonts w:ascii="Arial" w:cs="Arial" w:eastAsia="Arial" w:hAnsi="Arial"/>
          <w:sz w:val="18"/>
          <w:szCs w:val="18"/>
          <w:color w:val="auto"/>
        </w:rPr>
        <w:t>We are establishing a strong and diversified supply chain for our key products. For TechneLite, we have a strong, reliable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durable position in the technetium generator market because of our balanced and diversified Moly supply and our favorable access to Moly derived from LEU. We believe we have the most balanced and diversified Moly supply chain in the industry. We receive finished Moly from four of the five main processing sites in the world. These processing sites are, in turn, supplied by seven of the eight main Moly-producing reactors in the world. We are also the leading and most consistent manufacturer of LEU generators in North America, and we believe that in 2014, up to 40% of our Moly supply will be derived from LEU. For DEFINITY, we have already successfully completed a technology transfer from Ben Venue Laboratories, or BVL, our former manufacturing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40"/>
        <w:spacing w:after="0" w:line="268" w:lineRule="auto"/>
        <w:rPr>
          <w:sz w:val="20"/>
          <w:szCs w:val="20"/>
          <w:color w:val="auto"/>
        </w:rPr>
      </w:pPr>
      <w:r>
        <w:rPr>
          <w:rFonts w:ascii="Arial" w:cs="Arial" w:eastAsia="Arial" w:hAnsi="Arial"/>
          <w:sz w:val="18"/>
          <w:szCs w:val="18"/>
          <w:color w:val="auto"/>
        </w:rPr>
        <w:t>partner, to Jubilant HollisterStier, or JHS. We are also now in the process of our technology transfer activities with Phamalucence, an additional manufacturing partner for DEFINITY.</w:t>
      </w:r>
    </w:p>
    <w:p>
      <w:pPr>
        <w:spacing w:after="0" w:line="37" w:lineRule="exact"/>
        <w:rPr>
          <w:sz w:val="20"/>
          <w:szCs w:val="20"/>
          <w:color w:val="auto"/>
        </w:rPr>
      </w:pPr>
    </w:p>
    <w:p>
      <w:pPr>
        <w:ind w:left="660" w:right="40" w:hanging="206"/>
        <w:spacing w:after="0" w:line="29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Established Global Distribution Network and Experienced Direct Sales Force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established global distribution network including long-term relationships with Cardinal and UPPI, who together distributed an estimated 71% of SPECT doses sold by radiopharmacies in the United States in 2013. In the United States, our radiopharmaceuticals (including technetium generators) are primarily distributed through radiopharmacies, the majority of which are controlled by or associated with Cardinal, UPPI, GE Healthcare and Triad. In the United States, we sell DEFINITY through our sales team of approximately 80 employees, which we believe is the largest dedicated sales force in the industry serving the echocardiography market. The majority of our sales team has over a decade of experience selling diagnostic imaging agents. In Canada, Puerto Rico and Australia, we own radiopharmacies and sell directly to end users. In Europe, Asia Pacific and Latin America, we utilize distributor relationships to market, sell and distribute our products.</w:t>
      </w:r>
    </w:p>
    <w:p>
      <w:pPr>
        <w:spacing w:after="0" w:line="23" w:lineRule="exact"/>
        <w:rPr>
          <w:rFonts w:ascii="Arial" w:cs="Arial" w:eastAsia="Arial" w:hAnsi="Arial"/>
          <w:sz w:val="16"/>
          <w:szCs w:val="16"/>
          <w:color w:val="auto"/>
        </w:rPr>
      </w:pPr>
    </w:p>
    <w:p>
      <w:pPr>
        <w:ind w:left="660" w:right="40" w:hanging="206"/>
        <w:spacing w:after="0" w:line="347"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Strategic Activities. </w:t>
      </w:r>
      <w:r>
        <w:rPr>
          <w:rFonts w:ascii="Arial" w:cs="Arial" w:eastAsia="Arial" w:hAnsi="Arial"/>
          <w:sz w:val="15"/>
          <w:szCs w:val="15"/>
          <w:color w:val="auto"/>
        </w:rPr>
        <w:t>As a leader in the diagnostic medical imaging space with a portfolio of commercial products and agents in development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a range of imaging modalities, we routinely evaluate opportunities to strengthen our other product offerings and leverage our core competencies.</w:t>
      </w:r>
    </w:p>
    <w:p>
      <w:pPr>
        <w:ind w:left="660" w:hanging="206"/>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senior management team has an average of more than 25 years of healthcare industry experience and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industry leaders with significant expertise in product development, operations and commercialization. We believe that the depth and experience of our management team demonstrates our expertise within the diagnostic medical imaging industry and our ability to operate successfully in a highly regulated environment.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 Strategy</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objective is to enhance our position as a global leader in developing, manufacturing, selling and distributing innovative diagnostic medical imaging agents and products. The key elements of this strategy are to:</w:t>
      </w:r>
    </w:p>
    <w:p>
      <w:pPr>
        <w:spacing w:after="0" w:line="37"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grow U.S. sales of our existing commercial products, which are diversified across a range of imaging modalities;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Enhance the position of our portfolio of commercial products in international markets, obtaining additional regulatory approvals where necessary;</w:t>
      </w:r>
    </w:p>
    <w:p>
      <w:pPr>
        <w:spacing w:after="0" w:line="126" w:lineRule="exact"/>
        <w:rPr>
          <w:rFonts w:ascii="Arial" w:cs="Arial" w:eastAsia="Arial" w:hAnsi="Arial"/>
          <w:sz w:val="16"/>
          <w:szCs w:val="16"/>
          <w:color w:val="auto"/>
        </w:rPr>
      </w:pPr>
    </w:p>
    <w:p>
      <w:pPr>
        <w:ind w:left="660" w:right="5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strategic partnerships to further advance our agents in development to maximize their value in potentially large domestic and international markets; and</w:t>
      </w:r>
    </w:p>
    <w:p>
      <w:pPr>
        <w:spacing w:after="0" w:line="37"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Pursue select strategic licenses or acquisitions to further strengthen and diversify our portfolios of commercial products while leveraging core competencies.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company with less than $1 billion in revenue during our last fiscal year, we qualify as an “emerging growth company,” as defined in the Jumpstart Our Business Startups Act of 2012, as amended, or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12" w:lineRule="exact"/>
        <w:rPr>
          <w:sz w:val="20"/>
          <w:szCs w:val="20"/>
          <w:color w:val="auto"/>
        </w:rPr>
      </w:pPr>
    </w:p>
    <w:p>
      <w:pPr>
        <w:ind w:left="5680" w:right="1660" w:hanging="5226"/>
        <w:spacing w:after="0" w:line="472"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exemption from the requirement to seek non-binding advisory votes on executive compensation and golden parachute arrangements;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remain an emerging growth company for five years unless, prior to that time, we have (i) more than $1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Securities Exchange Act of 1934, as amended, or the Exchange Act, or (iii) issue more than $1 billion of non-convertible debt over a three-year period. We have availed ourselves of the reduced reporting obligations with respect to executive compensation disclosure in this prospectus, and expect to continue to avail ourselves of the reduced reporting obligations available to emerging growth companies in future filings.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and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common stock less attractive as a result of our elections, which may cause a less active trading market for our common stock and more volatility in our stock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Our Business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“Risk Factors” beginning on page 17 of this prospectus, which you should read in its entirety. In particular:</w:t>
      </w:r>
    </w:p>
    <w:p>
      <w:pPr>
        <w:spacing w:after="0" w:line="37" w:lineRule="exact"/>
        <w:rPr>
          <w:sz w:val="20"/>
          <w:szCs w:val="20"/>
          <w:color w:val="auto"/>
        </w:rPr>
      </w:pPr>
    </w:p>
    <w:p>
      <w:pPr>
        <w:ind w:left="660" w:right="60" w:hanging="206"/>
        <w:spacing w:after="0" w:line="347"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ind w:left="660" w:right="40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global supply of Moly is fragile and not stable and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45" w:lineRule="exact"/>
        <w:rPr>
          <w:rFonts w:ascii="Arial" w:cs="Arial" w:eastAsia="Arial" w:hAnsi="Arial"/>
          <w:sz w:val="18"/>
          <w:szCs w:val="18"/>
          <w:color w:val="auto"/>
        </w:rPr>
      </w:pPr>
    </w:p>
    <w:p>
      <w:pPr>
        <w:ind w:left="660" w:right="400" w:hanging="206"/>
        <w:spacing w:after="0" w:line="32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1" w:lineRule="exact"/>
        <w:rPr>
          <w:rFonts w:ascii="Arial" w:cs="Arial" w:eastAsia="Arial" w:hAnsi="Arial"/>
          <w:sz w:val="16"/>
          <w:szCs w:val="16"/>
          <w:color w:val="auto"/>
        </w:rPr>
      </w:pPr>
    </w:p>
    <w:p>
      <w:pPr>
        <w:ind w:left="660" w:right="10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growth of our business is substantially dependent on increased market penetration for the appropriate use of DEFINITY in suboptimal echocardiograms;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potential supply and demand challenges for Xenon;</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United States, we are heavily dependent on a few large customers to generate a majority of our revenues for our nuclear imaging products and outside of the United States, we rely on distributors to generate a substantial portion of our revenue;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history of net losses and ability to achieve sustained profitability;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continued pricing pressures from our large customers;</w:t>
      </w:r>
    </w:p>
    <w:p>
      <w:pPr>
        <w:spacing w:after="0" w:line="103"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of our customers are highly dependent on payments from third party payors, including government sponsored programs, particularly Medicare, in the United States and other countries in which we operate, and reductions in third party coverage and reimbursement rates for our products could adversely affect our business and results of operations; and</w:t>
      </w:r>
    </w:p>
    <w:p>
      <w:pPr>
        <w:spacing w:after="0" w:line="45"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a substantial amount of indebtedness that may limit our financial and operating activities and adversely affect our ability to incur additional debt to fund future needs, and we may not be able to generate sufficient cash flow to meet our debt service requirements.</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Reorganization</w:t>
      </w:r>
    </w:p>
    <w:p>
      <w:pPr>
        <w:spacing w:after="0" w:line="164" w:lineRule="exact"/>
        <w:rPr>
          <w:sz w:val="20"/>
          <w:szCs w:val="20"/>
          <w:color w:val="auto"/>
        </w:rPr>
      </w:pPr>
    </w:p>
    <w:p>
      <w:pPr>
        <w:ind w:right="560" w:firstLine="456"/>
        <w:spacing w:after="0" w:line="286" w:lineRule="auto"/>
        <w:rPr>
          <w:sz w:val="20"/>
          <w:szCs w:val="20"/>
          <w:color w:val="auto"/>
        </w:rPr>
      </w:pPr>
      <w:r>
        <w:rPr>
          <w:rFonts w:ascii="Arial" w:cs="Arial" w:eastAsia="Arial" w:hAnsi="Arial"/>
          <w:sz w:val="16"/>
          <w:szCs w:val="16"/>
          <w:color w:val="auto"/>
        </w:rPr>
        <w:t>Prior to the consummation of this offering, we will effect a corporate reorganization, whereby our direct, wholly-owned subsidiary, Lantheus MI Intermediate, Inc. (the direct parent of LMI) will merge with and into us, and we will be the surviving entity of such merger, we will be renamed Lantheus</w:t>
      </w:r>
    </w:p>
    <w:p>
      <w:pPr>
        <w:spacing w:after="0" w:line="254" w:lineRule="auto"/>
        <w:rPr>
          <w:sz w:val="20"/>
          <w:szCs w:val="20"/>
          <w:color w:val="auto"/>
        </w:rPr>
      </w:pPr>
      <w:r>
        <w:rPr>
          <w:rFonts w:ascii="Arial" w:cs="Arial" w:eastAsia="Arial" w:hAnsi="Arial"/>
          <w:sz w:val="18"/>
          <w:szCs w:val="18"/>
          <w:color w:val="auto"/>
        </w:rPr>
        <w:t>Holdings, Inc. and each share of our common stock outstanding immediately prior to such merger shall be converted into the right to receive shares of our newly issued common stock. In addition, as part of our corporate reorganization, shares of our common stock underlying our stock options outstanding immediately prior to such merger will be ratably adjusted. The corporate reorganization will not affect our operations, which we will continue to conduct through our operating subsidiaries, including LMI.</w:t>
      </w:r>
    </w:p>
    <w:p>
      <w:pPr>
        <w:spacing w:after="0" w:line="13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diagram below reflects a simplified overview of our organizational structure following the corporate reorganization and this offering (including the application of the net proceeds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5737225" cy="2409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3722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40" w:val="left"/>
          <w:tab w:leader="none" w:pos="5520" w:val="left"/>
        </w:tabs>
        <w:rPr>
          <w:sz w:val="20"/>
          <w:szCs w:val="20"/>
          <w:color w:val="auto"/>
        </w:rPr>
      </w:pPr>
      <w:r>
        <w:rPr>
          <w:rFonts w:ascii="Arial" w:cs="Arial" w:eastAsia="Arial" w:hAnsi="Arial"/>
          <w:sz w:val="18"/>
          <w:szCs w:val="18"/>
          <w:color w:val="auto"/>
        </w:rPr>
        <w:t>(1)</w:t>
        <w:tab/>
        <w:t>Guarantor of LMI’s $42.5 million revolving credit facility and $</w:t>
      </w:r>
      <w:r>
        <w:rPr>
          <w:sz w:val="20"/>
          <w:szCs w:val="20"/>
          <w:color w:val="auto"/>
        </w:rPr>
        <w:tab/>
      </w:r>
      <w:r>
        <w:rPr>
          <w:rFonts w:ascii="Arial" w:cs="Arial" w:eastAsia="Arial" w:hAnsi="Arial"/>
          <w:sz w:val="15"/>
          <w:szCs w:val="15"/>
          <w:color w:val="auto"/>
        </w:rPr>
        <w:t>million senior notes due 2017.</w:t>
      </w:r>
    </w:p>
    <w:p>
      <w:pPr>
        <w:spacing w:after="0" w:line="77" w:lineRule="exact"/>
        <w:rPr>
          <w:sz w:val="20"/>
          <w:szCs w:val="20"/>
          <w:color w:val="auto"/>
        </w:rPr>
      </w:pPr>
    </w:p>
    <w:p>
      <w:pPr>
        <w:ind w:left="460" w:right="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 description of our revolving credit facility and senior notes, see “Description of Material Indebtedness—Revolving Credit Facility” and “Description of Material Indebtedness—Senior Notes.”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History and Principal Stockholder</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Founded in 1956 as New England Nuclear Corporation, our medical imaging business was purchased by E. I. du Pont de Nemours and Company, or DuPont, in 1981. Bristol-Myers Squibb Company, or BMS, subsequently acquired our medical imaging business from DuPont as part of its acquisition of DuPont Pharmaceuticals in 2001. In January 2008, Avista Capital Partners, L.P., Avista Capital Partners (Offshore), L.P. and ACP-Lantern Co-Invest, LLC, or collectively Avista, formed Lantheus Holdings and its subsidiary, Lantheus Intermediate, and, through Lantheus Intermediate, acquired our medical imaging business from BMS, or the Acquisition, in an entity which is now known as LMI. After this offering, Avista is expected to collectively own approximately % of our outstanding common stock.</w:t>
      </w:r>
    </w:p>
    <w:p>
      <w:pPr>
        <w:spacing w:after="0" w:line="13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Avista is a leading private equity firm with approximately $6 billion of assets under management and offices in New York, NY, Houston, TX and London, UK. Founded in 2005 as a spin-out from the former DLJ Merchant Banking Partners, or DLJMB, franchise, Avista makes controlling or influential minority investments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primarily in growth-oriented healthcare, energy, communications and media, industrial and consumer businesses. Through its team of seasoned investment professionals and industry experts, Avista seeks to partner with exceptional management teams to invest in and add value to well-positioned businesses.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Lantheus is a Delaware corporation, which was incorporated in 2007 and is headquartered in North Billerica, Massachusetts. LMI, our wholly-owned principal operating subsidiary, was founded in 1956 and incorporated as a Delaware corporation in 1999. Our principal executive offices are located at 331 Treble Cove Road, North Billerica, Massachusetts 01862, and our telephone number at that address is (978) 671-8001. Our web site is located at www.lantheus.com. The information on our web site is not part of, and is not incorporated by reference into,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3420" w:type="dxa"/>
            <w:vAlign w:val="bottom"/>
            <w:gridSpan w:val="2"/>
          </w:tcPr>
          <w:p>
            <w:pPr>
              <w:ind w:left="820"/>
              <w:spacing w:after="0"/>
              <w:rPr>
                <w:sz w:val="20"/>
                <w:szCs w:val="20"/>
                <w:color w:val="auto"/>
              </w:rPr>
            </w:pPr>
            <w:r>
              <w:rPr>
                <w:rFonts w:ascii="Arial" w:cs="Arial" w:eastAsia="Arial" w:hAnsi="Arial"/>
                <w:sz w:val="18"/>
                <w:szCs w:val="18"/>
                <w:b w:val="1"/>
                <w:bCs w:val="1"/>
                <w:color w:val="auto"/>
              </w:rPr>
              <w:t>THE OFFERING</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1700" w:type="dxa"/>
            <w:vAlign w:val="bottom"/>
          </w:tcPr>
          <w:p>
            <w:pPr>
              <w:ind w:left="660"/>
              <w:spacing w:after="0"/>
              <w:rPr>
                <w:sz w:val="20"/>
                <w:szCs w:val="20"/>
                <w:color w:val="auto"/>
              </w:rPr>
            </w:pPr>
            <w:r>
              <w:rPr>
                <w:rFonts w:ascii="Arial" w:cs="Arial" w:eastAsia="Arial" w:hAnsi="Arial"/>
                <w:sz w:val="18"/>
                <w:szCs w:val="18"/>
                <w:color w:val="auto"/>
              </w:rPr>
              <w:t>shares (</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w w:val="88"/>
              </w:rPr>
              <w:t>shares, if the Underwriters exercise their option to purchase additional shares</w:t>
            </w:r>
          </w:p>
        </w:tc>
      </w:tr>
      <w:tr>
        <w:trPr>
          <w:trHeight w:val="222"/>
        </w:trPr>
        <w:tc>
          <w:tcPr>
            <w:tcW w:w="422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in full).</w:t>
            </w: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w w:val="95"/>
              </w:rPr>
              <w:t>Common stock to be outstanding after this offering</w:t>
            </w:r>
          </w:p>
        </w:tc>
        <w:tc>
          <w:tcPr>
            <w:tcW w:w="1700" w:type="dxa"/>
            <w:vAlign w:val="bottom"/>
          </w:tcPr>
          <w:p>
            <w:pPr>
              <w:ind w:left="660"/>
              <w:spacing w:after="0"/>
              <w:rPr>
                <w:sz w:val="20"/>
                <w:szCs w:val="20"/>
                <w:color w:val="auto"/>
              </w:rPr>
            </w:pPr>
            <w:r>
              <w:rPr>
                <w:rFonts w:ascii="Arial" w:cs="Arial" w:eastAsia="Arial" w:hAnsi="Arial"/>
                <w:sz w:val="18"/>
                <w:szCs w:val="18"/>
                <w:color w:val="auto"/>
              </w:rPr>
              <w:t>shares (</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w w:val="88"/>
              </w:rPr>
              <w:t>shares, if the Underwriters exercise their option to purchase additional shares</w:t>
            </w:r>
          </w:p>
        </w:tc>
      </w:tr>
      <w:tr>
        <w:trPr>
          <w:trHeight w:val="222"/>
        </w:trPr>
        <w:tc>
          <w:tcPr>
            <w:tcW w:w="422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in full).</w:t>
            </w: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w w:val="88"/>
              </w:rPr>
              <w:t>Option to purchase additional shares of common stock</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w w:val="97"/>
              </w:rPr>
              <w:t>The underwriters may also purchase up to</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w w:val="88"/>
              </w:rPr>
              <w:t>additional shares of common stock from us, solely</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to cover over-allotments, at the public offering price, less the underwriting discount, within 30 days</w:t>
            </w:r>
          </w:p>
        </w:tc>
      </w:tr>
      <w:tr>
        <w:trPr>
          <w:trHeight w:val="222"/>
        </w:trPr>
        <w:tc>
          <w:tcPr>
            <w:tcW w:w="42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from the date of this prospectus.</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1"/>
              </w:rPr>
              <w:t>We estimate that the net proceeds to us from this offering, after deducting underwriting discounts</w:t>
            </w:r>
          </w:p>
        </w:tc>
      </w:tr>
      <w:tr>
        <w:trPr>
          <w:trHeight w:val="216"/>
        </w:trPr>
        <w:tc>
          <w:tcPr>
            <w:tcW w:w="4220" w:type="dxa"/>
            <w:vAlign w:val="bottom"/>
          </w:tcPr>
          <w:p>
            <w:pPr>
              <w:spacing w:after="0"/>
              <w:rPr>
                <w:sz w:val="18"/>
                <w:szCs w:val="18"/>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w w:val="94"/>
              </w:rPr>
              <w:t>and commissions and estimated expenses, will be approximately $</w:t>
            </w:r>
          </w:p>
        </w:tc>
        <w:tc>
          <w:tcPr>
            <w:tcW w:w="2000" w:type="dxa"/>
            <w:vAlign w:val="bottom"/>
          </w:tcPr>
          <w:p>
            <w:pPr>
              <w:ind w:left="180"/>
              <w:spacing w:after="0"/>
              <w:rPr>
                <w:sz w:val="20"/>
                <w:szCs w:val="20"/>
                <w:color w:val="auto"/>
              </w:rPr>
            </w:pPr>
            <w:r>
              <w:rPr>
                <w:rFonts w:ascii="Arial" w:cs="Arial" w:eastAsia="Arial" w:hAnsi="Arial"/>
                <w:sz w:val="18"/>
                <w:szCs w:val="18"/>
                <w:color w:val="auto"/>
              </w:rPr>
              <w:t>million, assuming the</w:t>
            </w:r>
          </w:p>
        </w:tc>
      </w:tr>
      <w:tr>
        <w:trPr>
          <w:trHeight w:val="216"/>
        </w:trPr>
        <w:tc>
          <w:tcPr>
            <w:tcW w:w="4220" w:type="dxa"/>
            <w:vAlign w:val="bottom"/>
          </w:tcPr>
          <w:p>
            <w:pPr>
              <w:spacing w:after="0"/>
              <w:rPr>
                <w:sz w:val="18"/>
                <w:szCs w:val="18"/>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w w:val="86"/>
              </w:rPr>
              <w:t>shares are offered at $</w:t>
            </w:r>
          </w:p>
        </w:tc>
        <w:tc>
          <w:tcPr>
            <w:tcW w:w="5480" w:type="dxa"/>
            <w:vAlign w:val="bottom"/>
            <w:gridSpan w:val="3"/>
          </w:tcPr>
          <w:p>
            <w:pPr>
              <w:ind w:left="540"/>
              <w:spacing w:after="0"/>
              <w:rPr>
                <w:sz w:val="20"/>
                <w:szCs w:val="20"/>
                <w:color w:val="auto"/>
              </w:rPr>
            </w:pPr>
            <w:r>
              <w:rPr>
                <w:rFonts w:ascii="Arial" w:cs="Arial" w:eastAsia="Arial" w:hAnsi="Arial"/>
                <w:sz w:val="18"/>
                <w:szCs w:val="18"/>
                <w:color w:val="auto"/>
              </w:rPr>
              <w:t>(the midpoint of the price range set forth on the cover of this</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prospectus). We intend to use these net proceeds to reduce our outstanding indebtedness and for</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89"/>
              </w:rPr>
              <w:t>working capital and other general corporate purposes. See “Use of Proceeds” for a more complete</w:t>
            </w:r>
          </w:p>
        </w:tc>
      </w:tr>
      <w:tr>
        <w:trPr>
          <w:trHeight w:val="222"/>
        </w:trPr>
        <w:tc>
          <w:tcPr>
            <w:tcW w:w="42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w w:val="91"/>
              </w:rPr>
              <w:t>description of our intended use of the net proceeds from this offering.</w:t>
            </w: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Dividend policy</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2"/>
              </w:rPr>
              <w:t>We do not anticipate paying any dividends on our common stock; however, we may change this</w:t>
            </w:r>
          </w:p>
        </w:tc>
      </w:tr>
      <w:tr>
        <w:trPr>
          <w:trHeight w:val="222"/>
        </w:trPr>
        <w:tc>
          <w:tcPr>
            <w:tcW w:w="42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w w:val="98"/>
              </w:rPr>
              <w:t>policy in the future. See “Dividend Policy.”</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5"/>
        </w:trPr>
        <w:tc>
          <w:tcPr>
            <w:tcW w:w="4220" w:type="dxa"/>
            <w:vAlign w:val="bottom"/>
          </w:tcPr>
          <w:p>
            <w:pPr>
              <w:spacing w:after="0"/>
              <w:rPr>
                <w:sz w:val="20"/>
                <w:szCs w:val="20"/>
                <w:color w:val="auto"/>
              </w:rPr>
            </w:pPr>
            <w:r>
              <w:rPr>
                <w:rFonts w:ascii="Arial" w:cs="Arial" w:eastAsia="Arial" w:hAnsi="Arial"/>
                <w:sz w:val="18"/>
                <w:szCs w:val="18"/>
                <w:b w:val="1"/>
                <w:bCs w:val="1"/>
                <w:color w:val="auto"/>
              </w:rPr>
              <w:t>Proposed trading symbol</w:t>
            </w:r>
          </w:p>
        </w:tc>
        <w:tc>
          <w:tcPr>
            <w:tcW w:w="1700" w:type="dxa"/>
            <w:vAlign w:val="bottom"/>
          </w:tcPr>
          <w:p>
            <w:pPr>
              <w:ind w:left="120"/>
              <w:spacing w:after="0"/>
              <w:rPr>
                <w:sz w:val="20"/>
                <w:szCs w:val="20"/>
                <w:color w:val="auto"/>
              </w:rPr>
            </w:pPr>
            <w:r>
              <w:rPr>
                <w:rFonts w:ascii="Arial" w:cs="Arial" w:eastAsia="Arial" w:hAnsi="Arial"/>
                <w:sz w:val="18"/>
                <w:szCs w:val="18"/>
                <w:color w:val="auto"/>
              </w:rPr>
              <w:t>“LANT.”</w:t>
            </w: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2"/>
        </w:trPr>
        <w:tc>
          <w:tcPr>
            <w:tcW w:w="42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Investing in our common stock involves a high degree of risk. You should carefully read this entire</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1"/>
              </w:rPr>
              <w:t>prospectus, including the more detailed information set forth under the caption “Risk Factors” and</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88"/>
              </w:rPr>
              <w:t>the historical consolidated financial statements, and the related notes thereto, included elsewhere in</w:t>
            </w:r>
          </w:p>
        </w:tc>
      </w:tr>
      <w:tr>
        <w:trPr>
          <w:trHeight w:val="222"/>
        </w:trPr>
        <w:tc>
          <w:tcPr>
            <w:tcW w:w="42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this prospectus, before investing in our common stock.</w:t>
            </w:r>
          </w:p>
        </w:tc>
        <w:tc>
          <w:tcPr>
            <w:tcW w:w="2000" w:type="dxa"/>
            <w:vAlign w:val="bottom"/>
          </w:tcPr>
          <w:p>
            <w:pPr>
              <w:spacing w:after="0"/>
              <w:rPr>
                <w:sz w:val="19"/>
                <w:szCs w:val="19"/>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number of shares of common stock to be outstanding after this offering excludes:</w:t>
      </w:r>
    </w:p>
    <w:p>
      <w:pPr>
        <w:spacing w:after="0" w:line="77" w:lineRule="exact"/>
        <w:rPr>
          <w:sz w:val="20"/>
          <w:szCs w:val="20"/>
          <w:color w:val="auto"/>
        </w:rPr>
      </w:pPr>
    </w:p>
    <w:p>
      <w:pPr>
        <w:ind w:left="1200" w:hanging="746"/>
        <w:spacing w:after="0"/>
        <w:tabs>
          <w:tab w:leader="none" w:pos="1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shares of our common stock issuable upon exercise of outstanding stock options as of December 31, 2013 with a weighted average exercise price</w:t>
      </w:r>
    </w:p>
    <w:p>
      <w:pPr>
        <w:spacing w:after="0" w:line="5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5"/>
          <w:szCs w:val="15"/>
          <w:color w:val="auto"/>
        </w:rPr>
        <w:t>per share;</w:t>
      </w:r>
    </w:p>
    <w:p>
      <w:pPr>
        <w:spacing w:after="0" w:line="70" w:lineRule="exact"/>
        <w:rPr>
          <w:sz w:val="20"/>
          <w:szCs w:val="20"/>
          <w:color w:val="auto"/>
        </w:rPr>
      </w:pPr>
    </w:p>
    <w:p>
      <w:pPr>
        <w:ind w:left="1200" w:hanging="746"/>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common stock reserved for the future issuance of grants under our 2013 Equity Incentive Plan; and</w:t>
      </w:r>
    </w:p>
    <w:p>
      <w:pPr>
        <w:spacing w:after="0" w:line="103" w:lineRule="exact"/>
        <w:rPr>
          <w:rFonts w:ascii="Arial" w:cs="Arial" w:eastAsia="Arial" w:hAnsi="Arial"/>
          <w:sz w:val="18"/>
          <w:szCs w:val="18"/>
          <w:color w:val="auto"/>
        </w:rPr>
      </w:pPr>
    </w:p>
    <w:p>
      <w:pPr>
        <w:ind w:left="1200" w:hanging="746"/>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common stock reserved for the future issuance of grants under our 2014 Equity Incentive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except where otherwise stated, the information in this prospectus:</w:t>
      </w:r>
    </w:p>
    <w:p>
      <w:pPr>
        <w:spacing w:after="0" w:line="7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gives effect to our corporate reorganization (see “Prospectus Summary—Corporate Reorganization”);</w:t>
      </w:r>
    </w:p>
    <w:p>
      <w:pPr>
        <w:spacing w:after="0" w:line="103"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 in effect prior to the consummation of this offering;</w:t>
      </w:r>
    </w:p>
    <w:p>
      <w:pPr>
        <w:spacing w:after="0" w:line="37" w:lineRule="exact"/>
        <w:rPr>
          <w:sz w:val="20"/>
          <w:szCs w:val="20"/>
          <w:color w:val="auto"/>
        </w:rPr>
      </w:pPr>
    </w:p>
    <w:p>
      <w:pPr>
        <w:ind w:left="460"/>
        <w:spacing w:after="0"/>
        <w:tabs>
          <w:tab w:leader="none" w:pos="640" w:val="left"/>
          <w:tab w:leader="none" w:pos="6900" w:val="left"/>
        </w:tabs>
        <w:rPr>
          <w:sz w:val="20"/>
          <w:szCs w:val="20"/>
          <w:color w:val="auto"/>
        </w:rPr>
      </w:pPr>
      <w:r>
        <w:rPr>
          <w:rFonts w:ascii="Arial" w:cs="Arial" w:eastAsia="Arial" w:hAnsi="Arial"/>
          <w:sz w:val="18"/>
          <w:szCs w:val="18"/>
          <w:color w:val="auto"/>
        </w:rPr>
        <w:t>•</w:t>
        <w:tab/>
        <w:t>assumes no exercise of the underwriters’ over-allotment option to purchase up to</w:t>
      </w:r>
      <w:r>
        <w:rPr>
          <w:sz w:val="20"/>
          <w:szCs w:val="20"/>
          <w:color w:val="auto"/>
        </w:rPr>
        <w:tab/>
      </w:r>
      <w:r>
        <w:rPr>
          <w:rFonts w:ascii="Arial" w:cs="Arial" w:eastAsia="Arial" w:hAnsi="Arial"/>
          <w:sz w:val="15"/>
          <w:szCs w:val="15"/>
          <w:color w:val="auto"/>
        </w:rPr>
        <w:t>additional shares from us.</w:t>
      </w:r>
    </w:p>
    <w:p>
      <w:pPr>
        <w:sectPr>
          <w:pgSz w:w="11900" w:h="16838" w:orient="portrait"/>
          <w:cols w:equalWidth="0" w:num="1">
            <w:col w:w="11160"/>
          </w:cols>
          <w:pgMar w:left="240" w:top="459" w:right="499" w:bottom="1440" w:gutter="0" w:footer="0" w:header="0"/>
        </w:sectPr>
      </w:pP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this prospectus assumes an initial public offering price of $ cover of this prospectus.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per share, the midpoint of the price range set forth on the</w:t>
      </w:r>
    </w:p>
    <w:p>
      <w:pPr>
        <w:spacing w:after="0" w:line="407" w:lineRule="exact"/>
        <w:rPr>
          <w:sz w:val="20"/>
          <w:szCs w:val="20"/>
          <w:color w:val="auto"/>
        </w:rPr>
      </w:pPr>
    </w:p>
    <w:p>
      <w:pPr>
        <w:sectPr>
          <w:pgSz w:w="11900" w:h="16838" w:orient="portrait"/>
          <w:cols w:equalWidth="0" w:num="2">
            <w:col w:w="6600" w:space="560"/>
            <w:col w:w="4000"/>
          </w:cols>
          <w:pgMar w:left="240" w:top="459" w:right="49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60"/>
          </w:cols>
          <w:pgMar w:left="240" w:top="459" w:right="4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64"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color w:val="auto"/>
        </w:rPr>
        <w:t>The following tables set forth our summary consolidated financial and other data for the periods ended and as of the dates indicated. The summary consolidated statements of operations data for each of the three fiscal years in the period ended December 31, 2013 have been derived from our audited consolidated financial statements and related notes included elsewhere in this prospectus.</w:t>
      </w:r>
    </w:p>
    <w:p>
      <w:pPr>
        <w:spacing w:after="0" w:line="9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summary consolidated financial data set forth below and elsewhere in this prospectus are not necessarily indicative of our future performance. You should read this information together with “Capitalization,” “Selected Consolidated Financial Data,” “Management’s Discussion and Analysis of Financial Condition and Results of Operations” and our consolidated financial statements and the related notes thereto included elsewhere in this prospectus.</w:t>
      </w:r>
    </w:p>
    <w:p>
      <w:pPr>
        <w:spacing w:after="0" w:line="9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 discussion on our quarterly results of operations for 2013, see “Management’s Discussion and Analysis of Financial Condition and Results of Operations—Quarterly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8"/>
          </w:tcPr>
          <w:p>
            <w:pPr>
              <w:jc w:val="center"/>
              <w:ind w:right="13"/>
              <w:spacing w:after="0" w:line="129" w:lineRule="exact"/>
              <w:rPr>
                <w:sz w:val="20"/>
                <w:szCs w:val="20"/>
                <w:color w:val="auto"/>
              </w:rPr>
            </w:pPr>
            <w:r>
              <w:rPr>
                <w:rFonts w:ascii="Arial" w:cs="Arial" w:eastAsia="Arial" w:hAnsi="Arial"/>
                <w:sz w:val="14"/>
                <w:szCs w:val="14"/>
                <w:b w:val="1"/>
                <w:bCs w:val="1"/>
                <w:color w:val="auto"/>
                <w:w w:val="85"/>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356,292</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Cost of goods sold</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211,049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on firm purchase commitment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880"/>
              <w:spacing w:after="0"/>
              <w:rPr>
                <w:sz w:val="20"/>
                <w:szCs w:val="20"/>
                <w:color w:val="auto"/>
              </w:rPr>
            </w:pPr>
            <w:r>
              <w:rPr>
                <w:rFonts w:ascii="Arial" w:cs="Arial" w:eastAsia="Arial" w:hAnsi="Arial"/>
                <w:sz w:val="18"/>
                <w:szCs w:val="18"/>
                <w:color w:val="auto"/>
              </w:rPr>
              <w:t>Total cost of goods sold</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212,908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Gross profit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75,197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95,216</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Proceeds from manufacturer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96,252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75,947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112,496</w:t>
            </w: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(42,915)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(42,014)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Common shares: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50,250,957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 forma net income (loss) per common share(2):</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Diluted</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 forma common shares(2):</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Basic</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00" w:type="dxa"/>
            <w:vAlign w:val="bottom"/>
          </w:tcPr>
          <w:p>
            <w:pPr>
              <w:spacing w:after="0"/>
              <w:rPr>
                <w:sz w:val="24"/>
                <w:szCs w:val="24"/>
                <w:color w:val="auto"/>
              </w:rPr>
            </w:pPr>
          </w:p>
        </w:tc>
        <w:tc>
          <w:tcPr>
            <w:tcW w:w="2600" w:type="dxa"/>
            <w:vAlign w:val="bottom"/>
          </w:tcPr>
          <w:p>
            <w:pPr>
              <w:jc w:val="right"/>
              <w:ind w:right="13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58"/>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29"/>
        </w:trPr>
        <w:tc>
          <w:tcPr>
            <w:tcW w:w="5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Adjusted EBITDA Before Run-Rate Savings(1)</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9"/>
              <w:spacing w:after="0"/>
              <w:rPr>
                <w:sz w:val="20"/>
                <w:szCs w:val="20"/>
                <w:color w:val="auto"/>
              </w:rPr>
            </w:pPr>
            <w:r>
              <w:rPr>
                <w:rFonts w:ascii="Arial" w:cs="Arial" w:eastAsia="Arial" w:hAnsi="Arial"/>
                <w:sz w:val="18"/>
                <w:szCs w:val="18"/>
                <w:color w:val="auto"/>
              </w:rPr>
              <w:t>47,359</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56,212</w:t>
            </w:r>
          </w:p>
        </w:tc>
        <w:tc>
          <w:tcPr>
            <w:tcW w:w="520" w:type="dxa"/>
            <w:vAlign w:val="bottom"/>
          </w:tcPr>
          <w:p>
            <w:pPr>
              <w:spacing w:after="0"/>
              <w:rPr>
                <w:sz w:val="18"/>
                <w:szCs w:val="18"/>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79,978</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61,787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59,070</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79,978</w:t>
            </w:r>
          </w:p>
        </w:tc>
        <w:tc>
          <w:tcPr>
            <w:tcW w:w="100" w:type="dxa"/>
            <w:vAlign w:val="bottom"/>
            <w:shd w:val="clear" w:color="auto" w:fill="CCEEFF"/>
          </w:tcPr>
          <w:p>
            <w:pPr>
              <w:spacing w:after="0"/>
              <w:rPr>
                <w:sz w:val="18"/>
                <w:szCs w:val="18"/>
                <w:color w:val="auto"/>
              </w:rPr>
            </w:pPr>
          </w:p>
        </w:tc>
      </w:tr>
      <w:tr>
        <w:trPr>
          <w:trHeight w:val="297"/>
        </w:trPr>
        <w:tc>
          <w:tcPr>
            <w:tcW w:w="5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6"/>
          </w:tcPr>
          <w:p>
            <w:pPr>
              <w:ind w:left="360"/>
              <w:spacing w:after="0"/>
              <w:rPr>
                <w:sz w:val="20"/>
                <w:szCs w:val="20"/>
                <w:color w:val="auto"/>
              </w:rPr>
            </w:pPr>
            <w:r>
              <w:rPr>
                <w:rFonts w:ascii="Arial" w:cs="Arial" w:eastAsia="Arial" w:hAnsi="Arial"/>
                <w:sz w:val="14"/>
                <w:szCs w:val="14"/>
                <w:b w:val="1"/>
                <w:bCs w:val="1"/>
                <w:color w:val="auto"/>
              </w:rPr>
              <w:t>As of December 31, 2013</w:t>
            </w:r>
          </w:p>
        </w:tc>
      </w:tr>
      <w:tr>
        <w:trPr>
          <w:trHeight w:val="142"/>
        </w:trPr>
        <w:tc>
          <w:tcPr>
            <w:tcW w:w="5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As adjusted(3)</w:t>
            </w:r>
          </w:p>
        </w:tc>
        <w:tc>
          <w:tcPr>
            <w:tcW w:w="100" w:type="dxa"/>
            <w:vAlign w:val="bottom"/>
          </w:tcPr>
          <w:p>
            <w:pPr>
              <w:spacing w:after="0"/>
              <w:rPr>
                <w:sz w:val="12"/>
                <w:szCs w:val="12"/>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18,578</w:t>
            </w:r>
          </w:p>
        </w:tc>
        <w:tc>
          <w:tcPr>
            <w:tcW w:w="520" w:type="dxa"/>
            <w:vAlign w:val="bottom"/>
          </w:tcPr>
          <w:p>
            <w:pPr>
              <w:spacing w:after="0"/>
              <w:rPr>
                <w:sz w:val="18"/>
                <w:szCs w:val="18"/>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261,311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liabilities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496,828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long-term debt, net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399,037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(235,517)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309"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Adjusted EBITDA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Before Run-Rate Savings is defined as Adjusted EBITDA less certain run-rate cost savings, operating expense reductions and other expense and cost savings. Adjusted EBITDA and Adjusted EBITDA Before Run-Rate Savings are also used by management to measure operating performance and by investors to measure a company’s ability to service its debt and meet its other cash needs. Management believes that the inclusion of the adjustments to EBITDA applied in presenting Adjusted EBITDA is appropriate to provide additional information to investors about our performance across reporting periods on a consistent basis by excluding items that it does not believe are indicative of its core operating performance. Furthermore, management believes that Adjusted EBITDA Before Run-Rate Savings facilitates period-to-period comparisons because these savings and reductions were substantially realized by the end of 2013. See “Non-GAAP Financial Measures.”</w:t>
      </w:r>
    </w:p>
    <w:p>
      <w:pPr>
        <w:spacing w:after="0" w:line="1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following table provides a reconciliation of our net income (loss) to Adjusted EBITDA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29"/>
        </w:trPr>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 (61,555)</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(42,001)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(137,258)</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42,811</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41,762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37,325</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taxes(a)</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82,702</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25,783</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27,955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33,258</w:t>
            </w:r>
          </w:p>
        </w:tc>
      </w:tr>
      <w:tr>
        <w:trPr>
          <w:trHeight w:val="27"/>
        </w:trPr>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EBITDA</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6,912</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26,815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Non-cash stock-based compensation</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fees(b)</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Loss on firm purchase commitment(c)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1,859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write-off(d)</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28,349</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13,095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52,973</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Severance and recruiting costs(e)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5,239</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1,761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Sponsor fee and other(f)</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New manufacturer costs(g)</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4,164</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8,945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7"/>
        </w:trPr>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Adjusted EBITDA Before Run-Rate Savings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$ 47,359</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$ 56,212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79,978</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Run-rate savings(h)</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14,428</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2,858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$ 61,787</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$ 59,070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79,978</w:t>
            </w:r>
          </w:p>
        </w:tc>
      </w:tr>
      <w:tr>
        <w:trPr>
          <w:trHeight w:val="20"/>
        </w:trPr>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8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1460" w:right="740" w:hanging="547"/>
        <w:spacing w:after="0" w:line="268"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an agreement with BMS, and, in 2011, includes the establishment of a full valuation allowance against the U.S. deferred tax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20" w:hanging="547"/>
        <w:spacing w:after="0" w:line="268"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legal services expenses incurred in connection with our business interruption claim associated with the NRU reactor shutdown in 2009 to 2010.</w:t>
      </w:r>
    </w:p>
    <w:p>
      <w:pPr>
        <w:spacing w:after="0" w:line="37" w:lineRule="exact"/>
        <w:rPr>
          <w:rFonts w:ascii="Arial" w:cs="Arial" w:eastAsia="Arial" w:hAnsi="Arial"/>
          <w:sz w:val="18"/>
          <w:szCs w:val="18"/>
          <w:color w:val="auto"/>
        </w:rPr>
      </w:pPr>
    </w:p>
    <w:p>
      <w:pPr>
        <w:ind w:left="1460" w:right="380" w:hanging="547"/>
        <w:spacing w:after="0" w:line="268"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a loss associated with a portion of the committed purchases of Ablavar that we do not believe we will be able to sell prior to expiration.</w:t>
      </w:r>
    </w:p>
    <w:p>
      <w:pPr>
        <w:spacing w:after="0" w:line="37" w:lineRule="exact"/>
        <w:rPr>
          <w:rFonts w:ascii="Arial" w:cs="Arial" w:eastAsia="Arial" w:hAnsi="Arial"/>
          <w:sz w:val="18"/>
          <w:szCs w:val="18"/>
          <w:color w:val="auto"/>
        </w:rPr>
      </w:pPr>
    </w:p>
    <w:p>
      <w:pPr>
        <w:ind w:left="1460" w:right="160" w:hanging="547"/>
        <w:spacing w:after="0" w:line="291" w:lineRule="auto"/>
        <w:tabs>
          <w:tab w:leader="none" w:pos="1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Represents non-cash losses incurred associated with the write-down of land, intangible assets, inventory and write-off of long-lived assets. The 2013 amount consists primarily of a $6.4 million write-down of land, a $15.4 million impairment charge on the Cardiolite trademark intangible asset, a $1.7 million impairment charge on a customer relationship intangible asset and a $1.6 million inventory write-down related to Ablavar. The 2012 amount consists primarily of a $10.6 million inventory write-down related to Ablavar. The 2011 amount consists primarily of a $25.8 million inventory write-down related to Ablavar and a $23.5 million impairment charge to adjust the carrying value of the Ablavar patent portfolio asset to its fair value of zero.</w:t>
      </w:r>
    </w:p>
    <w:p>
      <w:pPr>
        <w:spacing w:after="0" w:line="25" w:lineRule="exact"/>
        <w:rPr>
          <w:rFonts w:ascii="Arial" w:cs="Arial" w:eastAsia="Arial" w:hAnsi="Arial"/>
          <w:sz w:val="16"/>
          <w:szCs w:val="16"/>
          <w:color w:val="auto"/>
        </w:rPr>
      </w:pPr>
    </w:p>
    <w:p>
      <w:pPr>
        <w:ind w:left="1460" w:hanging="547"/>
        <w:spacing w:after="0"/>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primarily severance and recruitment costs related to employees, executives and directors.</w:t>
      </w:r>
    </w:p>
    <w:p>
      <w:pPr>
        <w:spacing w:after="0" w:line="76"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 non-recurring professional fees and certain non-recurring charges relating to a customer relationship.</w:t>
      </w:r>
    </w:p>
    <w:p>
      <w:pPr>
        <w:spacing w:after="0" w:line="37" w:lineRule="exact"/>
        <w:rPr>
          <w:rFonts w:ascii="Arial" w:cs="Arial" w:eastAsia="Arial" w:hAnsi="Arial"/>
          <w:sz w:val="18"/>
          <w:szCs w:val="18"/>
          <w:color w:val="auto"/>
        </w:rPr>
      </w:pPr>
    </w:p>
    <w:p>
      <w:pPr>
        <w:ind w:left="1460" w:right="240" w:hanging="547"/>
        <w:spacing w:after="0" w:line="268"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products and agents in development.</w:t>
      </w:r>
    </w:p>
    <w:p>
      <w:pPr>
        <w:spacing w:after="0" w:line="37" w:lineRule="exact"/>
        <w:rPr>
          <w:rFonts w:ascii="Arial" w:cs="Arial" w:eastAsia="Arial" w:hAnsi="Arial"/>
          <w:sz w:val="18"/>
          <w:szCs w:val="18"/>
          <w:color w:val="auto"/>
        </w:rPr>
      </w:pPr>
    </w:p>
    <w:p>
      <w:pPr>
        <w:ind w:left="1460" w:right="120" w:hanging="547"/>
        <w:spacing w:after="0" w:line="259"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run-rate cost savings, operating expense reductions and other expense and cost-savings which were realized for the years ended December 31, 2013 and 2012, primarily relating to our strategic shift from in-house research and development to an external partnering model of research and development.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 forma net income (loss) assumes $</w:t>
      </w:r>
      <w:r>
        <w:rPr>
          <w:rFonts w:ascii="Arial" w:cs="Arial" w:eastAsia="Arial" w:hAnsi="Arial"/>
          <w:sz w:val="15"/>
          <w:szCs w:val="15"/>
          <w:color w:val="auto"/>
        </w:rPr>
        <w:t>million of the net offering proceeds are used to redeem a portion of our 9.750% Senior Notes due 2017 based</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on an assumed initial public offering price of $</w:t>
      </w:r>
      <w:r>
        <w:rPr>
          <w:rFonts w:ascii="Arial" w:cs="Arial" w:eastAsia="Arial" w:hAnsi="Arial"/>
          <w:sz w:val="15"/>
          <w:szCs w:val="15"/>
          <w:color w:val="auto"/>
        </w:rPr>
        <w:t>per share (the midpoint of the price range set forth on the cover of this prospectus) and assumes a</w:t>
      </w:r>
    </w:p>
    <w:p>
      <w:pPr>
        <w:spacing w:after="0" w:line="9" w:lineRule="exact"/>
        <w:rPr>
          <w:sz w:val="20"/>
          <w:szCs w:val="20"/>
          <w:color w:val="auto"/>
        </w:rPr>
      </w:pPr>
    </w:p>
    <w:p>
      <w:pPr>
        <w:ind w:left="460" w:right="80"/>
        <w:spacing w:after="0" w:line="281" w:lineRule="auto"/>
        <w:rPr>
          <w:sz w:val="20"/>
          <w:szCs w:val="20"/>
          <w:color w:val="auto"/>
        </w:rPr>
      </w:pPr>
      <w:r>
        <w:rPr>
          <w:rFonts w:ascii="Arial" w:cs="Arial" w:eastAsia="Arial" w:hAnsi="Arial"/>
          <w:sz w:val="16"/>
          <w:szCs w:val="16"/>
          <w:color w:val="auto"/>
        </w:rPr>
        <w:t>reduction of interest expense, net of tax, of approximately $ million related to such redemption, assuming that the offering and the related application of net proceeds was completed on January 1, 2013. Pro forma net income (loss) per common share and number of common shares gives effect to our</w:t>
      </w:r>
    </w:p>
    <w:p>
      <w:pPr>
        <w:spacing w:after="0" w:line="1" w:lineRule="exact"/>
        <w:rPr>
          <w:sz w:val="20"/>
          <w:szCs w:val="20"/>
          <w:color w:val="auto"/>
        </w:rPr>
      </w:pPr>
    </w:p>
    <w:p>
      <w:pPr>
        <w:ind w:left="460"/>
        <w:spacing w:after="0"/>
        <w:tabs>
          <w:tab w:leader="none" w:pos="7700" w:val="left"/>
        </w:tabs>
        <w:rPr>
          <w:sz w:val="20"/>
          <w:szCs w:val="20"/>
          <w:color w:val="auto"/>
        </w:rPr>
      </w:pPr>
      <w:r>
        <w:rPr>
          <w:rFonts w:ascii="Arial" w:cs="Arial" w:eastAsia="Arial" w:hAnsi="Arial"/>
          <w:sz w:val="18"/>
          <w:szCs w:val="18"/>
          <w:color w:val="auto"/>
        </w:rPr>
        <w:t>corporate reorganization immediately prior to the consummation of this offering and the sale of</w:t>
      </w:r>
      <w:r>
        <w:rPr>
          <w:sz w:val="20"/>
          <w:szCs w:val="20"/>
          <w:color w:val="auto"/>
        </w:rPr>
        <w:tab/>
      </w:r>
      <w:r>
        <w:rPr>
          <w:rFonts w:ascii="Arial" w:cs="Arial" w:eastAsia="Arial" w:hAnsi="Arial"/>
          <w:sz w:val="15"/>
          <w:szCs w:val="15"/>
          <w:color w:val="auto"/>
        </w:rPr>
        <w:t>shares of our common stock in this offering at an</w:t>
      </w:r>
    </w:p>
    <w:p>
      <w:pPr>
        <w:spacing w:after="0" w:line="9"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5"/>
          <w:szCs w:val="15"/>
          <w:color w:val="auto"/>
        </w:rPr>
        <w:t>per share (the midpoint of the price range set forth on the cover of this prospectus).</w:t>
      </w:r>
    </w:p>
    <w:p>
      <w:pPr>
        <w:spacing w:after="0" w:line="70" w:lineRule="exact"/>
        <w:rPr>
          <w:sz w:val="20"/>
          <w:szCs w:val="20"/>
          <w:color w:val="auto"/>
        </w:rPr>
      </w:pPr>
    </w:p>
    <w:p>
      <w:pPr>
        <w:ind w:left="460" w:right="60" w:hanging="459"/>
        <w:spacing w:after="0" w:line="286" w:lineRule="auto"/>
        <w:tabs>
          <w:tab w:leader="none" w:pos="440" w:val="left"/>
        </w:tabs>
        <w:rPr>
          <w:sz w:val="20"/>
          <w:szCs w:val="20"/>
          <w:color w:val="auto"/>
        </w:rPr>
      </w:pPr>
      <w:r>
        <w:rPr>
          <w:rFonts w:ascii="Arial" w:cs="Arial" w:eastAsia="Arial" w:hAnsi="Arial"/>
          <w:sz w:val="16"/>
          <w:szCs w:val="16"/>
          <w:color w:val="auto"/>
        </w:rPr>
        <w:t>(3)</w:t>
        <w:tab/>
        <w:t>As adjusted information gives effect to our corporate reorganization described above and our capitalization to reflect the sale of shares of our common stock in this offering by us at an assumed initial public offering price of $ per share (the midpoint of the price range set forth on the cover of</w:t>
      </w:r>
    </w:p>
    <w:p>
      <w:pPr>
        <w:ind w:left="460" w:right="340"/>
        <w:spacing w:after="0" w:line="261" w:lineRule="auto"/>
        <w:rPr>
          <w:sz w:val="20"/>
          <w:szCs w:val="20"/>
          <w:color w:val="auto"/>
        </w:rPr>
      </w:pPr>
      <w:r>
        <w:rPr>
          <w:rFonts w:ascii="Arial" w:cs="Arial" w:eastAsia="Arial" w:hAnsi="Arial"/>
          <w:sz w:val="18"/>
          <w:szCs w:val="18"/>
          <w:color w:val="auto"/>
        </w:rPr>
        <w:t>this prospectus) after deducting underwriting discounts and commissions and estimated offering expenses payable by us, and the application of the net proceeds from this offering as described under “Use of Proceeds.”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following risks, as well as the other information contained in this prospectus, before making an investment decision. If any of the following risks, as well as other risks and uncertainties that are not identified or that we currently think are immaterial, actually occur, our business, results of operations or financial condition could be materially and adversely affected. In such an event, the trading price of our common stock could decline and you could lose part or all of your investment.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83" w:lineRule="exact"/>
        <w:rPr>
          <w:sz w:val="20"/>
          <w:szCs w:val="20"/>
          <w:color w:val="auto"/>
        </w:rPr>
      </w:pPr>
    </w:p>
    <w:p>
      <w:pPr>
        <w:ind w:left="240" w:right="40"/>
        <w:spacing w:after="0" w:line="347" w:lineRule="auto"/>
        <w:rPr>
          <w:sz w:val="20"/>
          <w:szCs w:val="20"/>
          <w:color w:val="auto"/>
        </w:rPr>
      </w:pPr>
      <w:r>
        <w:rPr>
          <w:rFonts w:ascii="Arial" w:cs="Arial" w:eastAsia="Arial" w:hAnsi="Arial"/>
          <w:sz w:val="15"/>
          <w:szCs w:val="15"/>
          <w:b w:val="1"/>
          <w:bCs w:val="1"/>
          <w:i w:val="1"/>
          <w:iCs w:val="1"/>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obtain a substantial portion of our products from third party manufacturers and suppliers. Historically, we relied on BVL in Bedford, Ohio as our sole manufacturer of DEFINITY and Neurolite and as one of two manufacturers of Cardiolite. Our products were manufactured at BVL’s south complex facility, or the South Complex, where BVL also manufactured products for a number of other pharmaceutical customers. In July 2010, BVL temporarily shutdown the South Complex, in order to upgrade the facility to meet certain regulatory requirements. BVL had originally planned for the shutdown of the South Complex to run through March 2011 and to resume production of our products in April 2011. In anticipation of the shutdown, BVL manufactured for us additional inventory of these products to meet our expected needs during this period. A series of unexpected delays at BVL, however, resulted in a stockout for Neurolite from the third quarter 2011 until the third quarter 2013, product outages and shortages for DEFINITY in much of 2012 and product outages and shortages for Cardiolite in 2012 and 2013.</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Although we entered into new agreements with BVL in March 2012, which provided, among other things, $35 million of cash payments to us, and BVL was able to resume some manufacturing under the new agreement, BVL continued to face regulatory issues and supply challenges. In October 2013, BVL announced that it would cease manufacturing further new batches of our products in its Bedford, Ohio facility and, in November 2013, BVL terminated our arrangement, and, among other things, paid us an additional $8.9 million.</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Following extensive technology transfer activities, we now rely on JHS as our sole source manufacturer of DEFINITY. We currently have additional ongoing technology transfer activities at JHS for our Neurolite product and at Pharmalucence for DEFINITY, but we can give no assurances as to when that technology transfer will be completed and when we will actually receive supply of Neurolite from JHS or DEFINITY from Pharmalucence. In the meantime, we have no other currently active manufacturer of Neurolite, and our DEFINITY and Cardiolite product supply is currently manufactured by a single manufacturer. In addition, Mallinckrodt Pharmaceuticals, or Mallinckrodt, is our sole manufacturer for Ablavar.</w:t>
      </w:r>
    </w:p>
    <w:p>
      <w:pPr>
        <w:spacing w:after="0" w:line="10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Based on our current estimates, we believe that we will have sufficient supply of DEFINITY from JHS and remaining BVL inventory to meet expected demand, sufficient Cardiolite product supply from our current manufacturer to meet expected demand, and sufficient Ablavar product supply to meet expected demand. We also currently anticipate that we will have sufficient BVL-manufactured Neurolite supply for the U.S. market to last until Neurolite technology transfer and U.S. regulatory approval at JHS are completed. However, we can give no assurances that JHS or our other manufacturing partners will be able to manufacture and distribute our products in a high quality and timely manner and in sufficient quantities to allow us to avoid product stock-outs and shortfalls. Currently, the regulatory authorities in certain countries prohibit us from marketing products previously manufactured by BVL, and JHS has not yet obtained approval of those regulatory authorities that would permit us to market products manufactured by JHS. Accordingly, until those regulatory approvals have been obtained, our international business, results of operations, financial condition and cash flows will continue to be adversely affected.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manufacturing agreement for Ablavar runs until 2014, although we do not foresee the need to order any additional active pharmaceutical ingredients, or APIs, or finished drug product under this agreement, other than our outstanding purchase commitment. We do not have any current plans to initiate technology transfer activities for Ablavar. If we do not engage in Ablavar technology transfer activities in the future with a new manufacturing partner for Ablavar, then our existing Ablavar inventory will expire in 2016 and we will have no further Ablavar inventory that we will be able to sell.</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products described above, for reasons of quality assurance or cost-effectiveness, we purchase certain components and raw materials from sole suppliers (including, for example, the lead casing for our TechneLite generators). Because we do not control the actual production of many of the products we sell and many of the raw materials and components that make up the products we sell, we may be subject to delays caused by interruption in production based on events and conditions outside of our control. At our North Billerica, Massachusetts facility, we manufacture TechneLite on a relatively new, highly automated production line, as well as Thallium and Gallium using our older cyclotron technology. If we or one of our manufacturing partners experiences an event, including a labor dispute, natural disaster, fire, power outage,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10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addition to our existing manufacturing relationships, we are also pursuing new manufacturing relationships to establish and secure additional or alternative suppliers for our commercial products. For example, on November 12, 2013, we entered into a Manufacturing and Supply Agreement with Pharmalucence to manufacture and supply DEFINITY. We cannot assure you, however, that these supply diversification activities will be successful, or that before those alternate manufacturers or sources of product are fully functional and qualified, that we will be able to avoid or mitigate interim supply shortages. In addition, we cannot assure you that our existing manufacturers or suppliers or any new manufacturers or suppliers can adequately maintain either their financial health or regulatory compliance to allow continued production and supply. A reduction or interruption in manufacturing, or an inability to secure alternative sources of raw materials or components, could eventually have a material adverse effect on our business, results of operations, financial condition and cash flows.</w:t>
      </w:r>
    </w:p>
    <w:p>
      <w:pPr>
        <w:spacing w:after="0" w:line="92"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Challenges with product quality or product performance, including defects, caused by us or our suppliers could result in a decrease in customers and sales, unexpected expenses and loss of market share.</w:t>
      </w:r>
    </w:p>
    <w:p>
      <w:pPr>
        <w:spacing w:after="0" w:line="3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manufacture of our products is highly exacting and complex and must meet stringent quality requirements, due in part to strict regulatory requirements, including the FDA’s current Good Manufacturing Practices, or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We also may undertake voluntarily to recall products or temporarily shutdown production lines based on internal safety and quality monitoring and testing data.</w:t>
      </w:r>
    </w:p>
    <w:p>
      <w:pPr>
        <w:spacing w:after="0" w:line="9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of our products could result in reduced market acceptance and demand for all products within that brand,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13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4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critical ingredient of TechneLite, historically our largest product by annual revenues, is Moly. We currently purchase finished Moly from four of the five main processing sites in the world, namely Nordion in Canada, NTP in South Africa, IRE in Belgium and ANSTO in Australia. These processing sites are, in turn, supplied by seven of the eight main Moly-producing reactors in the world, namely, NRU in Canada, SAFARI in South Africa, OPAL in Australia, BR2 in Belgium, OSIRIS in France, LVR-10 in the Czech Republic and HFR in The Netherlands.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Historically, our largest supplier of Moly has been Nordion which has relied on the NRU reactor owned and operated by Atomic Energy of Canada Limited, or AECL, a Crown corporation of the Government of Canada, located in Chalk River, Ontario. This reactor was off-line from May 2009 until August 2010 due to a heavy water leak in the reactor vessel. The inability of the NRU reactor to produce Moly and of Nordion to finish Moly during the shutdown period had a detrimental effect on our business, results of operations and cash flows. As a result of the NRU reactor shutdown, we experienced business interruption losses. We estimate the quantity of those losses to be, in the aggregate, more than $70 million, including increases in the cost of obtaining limited amounts of Moly from alternate, more distant, suppliers and substantial decreases in revenue as a result of significantly curtailed manufacturing of TechneLite generators and our decreased ability to sell other Moly-based medical imaging products, including Cardiolite, in comparison to our forecasted results. The Government of Canada has stated publicly its intent to exit the medical isotope business when the NRU reactor’s current license expires in October 2016.</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conditions for the relicensing of the NRU reactor through October 2016, the Canadian government has asked AECL to shut down the reactor for at least four weeks at least once a year for inspection and maintenance. The next shutdown period is currently scheduled to run from mid-April 2014 until mid-May 2014. We currently believe that we will be able to source sufficient Moly to satisfy all of our standing-order customer demand for our TechneLite generators during this time period from our other suppliers. During this shutdown period, however, because Xenon is a by-product of the Moly production process and is currently captured only by NRU, we do not currently believe that we will be able to supply all of our standing-order customer demand for Xenon. There can be no assurance that these off-line periods will last for the stated time or that the NRU will not experience other unscheduled shutdowns in the future. Further prolonged scheduled or unscheduled shutdowns would limit the amount of Moly and Xenon available to us and limit the quantity of TechneLite that we could manufacture, sell and distribute and the amount of Xenon that we could sell and distribute, resulting in a further substantial negative effect on our business, results of operations, financial condition and cash flows.</w:t>
      </w:r>
    </w:p>
    <w:p>
      <w:pPr>
        <w:spacing w:after="0" w:line="10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face of the NRU reactor operating challenges and licensure risks, we entered into Moly supply agreements with NTP, ANSTO and IRE to augment our supply of Moly. While we believe this additional Moly supply now gives us the most balanced and diversified Moly supply chain in the industry, a prolonged disruption of service from only one of our significant Moly suppliers could have a material adverse effect on our business, results of operations, financial condition and cash flows. We are also pursuing additional sources of Moly from potential new producers around the world to further augment our current supply, but we cannot assure you that these possible additional sources of Moly will result in commercial quantities of Moly for our business, or that these new suppliers together with our current suppliers will be able to deliver a sufficient quantity of Moly to meet our needs.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our agreements with NTP, ANSTO and IRE run until December 31, 2017, our agreement with Nordion runs only until December 31, 2015 and can be terminated by Nordion upon the occurrence of certain events, including if we fail to purchase a minimum percentage of Moly or if Nordion incurs certain cost increases, and in the latter case, as soon as October 1, 2014.</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U.S., Canadian and international governments have encouraged the development of a number of alternative Moly production projects with existing reactors and technologies as well as new technologies. However, the Moly produced from these projects will likely not become available until 2016 or later. As a result, there is a limited amount of Moly available which could limit the quantity of TechneLite that we could manufacture, sell and distribute, resulting in a further substantial negative effect on our business, results of operations, financial condition and cash flows.</w:t>
      </w:r>
    </w:p>
    <w:p>
      <w:pPr>
        <w:spacing w:after="0" w:line="9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instability of the global supply of Moly and recent supply shortages have resulted in increases in the cost of Moly, which has negatively affected our margins, and more restrictive agreements with suppliers, which could further increase our costs.</w:t>
      </w:r>
    </w:p>
    <w:p>
      <w:pPr>
        <w:spacing w:after="0" w:line="3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the general instability in the global supply of Moly and supply shortages during 2009 and 2010, we have faced substantial increases in the cost of Moly in comparison to historical costs. We are generally able to pass these Moly cost increases on to our customers in our customer contracts. If we are not able to do so in the future, our margins may decline further with respect to our TechneLite generators, which could have a material adverse effect on our business, results of operations, financial condition and cash flows.</w:t>
      </w:r>
    </w:p>
    <w:p>
      <w:pPr>
        <w:spacing w:after="0" w:line="130"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The Moly supply shortage caused by the NRU reactor shutdown has had a negative effect on the demand for some of our products, which will likely continue in the future.</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Moly supply shortage also had a negative effect on the use of other technetium generator-based diagnostic medical imaging agents, including our Cardiolite products. With less Moly, we manufactured fewer generators for radiopharmacies and hospitals to make up unit doses of Cardiolite products, resulting in decreased market share of Cardiolite products in favor of Thallium, an older medical isotope that does not require Moly, and other diagnostic modalities. With the return to service of the NRU reactor, we have seen increased sales of TechneLite. However, TechneLite unit volume has not returned to pre-shortage levels for, we believe, a number of reasons, including: (i) changing staffing and utilization practices in radiopharmacies, which have resulted in an increased number of unit-doses of technetium-based radiopharmaceuticals being made from available amounts of technetium; (ii) shifts to alternative diagnostic imaging modalities during the Moly supply shortage, which have not returned to technetium-based procedures; and (iii) decreased amounts of technetium being used in unit-doses of technetium-based radiopharmaceuticals due to growing concerns about patient radiation dose exposure. We do not know if the staffing and utilization practices in radiopharmacies, the mix between technetium and non-technetium-based diagnostic procedures and the increased concerns about radiation exposure, will allow technetium demand to ever return to pre-shortage levels, which could have a material adverse effect on our business, results of operations, financial condition and cash flows.</w:t>
      </w:r>
    </w:p>
    <w:p>
      <w:pPr>
        <w:spacing w:after="0" w:line="114" w:lineRule="exact"/>
        <w:rPr>
          <w:sz w:val="20"/>
          <w:szCs w:val="20"/>
          <w:color w:val="auto"/>
        </w:rPr>
      </w:pPr>
    </w:p>
    <w:p>
      <w:pPr>
        <w:ind w:left="240" w:right="460"/>
        <w:spacing w:after="0" w:line="325" w:lineRule="auto"/>
        <w:rPr>
          <w:sz w:val="20"/>
          <w:szCs w:val="20"/>
          <w:color w:val="auto"/>
        </w:rPr>
      </w:pPr>
      <w:r>
        <w:rPr>
          <w:rFonts w:ascii="Arial" w:cs="Arial" w:eastAsia="Arial" w:hAnsi="Arial"/>
          <w:sz w:val="16"/>
          <w:szCs w:val="16"/>
          <w:b w:val="1"/>
          <w:bCs w:val="1"/>
          <w:i w:val="1"/>
          <w:iCs w:val="1"/>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a number of our radiopharmaceutical products, including our TechneLite generators, rely on radioisotopes with limited half-lives, we must manufacture, finish and distribute these products on a just-in-time basis, because the underlying radioisotope is in a constant state of radio decay. For example, if we receive Moly in the morning of a manufacturing day for TechneLite generators, then we will generally ship finished generators to customers by the end of that same business day. 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100"/>
        <w:spacing w:after="0" w:line="268" w:lineRule="auto"/>
        <w:rPr>
          <w:sz w:val="20"/>
          <w:szCs w:val="20"/>
          <w:color w:val="auto"/>
        </w:rPr>
      </w:pPr>
      <w:r>
        <w:rPr>
          <w:rFonts w:ascii="Arial" w:cs="Arial" w:eastAsia="Arial" w:hAnsi="Arial"/>
          <w:sz w:val="18"/>
          <w:szCs w:val="18"/>
          <w:b w:val="1"/>
          <w:bCs w:val="1"/>
          <w:i w:val="1"/>
          <w:iCs w:val="1"/>
          <w:color w:val="auto"/>
        </w:rPr>
        <w:t>The growth of our business is substantially dependent on increased market penetration for the appropriate use of DEFINITY in suboptimal echocardiograms.</w:t>
      </w:r>
    </w:p>
    <w:p>
      <w:pPr>
        <w:spacing w:after="0" w:line="3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growth of our business is substantially dependent on increased market penetration for the appropriate use of DEFINITY in suboptimal echocardiograms. Of the nearly 28 million echocardiograms performed each year in the United States, a third party source estimates that 20%, or approximately six million echocardiograms, produce suboptimal images. We estimate that DEFINITY had approximately 75% share of the market for contrast agents in the United States in December 2013. If we are not able to continue to grow DEFINITY sales through increased market penetration, we will not be able to grow the revenue and cash flow of the business or continue to fund our other growth initiatives at planned levels, which could have a negative effect on our prospects.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potential supply and demand challenges for Xenon.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Currently, Nordion is our sole supplier, and we believe the principal supplier on a global basis, of Xenon, which is captured by the NRU reactor as a by-product of the Moly production process. We are currently pursuing alternative sources of Xenon on a global basis. If we are not able to secure a new producer of Xenon prior to the expiration of the NRU reactor’s license in October 2016 and obtain regulatory approval to sell Xenon from that new producer, we will no longer be able to offer Xenon in our portfolio of commercial products, which would have a negative effect on our business, results of operations, financial condition and cash flows. For the year ended December 31, 2013, Xenon represented approximately 11% of our revenues.</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Currently, we obtain Xenon from Nordion on a purchase order basis. Nordion recently announced that it has entered into a definitive agreement to be acquired by Sterigenics. As a result of this transaction, our supplier could change the terms on which we obtain Xenon. If we are not able to pass along any price increases from our supplier to our customers, there could be a negative effect on our business, results of operations, financial condition and cash flows.</w:t>
      </w:r>
    </w:p>
    <w:p>
      <w:pPr>
        <w:spacing w:after="0" w:line="9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Currently, we are the leading provider of packaged Xenon in the United States. If other providers obtained regulatory approval and began to sell packaged Xenon in the United States without otherwise increasing market penetration for the agent, or if there is an increase in the use of other imaging modalities in place of using packaged Xenon, our current sales volumes would decrease, which could have a negative effect on our business, results of operations, financial condition and cash flows.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Xenon is frequently administered as part of a ventilation scan to evaluate pulmonary function prior to a perfusion scan with microaggregated albumin, or MAA, a technetium-based radiopharmaceutical used to evaluate blood flow to the lungs. Currently, Draxis is the sole supplier of MAA on a global basis. Recently, Draxis encountered supply challenges and announced substantial price increases for MAA. If supply challenges for MAA or the increased price of MAA decreases the frequency that MAA is used for lung perfusion evaluation, which, in turn, decreases the frequency that Xenon is used for pulmonary function evaluation, the MAA supply challenges or price increase would have a negative effect on our business, results of operations, financial condition and cash flows.</w:t>
      </w:r>
    </w:p>
    <w:p>
      <w:pPr>
        <w:spacing w:after="0" w:line="102"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In the United States, we are heavily dependent on a few large customers to generate a majority of our revenues for our nuclear imaging products. Outside of the United States, we rely on distributors to generate a substantial portion of our revenue.</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the United States, we rely on a limited number of radiopharmacy customers, primarily Cardinal, GE Healthcare, UPPI and Triad, to distribute our current largest volume nuclear imaging products and generate a majority of our revenues. Three customers accounted for approximately 39% of our revenues in the fiscal year ended December 31, 2013, with Cardinal, UPPI and GE Healthcare accounting for 19%, 10% and 10%, respectively. Among the existing radiopharmacies in the United States, continued consolidations, divestitures and reorganizations may have a negative effect on our business, results of operations, financial condition or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flows. We generally have distribution arrangements with our major radiopharmacy customers pursuant to multi-year contracts, each of which is subject to renewal. Our current contract with Cardinal expires in December 2014. If these contracts are terminated prior to expiration of their term, or are not renewed, or are renewed on terms that are less favorable to us, then such an event could have a material adverse effect on our business, results of operations, financial condition and cash flows.</w:t>
      </w:r>
    </w:p>
    <w:p>
      <w:pPr>
        <w:spacing w:after="0" w:line="13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have experienced significant pricing pressures from our large customers and any significant, additional pricing pressures from our large customers could lead to a reduction in revenue which could have a material adverse effect on our business, results of operations, financial condition and cash flows.</w:t>
      </w:r>
    </w:p>
    <w:p>
      <w:pPr>
        <w:spacing w:after="0" w:line="49"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Outside of the United States, Canada, Australia and Puerto Rico, we have no radiopharmacies or sales force and, consequently, rely on third party distributors, either on a country-by-country basis or on a multicountry, regional basis, to market, sell and distribute our products. These distributors accounted for approximately 13%, 16% and 19% of non-U.S. revenues for the fiscal years ended December 31, 2013, 2012 and 2011, respectively. In certain circumstances, these distributors may also sell competing products to our own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results of operations, financial condition and cash flows.</w:t>
      </w:r>
    </w:p>
    <w:p>
      <w:pPr>
        <w:spacing w:after="0" w:line="91"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We have a history of net losses and total stockholders’ deficits which may continue and which may negatively impact our ability to achieve or sustain profitability.</w:t>
      </w:r>
    </w:p>
    <w:p>
      <w:pPr>
        <w:spacing w:after="0" w:line="3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 history of net losses and cannot assure you that we will achieve or sustain profitability in the future. We incurred net income (loss) for the years ended December 31, 2013, 2012 and 2011 of $(61.6) million, $(42.0) million and $(137.3) million, respectively, and as of December 31, 2013, we had a total stockholders’ deficit of $235.5 million. We cannot assure you that we will be able to achieve or sustain profitability on a quarterly or annual basis in the future. If we cannot improve our profitability, the value of our enterprise may decline.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significant competition in our business and may not be able to compete effectively.</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with substantial financial, manufacturing, sales and marketing and logistics resources that are more diversified than ours, such as Mallinckrodt, GE Healthcare, Bayer, Bracco and Draxis, as well as other competitors. We cannot anticipate their competitive actions, such as price reductions on products that are comparable to our own, development or introduction of new products that are more cost-effective or have superior performance than our current products, the introduction of generic versions when our proprietary products lose their patent protection or the new entry into a generic market in which we are already a participant. Our current or future products could be rendered obsolete or uneconomical as a result of this competition. Our failure to compete effectively could cause us to lose market share to our competitors and have a material adverse effect on our business, results of operations, financial condition and cash flows.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Bracco may be seeking FDA approval in the United States for its echocardiography agent, SonoVue, which is already approved for sale in Europe and certain Asian markets, including Japan and Korea. If Bracco receives U.S. regulatory approval, Bracco will have one of three FDA-approved echocardiography contrast agents in the United States, together with GE Healthcare’s Optison and our DEFINITY. If Bracco receives U.S. regulatory approval and successfully commercializes SonoVue in the United States without otherwise increasing the overall usage of ultrasound contrast agents, our current and future sales volume could suffer, which would have a material adverse effect on our business, results of operations, financial condition and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Generic competition has significantly eroded our market share of the MPI segment for Cardiolite products and will continue to do so.</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currently aware of four separate, third party generic offerings of sestamibi, the first of which launched in September 2008. Cardiolite products accounted for approximately 9%, 12% and 19% of our revenues in the fiscal years ended December 31, 2013, 2012, and 2011, respectively. Included in Cardiolite is branded Cardiolite and generic sestamibi, some of which we produce and some of which we procure from third parties. With the advent of generic competition in September 2008, we have faced significant pricing and unit volume pressures on Cardiolite. To the extent generic competitors further reduce their prices, we may be forced to further reduce the price of our Cardiolite products as well as lose additional market share, which would have an adverse effect on our business, results of operations, financial condition and cash flows.</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addition, because several of the products we manufacture became less available due to recent supply challenges, certain of our customers may have begun to favor a generic offering or a competing agent or diagnostic modality. If we experience continued pricing and unit volume pressures or that product or modality shift is sustained, it could have a material adverse effect on our business, results of operation, financial condition and cash flows.</w:t>
      </w:r>
    </w:p>
    <w:p>
      <w:pPr>
        <w:spacing w:after="0" w:line="93"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Certain of our customers are highly dependent on payments from third party payors, including government sponsored programs, particularly Medicare, in the United States and other countries in which we operate, and reductions in third party coverage and reimbursement rates for our products could adversely affect our business and results of operations.</w:t>
      </w:r>
    </w:p>
    <w:p>
      <w:pPr>
        <w:spacing w:after="0" w:line="4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substantial portion of our revenue depends, in part, on the extent to which the costs of our products purchased by our customers are reimbursed by third party private and governmental payors, including Medicare, Medicaid, other U.S. government sponsored programs, non-U.S. governmental payors and private payors. These third party payors exercise significant control over patient access and increasingly use their enhanced bargaining power to secure discounted rates and other requirements that may reduce demand for our products. Our potential customers’ ability to obtain appropriate reimbursement for products and services from these third party payors affects the selection of products they purchase and the prices they are willing to pay. If these third party payors do not provide appropriate reimbursement for the costs of our products (or services provided using our products), deny the coverage of the products (or those services), or reduce current levels of reimbursement, healthcare professionals may not prescribe our products and providers and suppliers may not purchase our products. In addition, demand for new products may be limited unless we obtain favorable reimbursement policies (including coverage, coding and payment) from governmental and private third party payors at the time of the product’s introduction. Third party payors continually review their coverage policies for existing and new therapies and can deny coverage for treatments that include the use of our products or revise payment policies such that payments do not adequately cover the cost of our products. Even if third party payors make coverage and reimbursement available, that reimbursement may not be adequate or these payors’ reimbursement policies may have an adverse effect on our business, results of operations, financial condition and cash flows.</w:t>
      </w:r>
    </w:p>
    <w:p>
      <w:pPr>
        <w:spacing w:after="0" w:line="1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46" w:lineRule="exact"/>
        <w:rPr>
          <w:sz w:val="20"/>
          <w:szCs w:val="20"/>
          <w:color w:val="auto"/>
        </w:rPr>
      </w:pPr>
    </w:p>
    <w:p>
      <w:pPr>
        <w:ind w:left="660" w:right="4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payments for imaging services in physician offices and free-standing imaging facility settings based upon rates paid to hospital outpatient departments;</w:t>
      </w:r>
    </w:p>
    <w:p>
      <w:pPr>
        <w:spacing w:after="0" w:line="37"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significant revisions to the methodology for determining the practice expense component of the Medicare payment applicable to the physician office and free-standing imaging facility setting which results in a reduction in payment;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revising payment policies and reducing payment amounts for imaging procedures performed in the hospital outpatient setting.</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example, in 2013, although Medicare generally does not provide separate payment to hospitals for the use of diagnostic radiopharmaceuticals administered in an outpatient setting, CMS finalized a policy to make an additional payment to hospitals that utilize products with non-HEU, meaning the product is 95% derived from non-HEU sources. This payment policy continues in 2014. Although some of our TechneLite generators are manufactured using non-HEU, not all of our TechneLite generators meet CMS’s definition of non-HEU, and therefore this payment will not be available for the latter category of TechneLite generators used by our customers. This payment as well as other changes to the Medicare Hospital Outpatient Prospective Payment System payment rates could influence the decisions by hospital outpatient physicians to perform procedures that involve our products.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that Medicare changes to payment policies for imaging procedures will continue to result in certain physicians practices ceasing to provide these services and a further shifting of where certain medical imaging procedures are performed, from the physician office and free-standing imaging facility settings to the hospital outpatient setting, which we believe may incrementally reduce the overall number of diagnostic medical imaging procedures performed. Changes applicable to Medicare payment in the hospital outpatient setting could influence the decisions by hospital outpatient physicians to perform procedures that involve our products. These changes overall could slow the acceptance and introduction of next-generation imaging equipment into the marketplace, which, in turn, could adversely impact the future market adoption of certain of our imaging agents already in the market or currently in clinical or preclinical development. We expect that there will continue to be proposals to reduce or limit Medicare and Medicaid payment for diagnostic services. More generally, to the extent that any changes have the effect of reducing the aggregate number of diagnostic medical imaging procedures performed in the United States, our business, results of operations, financial condition and cash flows would be adversely affected. See “Business—Regulatory Matters.”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Reforms to the United States healthcare system may adversely affect our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significant portion of our patient volume is derived from U.S. government healthcare programs, principally Medicare, which are highly regulated and subject to frequent and substantial changes. For example, in March 2010, the President signed one of the most significant healthcare reform measures in decades, the Patient Protection and Affordable Care Act, as amended by the Health Care and Education Reconciliation Act, or, collectively, the Healthcare Reform Act. The Healthcare Reform Act contains a number of provisions that affect coverage and reimbursement of drug products and medical imaging procedures in which our drug products are used. See “Business—Regulatory Matters—Healthcare Reform Act and Related Laws.” We cannot assure you that the Healthcare Reform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Healthcare Reform Act was enacted. The Budget Control Act of 2011 includes provisions to reduce the federal deficit. The Budget Control Act, as amended, resulted in the imposition of 2% reductions in Medicare payments to providers, which went into effect on April 1, 2013 and will stay in effect through 2024 unless additional Congressional action is taken.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federal spending is also subject to a statutory debt ceiling. If the federal debt reaches the statutory debt ceiling, Congress must enact legislation to suspend enforcement of, or increase, the statutory debt ceiling. If Congress fails to do so and, as a result, is unable to satisfy its financial obligations, including under Medicare, Medicaid and other publicly funded or subsidized health programs, our results of operations could be adversely impacted.</w:t>
      </w:r>
    </w:p>
    <w:p>
      <w:pPr>
        <w:spacing w:after="0" w:line="93"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The full impact on our business of the Healthcare Reform Act and the other new laws is uncertain. Nor is it clear whether other legislative changes will be adopted or how those changes would affect our industry generally or our ability to successfully commercialize our products or the development of new products.</w:t>
      </w:r>
    </w:p>
    <w:p>
      <w:pPr>
        <w:spacing w:after="0" w:line="72"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The Healthcare Reform Act could potentially reduce the number of diagnostic medical imaging procedures performed or could reduce the amount of reimbursements paid for those procedures.</w:t>
      </w:r>
    </w:p>
    <w:p>
      <w:pPr>
        <w:spacing w:after="0" w:line="3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implementation of the Healthcare Reform Act could potentially reduce the aggregate number of diagnostic medical imaging procedures performed in the United States. Under the Healthcare Reform Act, referring physicians under the federal self-referral law must inform patients that they may obtain certain services, including MRI, CT, PET and certain other diagnostic imaging services from a provider other than that physician, another physician in his or her group practice, or another individual under the direct supervision of the physician or another physician in the group practice. The referring physician must provide each patient with a written list of other suppliers which furnish those services in the area in which the patient resides. These new requirements could have the effect of shifting where certain diagnostic medical imaging procedures are performed. In addition, they could potentially reduce the overall number of diagnostic medical imaging procedures performed. We cannot predict the full impact of the Healthcare Reform Act on our business. The reform law substantially changed the way healthcare is financed by both governmental and private insurers. Although certain provisions may negatively affect payment rates for certain imaging services, the Healthcare Reform Act also extended coverage to approximately 25 million previously uninsured people (based on May 2013 estimates from the Congressional Budget Office), which may result in an increase in the demand for our services, but we cannot be assured of a proportional, or any, increase in the use of our products.</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we expect that there will continue to be proposals to reduce or limit Medicare and Medicaid payment for services. Rates paid by some private third party payors are based, in part, on established physician, clinic and hospital charges and are generally higher than Medicare payment rates. Reductions in the amount of reimbursement paid for diagnostic medical imaging procedures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129" w:lineRule="exact"/>
        <w:rPr>
          <w:sz w:val="20"/>
          <w:szCs w:val="20"/>
          <w:color w:val="auto"/>
        </w:rPr>
      </w:pPr>
    </w:p>
    <w:p>
      <w:pPr>
        <w:ind w:left="240" w:right="60"/>
        <w:spacing w:after="0" w:line="325" w:lineRule="auto"/>
        <w:rPr>
          <w:sz w:val="20"/>
          <w:szCs w:val="20"/>
          <w:color w:val="auto"/>
        </w:rPr>
      </w:pPr>
      <w:r>
        <w:rPr>
          <w:rFonts w:ascii="Arial" w:cs="Arial" w:eastAsia="Arial" w:hAnsi="Arial"/>
          <w:sz w:val="16"/>
          <w:szCs w:val="16"/>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Both before and after the approval of our products and agents in development, we, our products, development agents, operations, facilities, suppliers, distributors, contract manufacturers, contract research organizations and contract testing laboratories are subject to extensive regulation by federal, state and local government agencies in the United States as well as non-U.S. and transnational laws and regulations, with regulations differing from country to country. In the United States,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U.S. Nuclear Regulatory Commission, or NRC, the U.S. Department of Health and Human Services, or HHS, Health Canada, the European Medicines Agency, or EMA, state and provincial boards of pharmacy, state and provincial health departments and other federal, state and provincial agencies.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U.S. law, we are required to report certain adverse events and production problems, if any, to the FDA. Additionally, we must comply with requirements concerning advertising and promotion for our products, including the prohibition on the promotion of our products for indications that have not been approved by the FDA or a so-called “off-label use.” If the FDA determines that our promotional materials constitute the unlawful promotion of an off-label use, it could request that we modify our promotional materials or subject us to regulatory or enforcement actions. Also, quality control and manufacturing procedures at our own facility and at third party suppliers must conform to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For example, we currently rely on JHS as our sole manufacturer of DEFINITY and, later in 2014, we will rely on JHS as our sole manufacturer of Neurolite. JHS has recently received a warning letter from the FDA in connection with their manufacturing facility in Spokane, Washington where our products are, or will be, manufactured. If JHS cannot resolve the issues in their facility underlying the warning letter or if the issues become worse, then the FDA could take additional regulatory action which could limit or suspend the ability of JHS to manufacture our products and have any additional products approved at the Spokane facility for manufacture until the issues are resolved and remediated. Such a limitation or suspension could have a material adverse effect on our business, results of operations, financial condition and cash flows.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also subject to laws and regulations that govern financial and other arrangements between pharmaceutical manufacturers and healthcare providers, including federal and state anti-kickback statutes, federal and state false claims laws and regulations and other fraud and abuse laws and regulations. For example, in 2010, we entered into a Medicaid Drug Rebate Agreement for certain of our products, which could subject us to potential liability under the False Claims Act, civil monetary penalties or liability under other laws and regulations in connection with the covered products as well as the products not covered by the agreement. Determination of the rebate amount for our products under the Medicaid program, as well as determination of payment amounts under Medicare and certain other third party payers, including government payers, depends upon information reported by us to the government. If we provide customers or government officials with inaccurate information about the products’ pricing or eligibility for coverage, or the products fail to satisfy coverage requirements, we could be subject to potential liability under the False Claims Act or other laws and regulations or be subject to civil monetary penalties. See “Business— Regulatory Matters—Healthcare Fraud and Abuse Laws.”</w:t>
      </w:r>
    </w:p>
    <w:p>
      <w:pPr>
        <w:spacing w:after="0" w:line="106"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Failure to comply with other requirements and restrictions placed upon us or our third party manufacturers or suppliers by laws and regulations can result in fines, civil and criminal penalties, exclusion from federal healthcare programs and debarment. Possible consequences of those actions could include:</w:t>
      </w:r>
    </w:p>
    <w:p>
      <w:pPr>
        <w:spacing w:after="0" w:line="1"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modifications to our business practices and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significantly reduced demand for our products (if products become ineligible for reimbursement under federal healthcare programs);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total or partial shutdown of production in one or more of the facilities where our products are produced while the alleged violation is being remediated;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or the inability to obtain future pre-market clearances or approvals;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withdrawals or suspensions of our current products from the market.</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Regulations are subject to change as a result of legislative, administrative or judicial action, which may also increase our costs or reduce sales. Violation of any of these regulatory schemes, individually or collectively, could disrupt our business and have a material adverse effect on our business, results of operations, financial condition and cash flows.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subject to domestic (federal, state and local) and foreign laws addressing fraud and abuse in the healthcare industry, including the False Claims Act and Federal Anti-Kickback Statute, the FCPA, the U.K. Bribery Act, the self-referral laws and restrictions on the promotion of off-label uses of our products. Violations of these laws are punishable by criminal or civil sanctions, including substantial fines, imprisonment and exclusion from participation in healthcare programs such as Medicare and Medicaid as well as health programs outside the United States or the imposition of corporate integrity agreements that could severely restrict or limit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maintain an appropriate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Healthcare Reform Act, through its federal “sunshine” provisions, also imposes new requirements on certain device and drug manufacturers to report certain financial interactions with physicians and teaching hospitals as well as ownership and investment interests held by physicians or their immediate family members. The first report for financial interactions and ownership interests is due in 2014 (covering August 1, 2013 through December 31, 2013). A manufacturer may be subject to civil monetary penalties of up to $150,000 aggregate per year for failures to report required information and up to $1 million aggregate per year for “knowing” failures to report.</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Separately, the Healthcare Reform Act requires manufacturers to submit information on the identity and quantity of drug samples requested and distributed by a manufacturer during each year. The first report (covering 2011) was to be submitted by April 1, 2012, but the FDA indicated that it would exercise enforcement discretion until October 1, 2012, and would issue a notice prior to its decision to begin enforcing this decision. At this time, FDA has not published a notice to begin enforcement of this provision, but the FDA has indicated its intent to publish guidance in calendar year 2014. State laws may also require disclosure of pharmaceutical pricing information and marketing expenditures, compliance with the pharmaceutical industry’s voluntary compliance guidelines and the relevant compliance guidance promulgated by the federal government, and/or the tracking and reporting of gifts, compensation, and other remuneration to physicians and other healthcare providers. We believe we have developed appropriate protocols to implement these state requirements. Any irregularities or mistakes in our reporting, however, could result in a finding that we have been non-compliant with these requirements, which could subject us to the penalty provisions of applicable federal and state laws and regulations.</w:t>
      </w:r>
    </w:p>
    <w:p>
      <w:pPr>
        <w:spacing w:after="0" w:line="10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Healthcare Reform Act also provides greater financial resources to be allocated to enforcement of the fraud and abuse laws and amends the intent requirements of the Federal Anti-Kickback Statute and criminal healthcare fraud statutes that prohibit executing a scheme to defraud any healthcare benefit program or making false statements relating to healthcare matters, which may increase overall compliance costs for industry participants, including us. A person or entity does not need to have actual knowledge of the statute or a specific intent to violate it. In addition, the Healthcare Reform Act revised the False Claims Act to provide that a claim arising from a violation of the Federal Anti-Kickback Statute constitutes a false or fraudulent claim for purposes of the False Claims Act. If our operations are found to be in violation of these laws or any other government regulations that apply to us, we may be subject to penalties, including, without limitation, civil and criminal penalties, damages, fines, imprisonment, the curtailment or restructuring of our operations, or exclusion from state and federal healthcare programs including Medicare and Medicaid, any of which could have a material adverse effect on our business, results of operations, financial condition and cash flows.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Ultrasound contrast agents may cause side effects which could limit our ability to sell DEFINITY.</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DEFINITY is an ultrasound contrast agent based on perflutren lipid microspheres. In 2007, the FDA received reports of deaths and serious cardiopulmonary reactions following the administration of ultrasound micro-bubble contrast agents used in echocardiography. Four of the 11 reported deaths were caused by cardiac arrest occurring either during or within 30 minutes following the administration of the contrast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contrast agents outweighed the risks and urging that the boxed warning be removed. In May 2008, the FDA substantially modified the boxed warning. On May 2, 2011, the FDA held an advisory committee meeting to consider the status of ultrasound micro-bubble contrast agents and the boxed warning.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If additional safety issues arise, this may result in further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depends on our ability to successfully introduce new products and adapt to a changing technology and diagnostic landscape.</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healthcare industry is characterized by continuous technological development resulting in changing customer preferences and requirements. The success of new product development depends on many factors, including our ability to fund development of new agents, anticipate and satisfy customer needs, obtain regulatory approval on a timely basis based on performance of our agents in development versus their clinical study comparators,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pacing w:after="0" w:line="105" w:lineRule="exact"/>
        <w:rPr>
          <w:sz w:val="20"/>
          <w:szCs w:val="20"/>
          <w:color w:val="auto"/>
        </w:rPr>
      </w:pPr>
    </w:p>
    <w:p>
      <w:pPr>
        <w:ind w:right="520" w:firstLine="456"/>
        <w:spacing w:after="0" w:line="347" w:lineRule="auto"/>
        <w:rPr>
          <w:sz w:val="20"/>
          <w:szCs w:val="20"/>
          <w:color w:val="auto"/>
        </w:rPr>
      </w:pPr>
      <w:r>
        <w:rPr>
          <w:rFonts w:ascii="Arial" w:cs="Arial" w:eastAsia="Arial" w:hAnsi="Arial"/>
          <w:sz w:val="15"/>
          <w:szCs w:val="15"/>
          <w:color w:val="auto"/>
        </w:rPr>
        <w:t>Even if we are able to develop, manufacture and obtain regulatory approvals for our new products, the success of these products would depend upon market acceptance and adequate reimbursement. Levels of market acceptance for our new products could be affected by a number of factors, including:</w:t>
      </w:r>
    </w:p>
    <w:p>
      <w:pPr>
        <w:spacing w:after="0" w:line="1" w:lineRule="exact"/>
        <w:rPr>
          <w:sz w:val="20"/>
          <w:szCs w:val="20"/>
          <w:color w:val="auto"/>
        </w:rPr>
      </w:pPr>
    </w:p>
    <w:p>
      <w:pPr>
        <w:ind w:left="660" w:right="1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alternative products from our competitors, such as, in the case of DEFINITY, GE Healthcare’s Optison, Bracco’s SonoVue and other imaging modalities;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our products relative to those of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our market entry;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effectively;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products;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adequate reimbursement.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field of diagnostic medical imaging is dynamic, with new products, including equipment and agents, continually being developed and existing products continually being refined. Our own diagnostic imaging agents compete not only with other similarly administered imaging agents but also with imaging agents employed in different and often competing diagnostic modalities. New imaging agents in a given diagnostic modality may be developed that provide benefits superior to the then-dominant agent in that modality, resulting in commercial displacement. Similarly, changing perceptions about comparative efficacy and safety including, among other things, comparative radiation exposure, as well as changing availability of supply may favor one agent over another or one modality over another. To the extent there is technological obsolescence in any of our products that we manufacture, resulting in lower unit sales or decreased unit sales prices, we will have increased unit overhead allocable to the remaining market share, which could have a material adverse effect on our business, results of operations, financial condition and cash flows.</w:t>
      </w:r>
    </w:p>
    <w:p>
      <w:pPr>
        <w:spacing w:after="0" w:line="10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current portfolio of commercial products primarily focuses on heart disease and vascular disease. This particular focus, however, may not be in our long-term best interest if the incidence and prevalence of heart disease and vascular disease decrease over time. Despite the aging population in the affluent parts of the world where diagnostic medical imaging is most frequently used, government and private efforts to promote preventative cardiac care through exercise, diet and improved medications could decrease the overall demand for our products, which could have a material adverse effect on our business, results of operations, financial condition and cash flows.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Because market acceptance of Ablavar has been slower than we anticipated, we have had a series of asset write-downs.</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Given the lower market demand for Ablavar than we initially anticipated and the magnitude of the required purchase minimums originally contained in the manufacturing agreement with Mallinckrodt, we entered into two separate amendments to the agreement in August 2010 and October 2011 to reduce the minimum purchase requirements. In the fourth quarter of 2010, we recorded an inventory write-down of approximately $10.9 million for Ablavar finished good product that had already been manufactured by Mallinckrodt that would likely expire prior to its sale to and use by customers. In the second quarter of 2011, we recorded an impairment charge of $23.5 million, the full remaining value of the product’s intellectual property. In addition, in the second and fourth quarters of 2011, we recorded a further inventory write-down of approximately $13.5 million and $12.3 million, respectively, and a loss of $1.9 million and $3.7 million, respectively, for the portion of committed purchases of Ablavar that we did not believe we would be able to sell prior to product expiry. In the third quarter of 2012, we recorded an additional inventory write-down of approximately $10.6 million and a loss of $1.9 million for the portion of committed purchases of Ablavar that we do not believe we will be able to sell prior to product expiry. Finally, in the fourth quarter of 2013, we recorded an additional inventory write-down of approximately $1.6 million related to the API that the Company would not be able to convert or be able to sell prior to its expiration.</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2013, we had a net Ablavar inventory balance of $1.5 million and the remaining purchase commitment under the agreement with Mallinckrodt was approximately $1.8 million, of which $1.3 million is recorded as an accrued contract loss. In 2013, we transitioned the sales and marketing efforts for Ablavar from our direct sales force to our customer service team in order to allow our direct sales force to drive our DEFINITY sales growth. If we do not meet our current sales goals or cannot sell the product we have committed to purchase prior to its expiration, we could incur additional inventory losses and/or losses on our purchase commitments.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process of developing new drugs and obtaining regulatory approval is complex, time-consuming and costly, and the outcome is not certain.</w:t>
      </w:r>
    </w:p>
    <w:p>
      <w:pPr>
        <w:spacing w:after="0" w:line="10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currently have three agents in development, two of which (flurpiridaz F 18 and 18F LMI 1195) are currently in clinical development, while a third (LMI 1174) is in pre-clinical development. To obtain regulatory approval for these agents, we must conduct extensive human tests, which are referred to as clinical trials, as well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meet other rigorous regulatory requirements, as further described in “Business—Regulatory Matters.” Satisfaction of all regulatory requirements typically takes many years and requires the expenditure of substantial resources. A number of other factors may cause significant delays in the completion of our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an agent to meet required standards for administration to humans. In addition, it may take longer than we project to achieve study endpoints and complete data analysis for a trial or we may decide to slow down the enrollment in a trial in order to conserve financial resources.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agents in development are also subject to the risks of failure inherent in drug development and testing. The results of preliminary studies do not necessarily predict clinical success, and larger and later stage clinical trials may not produce the same results as earlier stage trials. Sometimes, agents that have shown promising results in early clinical trials have subsequently suffered significant setbacks in later clinical trials. Agents in later stage clinical trials may fail to show desired safety and efficacy traits, despite having progressed through initial clinical testing. Further, the data collected from clinical trials of our agents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agents in development are safe and effective for their proposed use will delay or preclude approval and will prevent us from marketing those products.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our flurpiridaz F 18 Phase 3 program, in the fourth quarter of 2013 we announced preliminary results from the 301 trial, which is subject to a Special Protocol Assessment with the FDA. Although flurpiridaz F 18 appeared to be well-tolerated from a safety perspective and outperformed SPECT in a highly statistically significant manner in the co-primary endpoint of sensitivity and in the secondary endpoints of image quality and diagnostic certainty, the agent did not meet its other co-primary endpoint of non-inferiority for identifying subjects without disease. We can give no assurances that our Special Protocol Assessment agreement will be deemed binding on the FDA or will result in any particular outcome from regulatory review of the study or the agent, that any of the data generated thus far in the 301 trial can be used for NDA approval, that a strategic partner will have to conduct only one additional clinical trial, the planned 302 trial, prior to filing an NDA, or that flurpiridaz F 18 will ever be approved as a PET MPI imaging agent by the FDA.</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are not permitted to market our agents in development in the United States or other countries until we have received requisite regulatory approvals. For example, securing FDA approval for a new drug requires the submission of an NDA to the FDA for our agents in development. The NDA must include extensive nonclinical and clinical data and supporting information to establish the agent’s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studies and surveillance or other risk management measures to monitor the safety or efficacy of the agent. Markets outside of the United States also have requirements for approval of agents with which we must comply prior to marketing. Obtaining regulatory approval for marketing of an agent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or agents in development, once obtained, may be withdrawn. Approvals might not be granted on a timely basis, if at 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Even if our agents in development proceed successfully through clinical trials and receive regulatory approval, there is no guarantee that an approved product can be manufactured in commercial quantities at a reasonable cost or that such a product will be successfully marketed or distributed. For example, rather than being manufactured at our own facilities, flurpiridaz F 18 would require the creation of a complex, field-based network involving PET cyclotrons located at radiopharmacies where the agent would need to be manufactured and distributed rapidly to end-users, given the agent’s 110-minute half-life. In addition, in the case of flurpiridaz F 18, obtaining adequate reimbursement is critical, including not only coverage from Medicare, Medicaid, other government payors as well as private payors but also appropriate payment levels which adequately cover the substantially higher manufacturing and distribution costs associated with a PET MPI agent in comparison to, for example, sestamibi.</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not be able to further develop or commercialize our agents in development without successful strategic partners.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2013, we implemented a strategic shift in how we intend to fund our important R&amp;D programs. We have reduced our internal R&amp;D resources, while at the same time we are seeking to engage strategic partners to further develop and commercialize our important agents in development, including flurpiridaz F 18, 18F LMI 1195 and LMI 1174. However, different strategic partners may have different time horizons, risk profiles, return expectations and amounts of capital to deploy, and we may not be able to negotiate relationships with potential strategic partners on acceptable terms, or at all. In addition, because we failed to meet one of our two co-primary endpoints in the first of our two flurpiridaz F 18 Phase 3 trials, we have initiated discussions about potential next steps in the flurpiridaz F 18 development process with the FDA. If we are unable to establish or maintain these strategic partnerships, we will have to limit the size or scope of, or delay, our development programs.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dependence on strategic partnerships is subject to a number of risks, including:</w:t>
      </w:r>
    </w:p>
    <w:p>
      <w:pPr>
        <w:spacing w:after="0" w:line="77"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control the amount or timing of resources that our partners may devote to developing the agents;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we may be required to relinquish important rights, including intellectual property, marketing and distribution rights;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receipt of lower revenues than if we were to commercialize those agents ourselves;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receive future milestone payments or royalties if a partner fails to commercialize one of our agents successfully;</w:t>
      </w:r>
    </w:p>
    <w:p>
      <w:pPr>
        <w:spacing w:after="0" w:line="103"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a partner could separately move forward with competing agents developed either independently or in collaboration with others, including our competitors;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our strategic partners may experience financial or operational difficulties;</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partner’s business strategy that may adversely affect that partner’s willingness or ability to complete its obligations under any arrangement with us; and</w:t>
      </w:r>
    </w:p>
    <w:p>
      <w:pPr>
        <w:spacing w:after="0" w:line="37"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our partners may operate in countries where their operations could be negatively impacted by changes in the local regulatory environment or by political unrest.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of these factors either alone or taken together could have a material adverse effect on our business, results of operations, financial condition and cash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heightened public or regulatory focus on the radiation risks of diagnostic imaging could have an adverse effect on our business.</w:t>
      </w:r>
    </w:p>
    <w:p>
      <w:pPr>
        <w:spacing w:after="0" w:line="10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there has been heightened public and regulatory focus on radiation exposure, including the concern that repeated doses of radiation used in diagnostic imaging procedures pose the potential risk of long-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term cell damage, cancer and other diseases. For example, starting in January 2012, CMS required the accreditation of facilities providing the technical component of advanced imaging services, including CT, MRI, PET and nuclear medicine, in non-hospital free-standing settings. In August 2011, the Joint Commission (an independent, not-for-profit organization that accredits and certifies more than 19,000 healthcare organizations and programs in the United States) issued an alert on the radiation risks of diagnostic imaging and recommended specific actions of providing “the right test and the right dose through effective processes, safe technology and a culture of safety.”</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Heightened regulatory focus on risks caused by the radiation exposure received by diagnostic imaging patients could lead to increased regulation of radiopharmaceutical manufacturers or healthcare providers who perform procedures that use our imaging agents, which could make the procedures more costly, reduce the number of providers who perform procedures and/or decrease the demand for our products. In addition, heightened public focus on or fear of radiation exposure could lead to decreased demand for our products by patients or by healthcare providers who order the procedures in which our agents are used. Although we believe that our diagnostic imaging agents when properly used do not expose patients and healthcare providers to unsafe levels of radiation, any of the foregoing risks could have an adverse effect on our business, results of operations, financial condition and cash flows.</w:t>
      </w:r>
    </w:p>
    <w:p>
      <w:pPr>
        <w:spacing w:after="0" w:line="107"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3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Any product liability claim brought against us, with or without merit, could be time consuming and costly to defend and could result in an increase of our insurance premiums. Although we have not had any such claims to date, claims that could be brought against us might not be covered by our insurance policies. Furthermore, although we currently have product liability insurance coverage with policy limits that we believe are customary for pharmaceutical companies in the diagnostic medical imaging industry and adequate to provide us with insurance coverage for foreseeable risks, even where the claim is covered by our insurance, our insurance coverage might be inadequate and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use hazardous materials in our business and must comply with environmental laws and regulations, which can be expensive.</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in these safety procedures and seek to limit any inherent risks. We generally contract with third parties for the disposal of wastes generated by our operations. Prior to disposal, we store any low level radioactive waste at our facilities to decay until the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event of accidental contamination or injury from these materials, we could be held liable for any damages that result and any such liability could exceed our resources.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9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technologies and agents in development as well as successfully defending these patents and trade secrets against third party challenges, both in the United States and in foreign countries. We will only be able to protect our intellectual property from unauthorized use by third parties to the extent that we maintain the secrecy of our trade secrets and can enforce our valid patents and trademarks.</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United States or other countries may diminish the value of our intellectual property and we may not receive the same degree of protection in every jurisdiction. Accordingly, we cannot predict the breadth of claims that may be allowed or enforced in our patents or in third party patents.</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7" w:lineRule="exact"/>
        <w:rPr>
          <w:sz w:val="20"/>
          <w:szCs w:val="20"/>
          <w:color w:val="auto"/>
        </w:rPr>
      </w:pPr>
    </w:p>
    <w:p>
      <w:pPr>
        <w:ind w:left="660" w:right="2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and issued patents, and we could lose our patent rights as a result;</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 or our patent applications may not have been timely filed, and we could lose our patent rights as a result;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any further issued patents;</w:t>
      </w:r>
    </w:p>
    <w:p>
      <w:pPr>
        <w:spacing w:after="0" w:line="103"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patent applications or patents may be subject to interferences, oppositions, post-grant review, reexaminations or similar administrative proceedings;</w:t>
      </w:r>
    </w:p>
    <w:p>
      <w:pPr>
        <w:spacing w:after="0" w:line="126" w:lineRule="exact"/>
        <w:rPr>
          <w:rFonts w:ascii="Arial" w:cs="Arial" w:eastAsia="Arial" w:hAnsi="Arial"/>
          <w:sz w:val="16"/>
          <w:szCs w:val="16"/>
          <w:color w:val="auto"/>
        </w:rPr>
      </w:pPr>
    </w:p>
    <w:p>
      <w:pPr>
        <w:ind w:left="660" w:right="540" w:hanging="206"/>
        <w:spacing w:after="0" w:line="32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fail to seek patent protection in certain countries where the actual cost outweighs the perceived benefit at a certain time;</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issued in foreign jurisdictions may have different scopes of coverage as our United States patents and so our products may not receive the same degree of protection in foreign countries as they would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 third party may challenge the validity or enforceability of a patent even after its issuance by the U.S. Patent and Trademark Office or the applicable foreign patent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defense and prosecution of intellectual property suits, interferences, oppositions and related legal and administrative proceedings are costly, time consuming to pursue and result in diversion of resources. The outcome of these proceedings is uncertain and could significantly harm our business. If we are not able to defend the patents of our technologies and products, then we will not be able to exclude competitors from marketing products that directly compete with our products, which could have a material adverse effect on our business, results of operations, financial condition and cash flows.</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will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 We often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adverse effect on our business, results of operations, financial condition and cash flows.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including DEFINITY, Cardiolite, TechneLite, Ablavar, Neurolite, Quadramet and Lantheus Medical Imaging. We cannot assure you that any pending trademark applications will be approved.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107"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We may be subject to claims that we have infringed, misappropriated or otherwise violated the patent or other intellectual property rights of a third party. The outcome of any of these claims is uncertain and any unfavorable result could adversely affect our business, financial condition and results of operations.</w:t>
      </w:r>
    </w:p>
    <w:p>
      <w:pPr>
        <w:spacing w:after="0" w:line="4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may be subject to claims by third parties that we have infringed, misappropriated or otherwise violated their intellectual property rights. While we believe that the products that we currently manufacture using our proprietary technology do not infringe upon or otherwise violate proprietary rights of other parties or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meritorious defenses would exist with respect to any assertions to the contrary, we cannot assure you that we would not be found to infringe on or otherwise violate the proprietary rights of others.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be subject to litigation over infringement claims regarding the products we manufacture or distribute. This type of litigation can be costly and time consuming and could divert management’s attention and resources, generate significant expenses, damage payments (potentially including treble damages) or restrictions or prohibitions on our use of our technology, which could adversely affect our results of operations. In addition, if we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adversely affected by the current economic environment.</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ability to attract and retain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and inflationary pressures. We cannot anticipate all the ways in which the current economic climate and financial market conditions could adversely impact our business.</w:t>
      </w:r>
    </w:p>
    <w:p>
      <w:pPr>
        <w:spacing w:after="0" w:line="9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In addition, if economic challenges in the United States result in widespread and prolonged unemployment, either regionally or on a national basis, prior to the effectiveness of certain provisions of the Healthcare Reform Act, a substantial number of people may become uninsured or underinsured. In turn, this may lead to fewer individuals pursuing or being able to afford diagnostic medical imaging procedures. To the extent economic challenges result in fewer procedures being performed, our business, results of operations, financial condition and cash flows could be adversely affected.</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business is subject to international economic, political and other risks that could negatively affect our results of operations or financial position.</w:t>
      </w:r>
    </w:p>
    <w:p>
      <w:pPr>
        <w:spacing w:after="0" w:line="11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the years ended December 31, 2013, 2012 and 2011, 25%, 27% and 25%, respectively, of our revenues were derived from countries outside the United States. We anticipate that revenue from non-U.S. operations will grow. Accordingly, our business is subject to risks associated with doing business internationally, including:</w:t>
      </w:r>
    </w:p>
    <w:p>
      <w:pPr>
        <w:spacing w:after="0" w:line="46"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stable political and economic environments and changes in a specific country’s or region’s political or economic conditions;</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entering into or renewing commercial agreements with international governments or provincial authorities or entities directly or indirectly controlled by such governments or authorities, such as our Chinese partner Double-Crane Pharmaceutical Company;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international customers which are agencies or institutions of foreign governments,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local business practices which may be in conflict with the FCPA and Bribery Act;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negative consequences from changes in tax laws affecting our ability to repatriate profits;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labor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difficulties in relying on non-U.S. courts to enforce either local or U.S. laws, particularly with respect to intellectual property;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potential for intellectual property piracy;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difficulties in managing and staffing non-U.S. operations;</w:t>
      </w:r>
    </w:p>
    <w:p>
      <w:pPr>
        <w:spacing w:after="0" w:line="103" w:lineRule="exact"/>
        <w:rPr>
          <w:rFonts w:ascii="Arial" w:cs="Arial" w:eastAsia="Arial" w:hAnsi="Arial"/>
          <w:sz w:val="18"/>
          <w:szCs w:val="18"/>
          <w:color w:val="auto"/>
        </w:rPr>
      </w:pPr>
    </w:p>
    <w:p>
      <w:pPr>
        <w:ind w:left="660" w:right="260" w:hanging="206"/>
        <w:spacing w:after="0" w:line="32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public attitudes about the perceived safety of nuclear facilities;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trade policies, regulatory requirements and other barriers;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unrest or other catastrophic events;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payment cycles of non-U.S. customers and difficulty collecting receivables in non-U.S. jurisdictions.</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factors are beyond our control. The realization of any of these or other risks associated with operating in non-U.S. countries could have a material adverse effect on our business, results of operations, financial condition and cash flows. As our international exposure increases and as we execute our strategy of international expansion, these risks may intensify.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currency and other risks associated with international sales.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generate significant revenue from export sales, as well as from operations conducted outside the United States. During the years ended December 31, 2013, 2012 and 2011, the net impact of foreign currency changes on transactions was a loss of $349,000, $579,000 and $156,000, respectively. Operations outside the United States expose us to risks including fluctuations in currency values, trade restrictions, tariff and trade regulations, U.S. export controls, non-U.S.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functional currency of each of our non-U.S. operations is generally the local currency, although one non-U.S. operation’s functional currency is the U.S. Dollar. Exchange rates between some of these currencies and U.S. Dollar have fluctuated significantly in recent years and may do so in the future. Historically, we have not used derivative financial instruments or other financial instruments to hedge those economic exposures. It is possible that fluctuations in exchange rates will have a negative effect on our results of operations.</w:t>
      </w:r>
    </w:p>
    <w:p>
      <w:pPr>
        <w:spacing w:after="0" w:line="130" w:lineRule="exact"/>
        <w:rPr>
          <w:sz w:val="20"/>
          <w:szCs w:val="20"/>
          <w:color w:val="auto"/>
        </w:rPr>
      </w:pPr>
    </w:p>
    <w:p>
      <w:pPr>
        <w:ind w:left="240" w:right="140"/>
        <w:spacing w:after="0" w:line="325" w:lineRule="auto"/>
        <w:rPr>
          <w:sz w:val="20"/>
          <w:szCs w:val="20"/>
          <w:color w:val="auto"/>
        </w:rPr>
      </w:pPr>
      <w:r>
        <w:rPr>
          <w:rFonts w:ascii="Arial" w:cs="Arial" w:eastAsia="Arial" w:hAnsi="Arial"/>
          <w:sz w:val="16"/>
          <w:szCs w:val="16"/>
          <w:b w:val="1"/>
          <w:bCs w:val="1"/>
          <w:i w:val="1"/>
          <w:iCs w:val="1"/>
          <w:color w:val="auto"/>
        </w:rPr>
        <w:t>U.S. credit markets may impact our ability to obtain financing or increase the cost of future financing, including, in the event we obtain financing with a variable interest rate, interest rate fluctuations based on macroeconomic conditions that are beyond our control.</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2013, we had approximately $408.0 million of total principal indebtedness consisting of $400.0 million of Notes issued May 10, 2010 and March 16, 2011 and due May 15, 2017 and our revolving credit facility, with an outstanding balance of $8.0 million. The Facility currently has $25.7 million of remaining availability. In addition to the $8.0 million outstanding under the Facility, there is an $8.8 million unfunded Standby Letter of Credit as of December 31, 2013. During periods of volatility and disruption in the U.S., European, or global credit markets, obtaining additional or replacement financing may be more difficult and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cost of issuing new debt or replacing our Facility could be higher than under our current Facility. Higher cost of new debt may limit our ability to have cash on hand for working capital, capital expenditures and acquisitions on terms that are acceptable to us. Additionally, the Facility has a variable interest rate.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pacing w:after="0" w:line="99" w:lineRule="exact"/>
        <w:rPr>
          <w:sz w:val="20"/>
          <w:szCs w:val="20"/>
          <w:color w:val="auto"/>
        </w:rPr>
      </w:pPr>
    </w:p>
    <w:p>
      <w:pPr>
        <w:ind w:left="240" w:right="300"/>
        <w:spacing w:after="0" w:line="325" w:lineRule="auto"/>
        <w:rPr>
          <w:sz w:val="20"/>
          <w:szCs w:val="20"/>
          <w:color w:val="auto"/>
        </w:rPr>
      </w:pPr>
      <w:r>
        <w:rPr>
          <w:rFonts w:ascii="Arial" w:cs="Arial" w:eastAsia="Arial" w:hAnsi="Arial"/>
          <w:sz w:val="16"/>
          <w:szCs w:val="16"/>
          <w:b w:val="1"/>
          <w:bCs w:val="1"/>
          <w:i w:val="1"/>
          <w:iCs w:val="1"/>
          <w:color w:val="auto"/>
        </w:rPr>
        <w:t>Many of our customer relationships outside of the United States are, either directly or indirectly, with governmental entities, and we could be adversely affected by violations of the U.S. Foreign Corrupt Practices Act and similar worldwide anti-bribery laws outside the United States.</w:t>
      </w:r>
    </w:p>
    <w:p>
      <w:pPr>
        <w:spacing w:after="0" w:line="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United States are, either directly or indirectly, with governmental entities and are therefore subject to the FCPA and similar anti-bribery laws in non-U.S. jurisdictions. In addition, the Bribery Act has been enacted, and its provisions extend beyond bribery of foreign public officials and are more onerous than the FCPA in a number of other respects, including jurisdiction, non-exemption of facilitation payments and penalties.</w:t>
      </w:r>
    </w:p>
    <w:p>
      <w:pPr>
        <w:spacing w:after="0" w:line="13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these laws, or allegations of those violations, could disrupt our business and result in a material adverse effect on our results of operations, financial condition and cash flows.</w:t>
      </w:r>
    </w:p>
    <w:p>
      <w:pPr>
        <w:spacing w:after="0" w:line="129"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technology infrastructure, and failures of this infrastructure could harm our operations.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remain competitive in our industry, we must employ information technologies to support manufacturing processes, quality processes, distribution, R&amp;D and regulatory applications and that capture, manage and analyze the large streams of data generated in our clinical trials in compliance with applicable regulatory requirements. We rely extensively on technology, some of which is managed by third-party service providers, to allow the concurrent conduct of work sharing around the world. As with all information technology, our infrastructure ages and becomes subject to increasing maintenance and repair and our systems generally are vulnerable to potential damage or interruptions from fires, natural disasters, power outages, blackouts, telecommunications failures and other unexpected events, as well as to break-ins, sabotage, increasingly sophisticated intentional acts of vandalism or cyber threats. As these threats continue to evolve, we may be required to expend additional resources to enhance our information security measures or to investigate and remediate any information security vulnerabilities. Given the extensive reliance of our business on technology, any substantial disruption or resulting loss of data that is not avoided or corrected by our backup measures could harm our business, operations and financial condition.</w:t>
      </w:r>
    </w:p>
    <w:p>
      <w:pPr>
        <w:spacing w:after="0" w:line="106"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may not be able to hire or retain the number of qualified personnel, particularly scientific, medical and sales personnel, required for our business, which would harm the development and sales of our products and limit our ability to grow.</w:t>
      </w:r>
    </w:p>
    <w:p>
      <w:pPr>
        <w:spacing w:after="0" w:line="3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Competition in our industry for highly skilled scientific, healthcare and sales personnel is intense. Although we have not had any material difficulty in the past in hiring or retaining qualified personnel other than from this intense competition, if we are unable to retain our existing personnel, or attract and train additional qualified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personnel, either because of competition in our industry for these personnel or because of insufficient financial resources, then our growth may be limited and it could have a material adverse effect on our business.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lose the services of our key personnel, our business could be adversely affected.</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success is substantially dependent upon the performance, contributions and expertise of our chief executive officer, executive leadership and senior management team. Jeffrey Bailey, our Chief Executive Officer and President, and other members of our executive leadership and senior management team play a significant role in generating new business and retaining existing customers. We have employment agreements with Mr. Bailey and a limited number of other individuals on our executive leadership team, although we cannot prevent them from terminating their employment with us. We do not maintain key person life insurance policies on any of our executive officers. While we have experienced both voluntary and involuntary turnover on our executive leadership team, to date we have been able to attract new, qualified individuals to lead our company and key functional areas. Our inability to retain our existing executive leadership and senior management team, maintain an appropriate internal succession program or attract and retain additional qualified personnel could have a material adverse effect on our business.</w:t>
      </w:r>
    </w:p>
    <w:p>
      <w:pPr>
        <w:spacing w:after="0" w:line="105"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in-license or acquire additional products, and if we do not successfully do so, or otherwise fail to integrate any new products into our operations, we may have limited growth opportunities and it could materially adversely affect our relationships with customers and/or result in significant impairment charges.</w:t>
      </w:r>
    </w:p>
    <w:p>
      <w:pPr>
        <w:spacing w:after="0" w:line="4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continuing to seek to acquire or in-license products, businesses or technologies that we believe are a strategic fit with our business strategy. Future in-licenses or acquisitions, however, may entail numerous operational and financial risks, including:</w:t>
      </w:r>
    </w:p>
    <w:p>
      <w:pPr>
        <w:spacing w:after="0" w:line="37"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disruption of our business, customer base and diversion of our management’s time and attention to develop acquired products or technologies;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reduction of our current financial resources;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development activities for those acquired or in-licensed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may not have sufficient resources to identify and execute the acquisition or in-licensing of third 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products or customers and the companies which we acquire that may create conflicts in relationships or other commitments detrimental to the integrated businesses. Additionally, the time between our expenditures to in-license or acquire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6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financial and operating activities and may adversely affect our ability to incur additional debt to fund future needs.</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2013, we had approximately $408.0 million of total principal indebtedness consisting of $400.0 million of the Notes, which mature on May 15, 2017, and $8.0 million outstanding under the Facility. As of December 31, 2013, in addition to the $8.0 million outstanding under the Facility, there is an $8.8 million unfunded Standby Letter of Credit. Our substantial indebtedness and any future indebtedness we incur could:</w:t>
      </w:r>
    </w:p>
    <w:p>
      <w:pPr>
        <w:spacing w:after="0" w:line="12" w:lineRule="exact"/>
        <w:rPr>
          <w:sz w:val="20"/>
          <w:szCs w:val="20"/>
          <w:color w:val="auto"/>
        </w:rPr>
      </w:pPr>
    </w:p>
    <w:p>
      <w:pPr>
        <w:ind w:left="660" w:right="62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 from operations to the payment of interest on and principal of our indebtedness, thereby reducing the funds available for other purposes;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it more difficult for us to satisfy and comply with our obligations with respect to the Notes, namely the payment of interest and principal;</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us to increased sensitivity to interest rate increases;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us more vulnerable to economic downturns, adverse industry or company conditions or catastrophic external events;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our flexibility in planning for or responding to changing business, industry and economic conditions;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place us at a competitive disadvantage to competitors that have relatively less debt than we have.</w:t>
      </w:r>
    </w:p>
    <w:p>
      <w:pPr>
        <w:spacing w:after="0" w:line="1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our substantial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not within our control.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ability to generate sufficient cash flow from operations to make scheduled payments on our debt obligations, which are currently $39.0 million of interest per year based on our $400.0 million in total principal indebtedness as of December 31, 2013 related to the Notes, which principal is due at maturity on May 15, 2017, will depend on our future financial performance, which will be affected by a range of economic, competitive and business factors, many of which are outside of our control. If we do not generate sufficient cash flow from operations to satisfy our debt obligations, including interest payments and the payment of principal at maturity, our credit ratings could be downgraded, and we may have to undertake alternative financing plans, such as refinancing or restructuring our debt, selling assets, entering into additional corporate collaborations or licensing arrangements for one or more of our products or agents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Despite our substantial indebtedness, we may incur more debt, which could exacerbate the risks described above.</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subject to the limitations contained in the agreements governing our debt, including the Indenture (as defined below) governing the Notes. Although these agreements restrict us and our restricted subsidiaries from incurring additional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We are also permitted to incur indebtedness under the Indenture governing the Notes so long as we comply with an interest coverage ratio of 2.0 to 1.0, determined on a pro forma basis for the most recently completed four fiscal quarters. See “Management’s Discussion and Analysis of Financial Condition and Results of Operations—Liquidity and Capital Resources—External Sources of Liquidity.” If we or our subsidiaries incur additional debt, the risks that we and they now face as a result of our high leverage could intensify. In addition, the Indenture governing the Notes and the agreement governing the Facility will not prevent us from incurring obligations that do not constitute indebtedness under the agreements.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governing the Notes and the agreement governing the Facility contain various covenants that limit our ability to engage in specified types of transactions. These covenants limit our and our restricted subsidiaries’ ability to, among other things:</w:t>
      </w:r>
    </w:p>
    <w:p>
      <w:pPr>
        <w:spacing w:after="0" w:line="37"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redeem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8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 breach of any of these covenants could result in a default under the Indenture governing the Notes and the agreement governing the Facility. We may also be unable to take advantage of business opportunities that arise because of the limitations imposed on us by the restrictive covenants under our indebtedness.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limited in our ability to utilize, or may not be able to utilize, net operating loss carryforwards to reduce our future tax liability.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we had federal income tax loss carryforwards of $84.8 million, which will begin to expire in 2031 and will completely expire in</w:t>
      </w:r>
    </w:p>
    <w:p>
      <w:pPr>
        <w:spacing w:after="0" w:line="3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2034. We have had significant financial losses in previous years and as a result we currently maintain a full valuation allowance for our deferred tax assets including our federal and state tax loss carryforwards.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 and Ownership Structure</w:t>
      </w:r>
    </w:p>
    <w:p>
      <w:pPr>
        <w:spacing w:after="0" w:line="83"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As a NYSE or NASDAQ-listed public company, we will become subject to additional financial and other reporting and corporate governance requirements that may be difficult for us to satisfy.</w:t>
      </w:r>
    </w:p>
    <w:p>
      <w:pPr>
        <w:spacing w:after="0" w:line="3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As a publicly traded company, we will incur significant legal, accounting and other expenses that we were not required to incur in the recent past, particularly after we are no longer an emerging growth company as defined under the JOBS Act. After this offering, we will be required to file with the SEC annual and quarterly information and other reports that are specified in Section 13 of the Exchange Act. In addition, the Sarbanes-Oxley Act of 2002, or the Sarbanes-Oxley Act, and the Dodd-Frank Act, as well as rules subsequently implemented by the SEC, have imposed various requirements on public companies, including the establishment and maintenance of effective disclosure controls and procedures, internal controls and corporate governance practices.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In order to maintain and improve the effectiveness of our disclosure controls and procedures and internal controls over financial reporting to be compliant with the Sarbanes-Oxley Act, significant resources and management oversight will be required. We are also required to evaluate our internal controls systems in order to allow management to report on, and our independent auditors to audit, our internal control over financial reporting. We are required to perform the system and process evaluation and testing (and any necessary remediation) required to comply with the management certification and auditor attestation requirements of Section 404 of the Sarbanes-Oxley Act. We incur significant legal, accounting and other expenses in order to comply with these requirements and the other requirements of the Sarbanes-Oxley Act and the Dodd-Frank Act.</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this offering, we will also be required to ensure that we have the ability to prepare financial statements that are fully compliant with all SEC reporting requirements on a timely basis. We will also become subject to other reporting and corporate governance requirements, including the requirements of the New York Stock Exchange MKT, or NYSE, or The NASDAQ Global Market, or NASDAQ, and certain additional provisions of the Sarbanes-Oxley Act and the regulations promulgated thereunder, which will impose significant compliance obligations upon us. As a NYSE or NASDAQ-listed public company, we will be required to:</w:t>
      </w:r>
    </w:p>
    <w:p>
      <w:pPr>
        <w:spacing w:after="0" w:line="48" w:lineRule="exact"/>
        <w:rPr>
          <w:sz w:val="20"/>
          <w:szCs w:val="20"/>
          <w:color w:val="auto"/>
        </w:rPr>
      </w:pPr>
    </w:p>
    <w:p>
      <w:pPr>
        <w:ind w:left="660" w:right="30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prepare and distribute additional periodic public reports and other stockholder communications in compliance with our obligations under the federal securities laws and NYSE or NASDAQ rules;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supplement our internal accounting, auditing and tax functions, including hiring additional staff with expertise in accounting and financial reporting for a public company;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enhance our investor relations function;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These changes will require a significant commitment of additional resources. We may not be successful in implementing these requirements and implementing them could adversely affect our business or operating results. In addition, if we fail to implement the requirements with respect to our internal accounting and audit functions, our ability to report our results of operations on a timely and accurate basis could be impaired and we could suffer adverse regulatory consequences or violate NYSE or NASDAQ listing standards. There could also be a negative reaction in the financial markets due to a loss of investor confidence in us and the reliability of our financial statements, which could have a material adverse effect on our business, results of operations, financial condition and cash flows.</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which could have a material adverse effect on our business, results of operations, financial condition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management team currently manages a private company and the transition to managing a public company will present new challenges.</w:t>
      </w:r>
    </w:p>
    <w:p>
      <w:pPr>
        <w:spacing w:after="0" w:line="10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Following the completion of this offering, we will be subject to various additional regulatory requirements, including those of the SEC and the NYSE or NASDAQ. These requirements include record keeping, financial reporting and corporate governance rules and regulations. While certain members of our management team have experience managing a public company, we do not have the resources typically found in a public company. Our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or are otherwise unable to fulfill our public company obligations, it could have a material adverse effect on our business, financial condition, results of operations and cash flows.</w:t>
      </w:r>
    </w:p>
    <w:p>
      <w:pPr>
        <w:spacing w:after="0" w:line="130"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Our internal control over financial reporting does not currently meet the standards required by Section 404 of the Sarbanes-Oxley Act, and failure to achieve and maintain effective internal control over financial reporting in accordance with Section 404 of the Sarbanes-Oxley Act could have a material adverse effect on our business, financial condition and results of operations.</w:t>
      </w:r>
    </w:p>
    <w:p>
      <w:pPr>
        <w:spacing w:after="0" w:line="4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a privately held company, we have not been required to evaluate our internal control over financial reporting in a manner that meets the standards of publicly traded companies required by Section 404 of the Sarbanes-Oxley Act. Section 404 of the Sarbanes-Oxley Act requires annual management assessments of the effectiveness of our internal control over financial reporting, starting with the second annual report that we file with the SEC as a public company, and generally requires in the same report a report by our independent registered public accounting firm on the effectiveness of our internal control over financial reporting. However, under the recently enacted JOBS Act, our independent registered public accounting firm will not be required to attest to the effectiveness of our internal control over financial reporting pursuant to Section 404 of the Sarbanes-Oxley Act until we are no longer an emerging growth company. We could be an emerging growth company for up to five years after becoming a public company. 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of our existing controls and the incurrence of significant additional expenditures.</w:t>
      </w:r>
    </w:p>
    <w:p>
      <w:pPr>
        <w:spacing w:after="0" w:line="10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implementation of any requested improvements and receiving a favorable attestation in connection with the attestation provided by our independent registered public accounting firm. We will be unable to issue securities in the public markets through the use of a shelf registration statement if we are not in compliance with Section 404. Furthermore, failure to achieve and maintain an effective internal control environment could limit our ability to report our financial results accurately and timely and have a material adverse effect on our business, results of operations, financial condition and cash flows.</w:t>
      </w:r>
    </w:p>
    <w:p>
      <w:pPr>
        <w:spacing w:after="0" w:line="105"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3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the market price of our common stock may be more volatile.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NYSE or NASDAQ rules and, as a result, we will qualify for, and intend to rely on, exemptions from certain corporate governance requirements. Our stockholders will not have the same protections afforded to stockholders of companies that are subject to those requirements.</w:t>
      </w:r>
    </w:p>
    <w:p>
      <w:pPr>
        <w:spacing w:after="0" w:line="4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After the consummation of this offering, Avista will collectively beneficially own approximately % of our outstanding common stock and will collectively beneficially own approximately % of our outstanding common stock if the underwriters’ over-allotment option to purchase additional shares is exercised in full. As a consequence, Avista will be able to exert a significant degree of influence or actual control over our management and affairs and will control matters requiring stockholder approval, including the election of directors, a merger, consolidation or sale of all or substantially all of our assets, and any other significant transaction. The interests of this stockholder may not always coincide with our interests or the interests of our other stockholders. For instance, this concentration of ownership may have the effect of delaying or preventing a change in control of us otherwise favored by our other stockholders and could depress our stock price.</w:t>
      </w:r>
    </w:p>
    <w:p>
      <w:pPr>
        <w:spacing w:after="0" w:line="13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Following this offering, Avista will continue to control a majority of the voting power of our outstanding common stock. As a result, we are a “controlled company” within the meaning of the corporate governance standards of the NYSE or NASDAQ. Under these rules, a company of which more than 50% of the voting power is held by an individual, group or another company is a “controlled company” and may elect not to comply with certain corporate governance requirements, including:</w:t>
      </w:r>
    </w:p>
    <w:p>
      <w:pPr>
        <w:spacing w:after="0" w:line="49"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nominating/corporate governance and compensation committees.</w:t>
      </w:r>
    </w:p>
    <w:p>
      <w:pPr>
        <w:spacing w:after="0" w:line="1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Following this offering, we intend to utilize these exemptions. As a result, our nominating and corporate governance committee and compensation committee will not consist entirely of independent directors and those committees will not be subject to annual performance evaluations. Additionally, we only are required to have one independent audit committee member upon the listing of our common stock on the NYSE or NASDAQ, a majority of independent audit committee members within 90 days from the date of listing and all independent audit committee members within one year from the date of listing. Accordingly, you will not have the same protections afforded to stockholders of companies that are subject to all of the corporate governance requirements of the NYSE or NASDAQ.</w:t>
      </w:r>
    </w:p>
    <w:p>
      <w:pPr>
        <w:spacing w:after="0" w:line="1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Avista, however, is not subject to any contractual obligation to retain their controlling interest, except that they have agreed,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the representatives of the underwriters in this initial public offering. Except for this brief period, there can be no assurance as to the period of time during which Avista will maintain their ownership of our common stock following the offering. As a result, there can be no assurance as to the period of time during which we will be able to avail ourselves of the controlled company exemptions.</w:t>
      </w:r>
    </w:p>
    <w:p>
      <w:pPr>
        <w:spacing w:after="0" w:line="102"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could prohibit a change of control that our stockholders may favor and could negatively affect our stock price.</w:t>
      </w: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the closing of this offering, provisions in our amended and restated certificate of incorporation and by-laws may make it more difficult and expensive for a third party to acquire control of us even if a change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control would be beneficial to the interests of our stockholders. These provisions could discourage potential takeover attempts and could adversely affect the market price of our common stock. These provisions may also prevent or frustrate attempts by our stockholders to replace or remove our management. For example, our amended and restated certificate of incorporation and by-laws:</w:t>
      </w:r>
    </w:p>
    <w:p>
      <w:pPr>
        <w:spacing w:after="0" w:line="46"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our Board of Directors to issue preferred stock with such terms as they determine, without stockholder approval;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only one-third of the members of the board are elected at each stockholders meeting and prohibit removal without cause;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advance notice for stockholder proposals and director nominations;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contain limitations on convening stockholder meetings.</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These provisions make it more difficult for stockholders or potential acquirers to acquire us without negotiation and could discourage potential takeover attempts and could adversely affect the market price of our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 may arise because some of our directors are principals of our principal stockholder.</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the completion of this offering, representatives of Avista will occupy two of the seats on our Board of Directors. Avista could invest in entities that directly or indirectly compete with us or companies in which Avista is currently invested may already compete with us. As a result of these relationships, when conflicts arise between the interests of Avista and the interests of our stockholders, these directors may not be disinterested. Neither Avista nor the representatives of Avista on our Board of Directors, by the terms of our amended and restated certificate of incorporation, are required to offer us any transaction opportunity of which they become aware, and any of them could take any such opportunity for themselves or offer it to other companies in which they have an investment, unless that opportunity is expressly offered to a person serving as our director solely in his or her capacity as our director.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may not be an active, liquid trading market for our common stock.</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there has been no public market for shares of our common stock. We cannot predict the extent to which investor interest in our company will lead to the development of a trading market on the NYSE or NASDAQ, or how liquid that market may become. If an active trading market does not develop, you may have difficulty selling any of our common stock that you purchase. The initial public offering price of shares of our common stock will be determined by negotiation between us and the underwriters and may not be indicative of prices that will prevail following the completion of this offering. The market price of shares of our common stock may decline below the initial public offering price, and you may not be able to resell your shares of our common stock at or above the initial offering price.</w:t>
      </w:r>
    </w:p>
    <w:p>
      <w:pPr>
        <w:spacing w:after="0" w:line="13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Our stock price could fluctuate significantly, which could cause the value of your investment to decline, and you may not be able to resell your shares at or above the initial public offering price.</w:t>
      </w:r>
    </w:p>
    <w:p>
      <w:pPr>
        <w:spacing w:after="0" w:line="3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trading price of our common stock is likely to be volatile and subject to wide price fluctuations in response to various factors, including:</w:t>
      </w:r>
    </w:p>
    <w:p>
      <w:pPr>
        <w:spacing w:after="0" w:line="12"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anticipated and reported clinical trial results;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 perceptions of us and the specialty pharmaceutical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may invest or spend our net proceeds from this offering in ways that may not yield an acceptable return to you.</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Although we plan to use a portion of our net proceeds from this offering to reduce our outstanding indebtedness and to pay fees and expenses associated with the offering, we also may use a portion of the net proceeds for general corporate purposes. We will have broad discretion as to how we will spend those proceeds, and you will have no advance opportunity to evaluate our decisions and may not agree with the manner in which we spend those proceeds. We may not be successful investing the proceeds from this offering in either our operations or external investments.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a substantial number of shares become available for sale and are sold in a short period of time, the market price of our common stock could decline.</w:t>
      </w:r>
    </w:p>
    <w:p>
      <w:pPr>
        <w:spacing w:after="0" w:line="111"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If our existing stockholders sell substantial amounts of our common stock in the public market following this offering, the market price of our common stock could decrease significantly. The perception in the public market that our existing stockholders might sell shares of common stock could also depress the</w:t>
      </w:r>
    </w:p>
    <w:p>
      <w:pPr>
        <w:ind w:right="60"/>
        <w:spacing w:after="0" w:line="288" w:lineRule="auto"/>
        <w:rPr>
          <w:sz w:val="20"/>
          <w:szCs w:val="20"/>
          <w:color w:val="auto"/>
        </w:rPr>
      </w:pPr>
      <w:r>
        <w:rPr>
          <w:rFonts w:ascii="Arial" w:cs="Arial" w:eastAsia="Arial" w:hAnsi="Arial"/>
          <w:sz w:val="16"/>
          <w:szCs w:val="16"/>
          <w:color w:val="auto"/>
        </w:rPr>
        <w:t>market price of our common stock. Upon the consummation of this offering, we will have shares of common stock outstanding. Our directors, executive officers and certain of our significant stockholders will be subject to the lock-up agreements described in “Underwriting” and are subject to the Rule 144 holding period requirements described in “Shares Eligible for Future Sale.” After these lock-up agreements have expired and holding periods have elapsed and the lock-up periods set forth in our registration rights agreement to be entered into in connection with this offering have expired, additional shares, some of which will be subject to vesting, will be eligible for sale in the public market. The market price of shares of our common stock may drop significantly when the restrictions on resale by our existing stockholders lapse. A decline in the price of shares of our common stock might impede our ability to raise capital through the issuance of additional shares of our common stock or other equity securities.</w:t>
      </w:r>
    </w:p>
    <w:p>
      <w:pPr>
        <w:spacing w:after="0" w:line="109" w:lineRule="exact"/>
        <w:rPr>
          <w:sz w:val="20"/>
          <w:szCs w:val="20"/>
          <w:color w:val="auto"/>
        </w:rPr>
      </w:pPr>
    </w:p>
    <w:p>
      <w:pPr>
        <w:ind w:left="240" w:right="320"/>
        <w:spacing w:after="0" w:line="32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currently intend to retain our future earnings, if any, for the foreseeable future, to repay indebtedness and to fund the development and growth of our business. We do not intend to pay any dividends to holders of our common stock and the indenture governing the Notes and the agreement governing our revolving credit facility limit our ability to pay dividends. As a result, capital appreciation in the price of our common stock, if any, will be your only source of gain on an investment in our common stock. See “Dividend Policy.”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investors in our common stock will experience immediate and substantial book value dilution after this offering.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initial public offering price of our common stock will be substantially higher than the pro forma net tangible book value per share of the outstanding</w:t>
      </w:r>
    </w:p>
    <w:p>
      <w:pPr>
        <w:spacing w:after="0" w:line="38"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common stock immediately after the offering. Based on an assumed initial public offering price of $ per share (the midpoint of the price range set forth on the cover of this prospectus) and our net tangible book value as of December 31, 2013, if you purchase our common stock in this offering, you will suffer</w:t>
      </w:r>
    </w:p>
    <w:p>
      <w:pPr>
        <w:spacing w:after="0" w:line="1"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immediate dilution in net tangible book value per share of approximately $</w:t>
      </w:r>
      <w:r>
        <w:rPr>
          <w:sz w:val="20"/>
          <w:szCs w:val="20"/>
          <w:color w:val="auto"/>
        </w:rPr>
        <w:tab/>
      </w:r>
      <w:r>
        <w:rPr>
          <w:rFonts w:ascii="Arial" w:cs="Arial" w:eastAsia="Arial" w:hAnsi="Arial"/>
          <w:sz w:val="16"/>
          <w:szCs w:val="16"/>
          <w:color w:val="auto"/>
        </w:rPr>
        <w:t>per share. See “Dilution.”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4"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Some of the statements contained in this prospectus are forward-looking statements.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Examples of forward-looking statements include, but are not limited to, statements we make regarding: (i) outlook and expectations related to the global isotope supply and products manufactured at BVL, JHS and Pharmalucence; (ii) our outlook and expectations including, without limitation, in connection with continued market expansion and penetration for our commercial products, particularly DEFINITY; (iii) our outlook and expectations related to our intention to seek to engage strategic partners to assist in developing and potentially commercializing development candidates; and (iv) our liquidity, including our belief that our existing cash, cash equivalents, anticipated revenues and availability under our revolving credit facility are sufficient to fund our existing operating expenses, capital expenditures and liquidity requirements for at least the next twelve months.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or assurances of future performance. The matters referred to in the forward-looking statements contained in this prospectus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32"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alternate contract manufacturer sites;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instability of the global Moly supply;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continue to increase segment penetration for DEFINITY in suboptimal echocardiograms;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supply and demand for Xenon;</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key customers, primarily Cardinal, UPPI, GE Healthcare and Triad, for our nuclear imaging products, and our ability to maintain and profitably renew our contracts and relationships with those key customers;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compete effectively, including in connection with new market entrants;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dependence of certain of our customers upon third party healthcare payors and the uncertainty of third party coverage and reimbursement rates;</w:t>
      </w:r>
    </w:p>
    <w:p>
      <w:pPr>
        <w:spacing w:after="0" w:line="126" w:lineRule="exact"/>
        <w:rPr>
          <w:rFonts w:ascii="Arial" w:cs="Arial" w:eastAsia="Arial" w:hAnsi="Arial"/>
          <w:sz w:val="16"/>
          <w:szCs w:val="16"/>
          <w:color w:val="auto"/>
        </w:rPr>
      </w:pPr>
    </w:p>
    <w:p>
      <w:pPr>
        <w:ind w:left="660" w:right="4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uncertainties regarding the impact of U.S. healthcare reform on our business, including related reimbursements for our current and potential future products;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those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any side effects with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liability;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including our ability to:</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attract strategic partners to successfully complete the Phase 3 clinical program and possibly commercialize the agent;</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obtain FDA approval; and</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gain post-approval market acceptance and adequate reimbursement;</w:t>
      </w:r>
    </w:p>
    <w:p>
      <w:pPr>
        <w:spacing w:after="0" w:line="103"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being able to negotiate in a timely manner relationships with potential strategic partners to advance our other development programs on acceptable terms, or at all;</w:t>
      </w:r>
    </w:p>
    <w:p>
      <w:pPr>
        <w:spacing w:after="0" w:line="37" w:lineRule="exact"/>
        <w:rPr>
          <w:rFonts w:ascii="Arial" w:cs="Arial" w:eastAsia="Arial" w:hAnsi="Arial"/>
          <w:sz w:val="18"/>
          <w:szCs w:val="18"/>
          <w:color w:val="auto"/>
        </w:rPr>
      </w:pPr>
    </w:p>
    <w:p>
      <w:pPr>
        <w:ind w:left="660" w:right="7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diagnostic landscape;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the current economic environment, including the U.S. credit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adequately protect our facilities, equipment and technology infrastructure;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and other risks associated with the Sarbanes-Oxley Act and the Dodd-Frank Wall Street Reform and Consumer Protection Act of 2010 risks related to the ownership of our common stock;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factors that are described in “Risk Factors,” beginning on page 17 of this prospectus.</w:t>
      </w:r>
    </w:p>
    <w:p>
      <w:pPr>
        <w:spacing w:after="0" w:line="1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forward-looking statement made by us in this prospectus speaks only as of the date on which it is made. Factors or events that could cause our actual results to differ may emerge from time to time, and it is not possible for us to predict all of them. We undertake no obligation to publicly update any forward looking statement, whether as a result of new information, future developments or otherwise, except as may be required by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estimate that the net proceeds to us from our sale of shares of our common stock in this offering will be $ million, after deducting underwriting discounts and commissions and estimated expenses payable by us in connection with this offering. The underwriters also have the option to purchase up to an additional shares of common stock. We estimate that the net proceeds, if the underwriters exercise their right to purchase the maximum of additional shares of common stock from us, will be approximately $ million, after deducting underwriting discounts and commissions and estimated expenses payable by us in connection with this offering. This assumes an initial public offering price of $ per share (the midpoint of the price range set forth on the cover of this prospectus).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use net proceeds from this offering primarily for the following purposes:</w:t>
      </w:r>
    </w:p>
    <w:p>
      <w:pPr>
        <w:spacing w:after="0" w:line="77"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5"/>
          <w:szCs w:val="15"/>
          <w:color w:val="auto"/>
        </w:rPr>
        <w:t>million to redeem a portion of our outstanding 9.750% Senior Notes due in 2017, or the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disclosure on the Notes, see “Description of Material Indebtedness—Senior Notes.”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expected use of net proceeds from this offering represents our current intentions based upon our present plans and business conditions. The amounts and timing of our actual expenditures depend on numerous factors, including the ongoing status of and results from our current development and commercialization activities, and any unforeseen cash needs. As a result, our management will retain broad discretion over the allocation of the net proceeds from this offering.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Assuming no exercise of the underwriters’ option to purchase additional shares, a $1.00 increase (decrease) in the assumed initial public offering price of</w:t>
      </w:r>
    </w:p>
    <w:p>
      <w:pPr>
        <w:spacing w:after="0" w:line="3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would increase (decrease) the net proceeds to us from this</w:t>
      </w:r>
    </w:p>
    <w:p>
      <w:pPr>
        <w:spacing w:after="0" w:line="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offering by $ million, assuming the number of shares offered by us, as set forth on the cover page of this prospectus, remains the same and after deducting underwriting discounts and commissions and estimated expenses payable by us.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this offering, we intend to retain all available funds and any future earnings to reduce debt and for general corporate purposes. However, in the future, subject to the factors described below and our future liquidity and capitalization, we may change this policy and choose to pay dividends. Our business is conducted through our principal operating subsidiary, LMI. Dividends from, and cash generated by, LMI will be our principal source of cash to repay indebtedness, fund operations and pay dividends. Accordingly, our ability to pay dividends to our stockholders is dependent on the earnings and distributions of funds from LMI. LMI’s ability to pay dividends to us and, therefore, our ability to pay dividends on our common stock, is currently restricted by the terms of the indenture governing the Notes and the agreement governing our revolving credit facility and may be further restricted by any future indebtedness we incur.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future determination to pay dividends will be at the discretion of our Board of Directors and will take into account:</w:t>
      </w:r>
    </w:p>
    <w:p>
      <w:pPr>
        <w:spacing w:after="0" w:line="77" w:lineRule="exact"/>
        <w:rPr>
          <w:sz w:val="20"/>
          <w:szCs w:val="20"/>
          <w:color w:val="auto"/>
        </w:rPr>
      </w:pPr>
    </w:p>
    <w:p>
      <w:pPr>
        <w:ind w:left="660" w:right="2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in the indenture governing the Notes, the agreement governing our revolving credit facility and the instruments or agreements governing any future indebtedness we incur;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cash flows;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LMI to pay dividends and make distributions to us;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those other factors that our Board of Directors may deem relevant.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2013:</w:t>
      </w:r>
    </w:p>
    <w:p>
      <w:pPr>
        <w:spacing w:after="0" w:line="77"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on an actual basis; and</w:t>
      </w:r>
    </w:p>
    <w:p>
      <w:pPr>
        <w:spacing w:after="0" w:line="104" w:lineRule="exact"/>
        <w:rPr>
          <w:sz w:val="20"/>
          <w:szCs w:val="20"/>
          <w:color w:val="auto"/>
        </w:rPr>
      </w:pPr>
    </w:p>
    <w:p>
      <w:pPr>
        <w:jc w:val="both"/>
        <w:ind w:left="660" w:right="140" w:hanging="199"/>
        <w:spacing w:after="0" w:line="286" w:lineRule="auto"/>
        <w:tabs>
          <w:tab w:leader="none" w:pos="640" w:val="left"/>
        </w:tabs>
        <w:rPr>
          <w:sz w:val="20"/>
          <w:szCs w:val="20"/>
          <w:color w:val="auto"/>
        </w:rPr>
      </w:pPr>
      <w:r>
        <w:rPr>
          <w:rFonts w:ascii="Arial" w:cs="Arial" w:eastAsia="Arial" w:hAnsi="Arial"/>
          <w:sz w:val="16"/>
          <w:szCs w:val="16"/>
          <w:color w:val="auto"/>
        </w:rPr>
        <w:t>•</w:t>
        <w:tab/>
        <w:t>on an as adjusted basis to give effect to (1) our corporate reorganization and (2) the sale of shares of our common stock in this offering by us at an assumed initial public offering price of $ per share (the midpoint of the price range set forth on the cover of this prospectus) after deducting</w:t>
      </w:r>
    </w:p>
    <w:p>
      <w:pPr>
        <w:ind w:left="660" w:right="300"/>
        <w:spacing w:after="0" w:line="261" w:lineRule="auto"/>
        <w:rPr>
          <w:sz w:val="20"/>
          <w:szCs w:val="20"/>
          <w:color w:val="auto"/>
        </w:rPr>
      </w:pPr>
      <w:r>
        <w:rPr>
          <w:rFonts w:ascii="Arial" w:cs="Arial" w:eastAsia="Arial" w:hAnsi="Arial"/>
          <w:sz w:val="18"/>
          <w:szCs w:val="18"/>
          <w:color w:val="auto"/>
        </w:rPr>
        <w:t>underwriting discounts and commissions and estimated offering expenses payable by us, and the application of the net proceeds from this offering to reduce our indebtedness as described in “Use of Proceeds.”</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should be read in conjunction with “Use of Proceeds,” “Selected Consolidated Financial Data,” “Management’s Discussion and Analysis of Financial Condition and Results of Operations,” “Description of Capital Stock,” and our financial statements and notes thereto included elsewhere in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As of December 31, 2013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9"/>
              </w:rPr>
              <w:t>adjusted(1)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Cash and cash equivalents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18,578</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4"/>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1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gridSpan w:val="4"/>
            <w:vMerge w:val="continue"/>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Revolving credit facility(2)</w:t>
            </w: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Senior notes(3)</w:t>
            </w: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399,037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long-term debt, including current portion</w:t>
            </w: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407,037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gridSpan w:val="4"/>
          </w:tcPr>
          <w:p>
            <w:pPr>
              <w:spacing w:after="0"/>
              <w:rPr>
                <w:sz w:val="20"/>
                <w:szCs w:val="20"/>
                <w:color w:val="auto"/>
              </w:rPr>
            </w:pPr>
            <w:r>
              <w:rPr>
                <w:rFonts w:ascii="Arial" w:cs="Arial" w:eastAsia="Arial" w:hAnsi="Arial"/>
                <w:sz w:val="18"/>
                <w:szCs w:val="18"/>
                <w:color w:val="auto"/>
              </w:rPr>
              <w:t>Stockholders’ (deficit) equity:</w:t>
            </w:r>
          </w:p>
        </w:tc>
        <w:tc>
          <w:tcPr>
            <w:tcW w:w="1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w:t>
            </w:r>
          </w:p>
        </w:tc>
        <w:tc>
          <w:tcPr>
            <w:tcW w:w="1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 value,</w:t>
            </w: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w:t>
            </w:r>
          </w:p>
        </w:tc>
        <w:tc>
          <w:tcPr>
            <w:tcW w:w="1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issued and</w:t>
            </w:r>
          </w:p>
        </w:tc>
        <w:tc>
          <w:tcPr>
            <w:tcW w:w="2540" w:type="dxa"/>
            <w:vAlign w:val="bottom"/>
            <w:gridSpan w:val="2"/>
            <w:shd w:val="clear" w:color="auto" w:fill="CCEEFF"/>
          </w:tcPr>
          <w:p>
            <w:pPr>
              <w:jc w:val="right"/>
              <w:ind w:right="663"/>
              <w:spacing w:after="0"/>
              <w:rPr>
                <w:sz w:val="20"/>
                <w:szCs w:val="20"/>
                <w:color w:val="auto"/>
              </w:rPr>
            </w:pPr>
            <w:r>
              <w:rPr>
                <w:rFonts w:ascii="Arial" w:cs="Arial" w:eastAsia="Arial" w:hAnsi="Arial"/>
                <w:sz w:val="18"/>
                <w:szCs w:val="18"/>
                <w:color w:val="auto"/>
              </w:rPr>
              <w:t>outstanding, on a pro</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forma as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adjusted basis)</w:t>
            </w:r>
          </w:p>
        </w:tc>
        <w:tc>
          <w:tcPr>
            <w:tcW w:w="16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Treasury stock (</w:t>
            </w: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shares, at cost, on a pro forma as adjusted basis)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105,785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w w:val="97"/>
              </w:rPr>
              <w:t>Accumulated deficit</w:t>
            </w: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(340,853)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89"/>
              </w:rPr>
              <w:t>Accumulated other comprehensive income</w:t>
            </w: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3"/>
            <w:vMerge w:val="restart"/>
          </w:tcPr>
          <w:p>
            <w:pPr>
              <w:ind w:left="860"/>
              <w:spacing w:after="0"/>
              <w:rPr>
                <w:sz w:val="20"/>
                <w:szCs w:val="20"/>
                <w:color w:val="auto"/>
              </w:rPr>
            </w:pPr>
            <w:r>
              <w:rPr>
                <w:rFonts w:ascii="Arial" w:cs="Arial" w:eastAsia="Arial" w:hAnsi="Arial"/>
                <w:sz w:val="18"/>
                <w:szCs w:val="18"/>
                <w:color w:val="auto"/>
                <w:w w:val="98"/>
              </w:rPr>
              <w:t>Total stockholders’ (deficit) equity</w:t>
            </w:r>
          </w:p>
        </w:tc>
        <w:tc>
          <w:tcPr>
            <w:tcW w:w="1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3"/>
            <w:vMerge w:val="continue"/>
          </w:tcPr>
          <w:p>
            <w:pPr>
              <w:spacing w:after="0"/>
              <w:rPr>
                <w:sz w:val="19"/>
                <w:szCs w:val="19"/>
                <w:color w:val="auto"/>
              </w:rPr>
            </w:pPr>
          </w:p>
        </w:tc>
        <w:tc>
          <w:tcPr>
            <w:tcW w:w="1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(235,517)</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171,520</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Assuming the number of shares sold by us in the offering remains the same as set forth on the cover page of this prospectus, a $1.00 increase or decrease in</w:t>
      </w:r>
    </w:p>
    <w:p>
      <w:pPr>
        <w:spacing w:after="0" w:line="50" w:lineRule="exact"/>
        <w:rPr>
          <w:sz w:val="20"/>
          <w:szCs w:val="20"/>
          <w:color w:val="auto"/>
        </w:rPr>
      </w:pPr>
    </w:p>
    <w:p>
      <w:pPr>
        <w:ind w:left="460"/>
        <w:spacing w:after="0"/>
        <w:tabs>
          <w:tab w:leader="none" w:pos="9360" w:val="left"/>
        </w:tabs>
        <w:rPr>
          <w:sz w:val="20"/>
          <w:szCs w:val="20"/>
          <w:color w:val="auto"/>
        </w:rPr>
      </w:pPr>
      <w:r>
        <w:rPr>
          <w:rFonts w:ascii="Arial" w:cs="Arial" w:eastAsia="Arial" w:hAnsi="Arial"/>
          <w:sz w:val="18"/>
          <w:szCs w:val="18"/>
          <w:color w:val="auto"/>
        </w:rPr>
        <w:t>the assumed public offering price would increase or decrease, as applicable, our total capitalization by approximately $</w:t>
      </w:r>
      <w:r>
        <w:rPr>
          <w:sz w:val="20"/>
          <w:szCs w:val="20"/>
          <w:color w:val="auto"/>
        </w:rPr>
        <w:tab/>
      </w:r>
      <w:r>
        <w:rPr>
          <w:rFonts w:ascii="Arial" w:cs="Arial" w:eastAsia="Arial" w:hAnsi="Arial"/>
          <w:sz w:val="18"/>
          <w:szCs w:val="18"/>
          <w:color w:val="auto"/>
        </w:rPr>
        <w:t>million.</w:t>
      </w:r>
    </w:p>
    <w:p>
      <w:pPr>
        <w:spacing w:after="0" w:line="70" w:lineRule="exact"/>
        <w:rPr>
          <w:sz w:val="20"/>
          <w:szCs w:val="20"/>
          <w:color w:val="auto"/>
        </w:rPr>
      </w:pPr>
    </w:p>
    <w:p>
      <w:pPr>
        <w:ind w:left="460" w:right="30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senior secured credit facilities provide for a $42.5 million revolving credit facility, under which we currently have borrowings of $8.0 million and a letter of credit commitment of $8.8 million, giving us approximately $25.7 million of remaining revolver availability outstanding. See “Description of Material Indebtedness—Revolving Credit Facility.”</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senior notes consist of $400.0 million in aggregate principal amount of the Notes issued May 10, 2010 and March 16, 2011, net of approximately</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$3.8 million in consent solicitation fees and $2.3 million premium on debt, which will be amortized as an adjustment to interest expense over the remaining term of the debt. Interest is payable entirely in cash. See “Description of Material Indebtedness—Senior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and the as adjusted net tangible book value per share of common stock as of the completion of this offering. Dilution results from the fact that the per share offering price of our common stock exceeds the net tangible book value per share purchased by new investors in this offering.</w:t>
      </w:r>
    </w:p>
    <w:p>
      <w:pPr>
        <w:spacing w:after="0" w:line="9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net tangible book value as of December 31, 2013 was $ million, or $ per share of common stock. Net tangible book value represents the amount of total tangible assets less total liabilities, and net tangible book value per share represents net tangible book value divided by the number of shares of common stock outstanding, in each case, after giving effect to our corporate reorganization but before giving effect to this offering.</w:t>
      </w:r>
    </w:p>
    <w:p>
      <w:pPr>
        <w:spacing w:after="0" w:line="9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After giving effect to (i) the sale by us of shares of common stock in this offering at an assumed public offering price of $ per share (the midpoint of the price range set forth on the cover page of this prospectus) and (ii) the application of the net proceeds of the offering, our as adjusted net tangible</w:t>
      </w:r>
    </w:p>
    <w:tbl>
      <w:tblPr>
        <w:tblLayout w:type="fixed"/>
        <w:tblInd w:w="0" w:type="dxa"/>
        <w:tblCellMar>
          <w:top w:w="0" w:type="dxa"/>
          <w:left w:w="0" w:type="dxa"/>
          <w:bottom w:w="0" w:type="dxa"/>
          <w:right w:w="0" w:type="dxa"/>
        </w:tblCellMar>
      </w:tblPr>
      <w:tr>
        <w:trPr>
          <w:trHeight w:val="210"/>
        </w:trPr>
        <w:tc>
          <w:tcPr>
            <w:tcW w:w="4080" w:type="dxa"/>
            <w:vAlign w:val="bottom"/>
            <w:gridSpan w:val="3"/>
          </w:tcPr>
          <w:p>
            <w:pPr>
              <w:spacing w:after="0"/>
              <w:rPr>
                <w:sz w:val="20"/>
                <w:szCs w:val="20"/>
                <w:color w:val="auto"/>
              </w:rPr>
            </w:pPr>
            <w:r>
              <w:rPr>
                <w:rFonts w:ascii="Arial" w:cs="Arial" w:eastAsia="Arial" w:hAnsi="Arial"/>
                <w:sz w:val="18"/>
                <w:szCs w:val="18"/>
                <w:color w:val="auto"/>
                <w:w w:val="90"/>
              </w:rPr>
              <w:t>book value as of December 31, 2013 would have been $</w:t>
            </w:r>
          </w:p>
        </w:tc>
        <w:tc>
          <w:tcPr>
            <w:tcW w:w="1440" w:type="dxa"/>
            <w:vAlign w:val="bottom"/>
          </w:tcPr>
          <w:p>
            <w:pPr>
              <w:ind w:left="260"/>
              <w:spacing w:after="0"/>
              <w:rPr>
                <w:sz w:val="20"/>
                <w:szCs w:val="20"/>
                <w:color w:val="auto"/>
              </w:rPr>
            </w:pPr>
            <w:r>
              <w:rPr>
                <w:rFonts w:ascii="Arial" w:cs="Arial" w:eastAsia="Arial" w:hAnsi="Arial"/>
                <w:sz w:val="18"/>
                <w:szCs w:val="18"/>
                <w:color w:val="auto"/>
              </w:rPr>
              <w:t>million, or $</w:t>
            </w:r>
          </w:p>
        </w:tc>
        <w:tc>
          <w:tcPr>
            <w:tcW w:w="5900" w:type="dxa"/>
            <w:vAlign w:val="bottom"/>
            <w:gridSpan w:val="8"/>
          </w:tcPr>
          <w:p>
            <w:pPr>
              <w:jc w:val="right"/>
              <w:ind w:right="340"/>
              <w:spacing w:after="0"/>
              <w:rPr>
                <w:sz w:val="20"/>
                <w:szCs w:val="20"/>
                <w:color w:val="auto"/>
              </w:rPr>
            </w:pPr>
            <w:r>
              <w:rPr>
                <w:rFonts w:ascii="Arial" w:cs="Arial" w:eastAsia="Arial" w:hAnsi="Arial"/>
                <w:sz w:val="18"/>
                <w:szCs w:val="18"/>
                <w:color w:val="auto"/>
                <w:w w:val="88"/>
              </w:rPr>
              <w:t>per share. This represents an immediate increase in net tangible book value of</w:t>
            </w:r>
          </w:p>
        </w:tc>
        <w:tc>
          <w:tcPr>
            <w:tcW w:w="0" w:type="dxa"/>
            <w:vAlign w:val="bottom"/>
          </w:tcPr>
          <w:p>
            <w:pPr>
              <w:spacing w:after="0"/>
              <w:rPr>
                <w:sz w:val="1"/>
                <w:szCs w:val="1"/>
                <w:color w:val="auto"/>
              </w:rPr>
            </w:pP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6860" w:type="dxa"/>
            <w:vAlign w:val="bottom"/>
            <w:gridSpan w:val="4"/>
          </w:tcPr>
          <w:p>
            <w:pPr>
              <w:ind w:left="240"/>
              <w:spacing w:after="0"/>
              <w:rPr>
                <w:sz w:val="20"/>
                <w:szCs w:val="20"/>
                <w:color w:val="auto"/>
              </w:rPr>
            </w:pPr>
            <w:r>
              <w:rPr>
                <w:rFonts w:ascii="Arial" w:cs="Arial" w:eastAsia="Arial" w:hAnsi="Arial"/>
                <w:sz w:val="18"/>
                <w:szCs w:val="18"/>
                <w:color w:val="auto"/>
                <w:w w:val="91"/>
              </w:rPr>
              <w:t>per share to existing stockholders and an immediate dilution in net tangible book value of $</w:t>
            </w:r>
          </w:p>
        </w:tc>
        <w:tc>
          <w:tcPr>
            <w:tcW w:w="4300" w:type="dxa"/>
            <w:vAlign w:val="bottom"/>
            <w:gridSpan w:val="6"/>
          </w:tcPr>
          <w:p>
            <w:pPr>
              <w:ind w:left="180"/>
              <w:spacing w:after="0"/>
              <w:rPr>
                <w:sz w:val="20"/>
                <w:szCs w:val="20"/>
                <w:color w:val="auto"/>
              </w:rPr>
            </w:pPr>
            <w:r>
              <w:rPr>
                <w:rFonts w:ascii="Arial" w:cs="Arial" w:eastAsia="Arial" w:hAnsi="Arial"/>
                <w:sz w:val="18"/>
                <w:szCs w:val="18"/>
                <w:color w:val="auto"/>
                <w:w w:val="92"/>
              </w:rPr>
              <w:t>per share to new investors purchasing common stock in</w:t>
            </w:r>
          </w:p>
        </w:tc>
        <w:tc>
          <w:tcPr>
            <w:tcW w:w="0" w:type="dxa"/>
            <w:vAlign w:val="bottom"/>
          </w:tcPr>
          <w:p>
            <w:pPr>
              <w:spacing w:after="0"/>
              <w:rPr>
                <w:sz w:val="1"/>
                <w:szCs w:val="1"/>
                <w:color w:val="auto"/>
              </w:rPr>
            </w:pPr>
          </w:p>
        </w:tc>
      </w:tr>
      <w:tr>
        <w:trPr>
          <w:trHeight w:val="222"/>
        </w:trPr>
        <w:tc>
          <w:tcPr>
            <w:tcW w:w="5520" w:type="dxa"/>
            <w:vAlign w:val="bottom"/>
            <w:gridSpan w:val="4"/>
          </w:tcPr>
          <w:p>
            <w:pPr>
              <w:spacing w:after="0"/>
              <w:rPr>
                <w:sz w:val="20"/>
                <w:szCs w:val="20"/>
                <w:color w:val="auto"/>
              </w:rPr>
            </w:pPr>
            <w:r>
              <w:rPr>
                <w:rFonts w:ascii="Arial" w:cs="Arial" w:eastAsia="Arial" w:hAnsi="Arial"/>
                <w:sz w:val="18"/>
                <w:szCs w:val="18"/>
                <w:color w:val="auto"/>
                <w:w w:val="91"/>
              </w:rPr>
              <w:t>this offering. The following table illustrates this dilution on a per share basis:</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060" w:type="dxa"/>
            <w:vAlign w:val="bottom"/>
            <w:gridSpan w:val="2"/>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74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tangible book value per share as of December 31, 2013</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0"/>
              </w:rPr>
              <w:t>Increase in net tangible book value per share attributable to the sale of shares in this offering</w:t>
            </w: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4"/>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purchasing in this offering</w:t>
            </w:r>
          </w:p>
        </w:tc>
        <w:tc>
          <w:tcPr>
            <w:tcW w:w="46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5460" w:type="dxa"/>
            <w:vAlign w:val="bottom"/>
            <w:gridSpan w:val="7"/>
          </w:tcPr>
          <w:p>
            <w:pPr>
              <w:ind w:left="200"/>
              <w:spacing w:after="0"/>
              <w:rPr>
                <w:sz w:val="20"/>
                <w:szCs w:val="20"/>
                <w:color w:val="auto"/>
              </w:rPr>
            </w:pPr>
            <w:r>
              <w:rPr>
                <w:rFonts w:ascii="Arial" w:cs="Arial" w:eastAsia="Arial" w:hAnsi="Arial"/>
                <w:sz w:val="18"/>
                <w:szCs w:val="18"/>
                <w:color w:val="auto"/>
                <w:w w:val="92"/>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7580" w:type="dxa"/>
            <w:vAlign w:val="bottom"/>
            <w:gridSpan w:val="7"/>
          </w:tcPr>
          <w:p>
            <w:pPr>
              <w:spacing w:after="0"/>
              <w:rPr>
                <w:sz w:val="20"/>
                <w:szCs w:val="20"/>
                <w:color w:val="auto"/>
              </w:rPr>
            </w:pPr>
            <w:r>
              <w:rPr>
                <w:rFonts w:ascii="Arial" w:cs="Arial" w:eastAsia="Arial" w:hAnsi="Arial"/>
                <w:sz w:val="18"/>
                <w:szCs w:val="18"/>
                <w:color w:val="auto"/>
                <w:w w:val="90"/>
              </w:rPr>
              <w:t>this prospectus) would increase (decrease) our as adjusted net tangible book value after this offering by $</w:t>
            </w:r>
          </w:p>
        </w:tc>
        <w:tc>
          <w:tcPr>
            <w:tcW w:w="3840" w:type="dxa"/>
            <w:vAlign w:val="bottom"/>
            <w:gridSpan w:val="5"/>
          </w:tcPr>
          <w:p>
            <w:pPr>
              <w:jc w:val="right"/>
              <w:ind w:right="340"/>
              <w:spacing w:after="0"/>
              <w:rPr>
                <w:sz w:val="20"/>
                <w:szCs w:val="20"/>
                <w:color w:val="auto"/>
              </w:rPr>
            </w:pPr>
            <w:r>
              <w:rPr>
                <w:rFonts w:ascii="Arial" w:cs="Arial" w:eastAsia="Arial" w:hAnsi="Arial"/>
                <w:sz w:val="18"/>
                <w:szCs w:val="18"/>
                <w:color w:val="auto"/>
                <w:w w:val="93"/>
              </w:rPr>
              <w:t>million and increase (decrease) the dilution per</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w w:val="94"/>
              </w:rPr>
              <w:t>share to new investors purchasing in this offering by $</w:t>
            </w:r>
          </w:p>
        </w:tc>
        <w:tc>
          <w:tcPr>
            <w:tcW w:w="7340" w:type="dxa"/>
            <w:vAlign w:val="bottom"/>
            <w:gridSpan w:val="9"/>
          </w:tcPr>
          <w:p>
            <w:pPr>
              <w:ind w:left="140"/>
              <w:spacing w:after="0"/>
              <w:rPr>
                <w:sz w:val="20"/>
                <w:szCs w:val="20"/>
                <w:color w:val="auto"/>
              </w:rPr>
            </w:pPr>
            <w:r>
              <w:rPr>
                <w:rFonts w:ascii="Arial" w:cs="Arial" w:eastAsia="Arial" w:hAnsi="Arial"/>
                <w:sz w:val="18"/>
                <w:szCs w:val="18"/>
                <w:color w:val="auto"/>
                <w:w w:val="90"/>
              </w:rPr>
              <w:t>per share, assuming no other change to the number of shares of common stock offered by us as set</w:t>
            </w:r>
          </w:p>
        </w:tc>
        <w:tc>
          <w:tcPr>
            <w:tcW w:w="0" w:type="dxa"/>
            <w:vAlign w:val="bottom"/>
          </w:tcPr>
          <w:p>
            <w:pPr>
              <w:spacing w:after="0"/>
              <w:rPr>
                <w:sz w:val="1"/>
                <w:szCs w:val="1"/>
                <w:color w:val="auto"/>
              </w:rPr>
            </w:pPr>
          </w:p>
        </w:tc>
      </w:tr>
      <w:tr>
        <w:trPr>
          <w:trHeight w:val="222"/>
        </w:trPr>
        <w:tc>
          <w:tcPr>
            <w:tcW w:w="4080" w:type="dxa"/>
            <w:vAlign w:val="bottom"/>
            <w:gridSpan w:val="3"/>
          </w:tcPr>
          <w:p>
            <w:pPr>
              <w:spacing w:after="0"/>
              <w:rPr>
                <w:sz w:val="20"/>
                <w:szCs w:val="20"/>
                <w:color w:val="auto"/>
              </w:rPr>
            </w:pPr>
            <w:r>
              <w:rPr>
                <w:rFonts w:ascii="Arial" w:cs="Arial" w:eastAsia="Arial" w:hAnsi="Arial"/>
                <w:sz w:val="18"/>
                <w:szCs w:val="18"/>
                <w:color w:val="auto"/>
              </w:rPr>
              <w:t>forth on the cover page of this prospectus.</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color w:val="auto"/>
        </w:rPr>
        <w:t>The following table summarizes the differences between the existing stockholders and new investors purchasing shares in this offering with respect to the number of shares purchased from us, the total consideration paid and the average price paid per share as of December 31, 2013, as adjusted to give effect to our</w:t>
      </w:r>
    </w:p>
    <w:p>
      <w:pPr>
        <w:ind w:right="120"/>
        <w:spacing w:after="0" w:line="261" w:lineRule="auto"/>
        <w:rPr>
          <w:sz w:val="20"/>
          <w:szCs w:val="20"/>
          <w:color w:val="auto"/>
        </w:rPr>
      </w:pPr>
      <w:r>
        <w:rPr>
          <w:rFonts w:ascii="Arial" w:cs="Arial" w:eastAsia="Arial" w:hAnsi="Arial"/>
          <w:sz w:val="18"/>
          <w:szCs w:val="18"/>
          <w:color w:val="auto"/>
        </w:rPr>
        <w:t>sale of shares in this offering at an assumed initial public offering price of $ per share, which is the midpoint of the range set forth on the cover page of this prospectus, before deducting the estimated underwriting discounts and commissions and estimated offering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Shares Purchased</w:t>
            </w:r>
          </w:p>
        </w:tc>
        <w:tc>
          <w:tcPr>
            <w:tcW w:w="620" w:type="dxa"/>
            <w:vAlign w:val="bottom"/>
          </w:tcPr>
          <w:p>
            <w:pPr>
              <w:spacing w:after="0"/>
              <w:rPr>
                <w:sz w:val="14"/>
                <w:szCs w:val="14"/>
                <w:color w:val="auto"/>
              </w:rPr>
            </w:pPr>
          </w:p>
        </w:tc>
        <w:tc>
          <w:tcPr>
            <w:tcW w:w="17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3"/>
              </w:rPr>
              <w:t>Average Price Per</w:t>
            </w: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93"/>
              </w:rPr>
              <w:t>Percent</w:t>
            </w:r>
          </w:p>
        </w:tc>
        <w:tc>
          <w:tcPr>
            <w:tcW w:w="620" w:type="dxa"/>
            <w:vAlign w:val="bottom"/>
          </w:tcPr>
          <w:p>
            <w:pPr>
              <w:spacing w:after="0"/>
              <w:rPr>
                <w:sz w:val="12"/>
                <w:szCs w:val="12"/>
                <w:color w:val="auto"/>
              </w:rPr>
            </w:pPr>
          </w:p>
        </w:tc>
        <w:tc>
          <w:tcPr>
            <w:tcW w:w="6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2"/>
                <w:szCs w:val="12"/>
                <w:color w:val="auto"/>
              </w:rPr>
            </w:pPr>
          </w:p>
        </w:tc>
        <w:tc>
          <w:tcPr>
            <w:tcW w:w="58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7"/>
              </w:rPr>
              <w:t>Percent</w:t>
            </w:r>
          </w:p>
        </w:tc>
        <w:tc>
          <w:tcPr>
            <w:tcW w:w="600" w:type="dxa"/>
            <w:vAlign w:val="bottom"/>
          </w:tcPr>
          <w:p>
            <w:pPr>
              <w:spacing w:after="0"/>
              <w:rPr>
                <w:sz w:val="12"/>
                <w:szCs w:val="12"/>
                <w:color w:val="auto"/>
              </w:rPr>
            </w:pPr>
          </w:p>
        </w:tc>
        <w:tc>
          <w:tcPr>
            <w:tcW w:w="114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Share</w:t>
            </w:r>
          </w:p>
        </w:tc>
      </w:tr>
      <w:tr>
        <w:trPr>
          <w:trHeight w:val="210"/>
        </w:trPr>
        <w:tc>
          <w:tcPr>
            <w:tcW w:w="20" w:type="dxa"/>
            <w:vAlign w:val="bottom"/>
          </w:tcPr>
          <w:p>
            <w:pPr>
              <w:spacing w:after="0"/>
              <w:rPr>
                <w:sz w:val="18"/>
                <w:szCs w:val="18"/>
                <w:color w:val="auto"/>
              </w:rPr>
            </w:pPr>
          </w:p>
        </w:tc>
        <w:tc>
          <w:tcPr>
            <w:tcW w:w="2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3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investors</w:t>
            </w:r>
          </w:p>
        </w:tc>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5740" w:type="dxa"/>
            <w:vAlign w:val="bottom"/>
            <w:gridSpan w:val="2"/>
          </w:tcPr>
          <w:p>
            <w:pPr>
              <w:ind w:left="440"/>
              <w:spacing w:after="0"/>
              <w:rPr>
                <w:sz w:val="20"/>
                <w:szCs w:val="20"/>
                <w:color w:val="auto"/>
              </w:rPr>
            </w:pPr>
            <w:r>
              <w:rPr>
                <w:rFonts w:ascii="Arial" w:cs="Arial" w:eastAsia="Arial" w:hAnsi="Arial"/>
                <w:sz w:val="18"/>
                <w:szCs w:val="18"/>
                <w:color w:val="auto"/>
                <w:w w:val="88"/>
              </w:rPr>
              <w:t>A $1.00 increase (decrease) in the assumed initial public offering price of $</w:t>
            </w:r>
          </w:p>
        </w:tc>
        <w:tc>
          <w:tcPr>
            <w:tcW w:w="5660" w:type="dxa"/>
            <w:vAlign w:val="bottom"/>
            <w:gridSpan w:val="10"/>
          </w:tcPr>
          <w:p>
            <w:pPr>
              <w:ind w:left="400"/>
              <w:spacing w:after="0"/>
              <w:rPr>
                <w:sz w:val="20"/>
                <w:szCs w:val="20"/>
                <w:color w:val="auto"/>
              </w:rPr>
            </w:pPr>
            <w:r>
              <w:rPr>
                <w:rFonts w:ascii="Arial" w:cs="Arial" w:eastAsia="Arial" w:hAnsi="Arial"/>
                <w:sz w:val="18"/>
                <w:szCs w:val="18"/>
                <w:color w:val="auto"/>
                <w:w w:val="92"/>
              </w:rPr>
              <w:t>per share (the midpoint of the price range set forth on the cover page of</w:t>
            </w:r>
          </w:p>
        </w:tc>
      </w:tr>
      <w:tr>
        <w:trPr>
          <w:trHeight w:val="216"/>
        </w:trPr>
        <w:tc>
          <w:tcPr>
            <w:tcW w:w="8600" w:type="dxa"/>
            <w:vAlign w:val="bottom"/>
            <w:gridSpan w:val="8"/>
          </w:tcPr>
          <w:p>
            <w:pPr>
              <w:spacing w:after="0"/>
              <w:rPr>
                <w:sz w:val="20"/>
                <w:szCs w:val="20"/>
                <w:color w:val="auto"/>
              </w:rPr>
            </w:pPr>
            <w:r>
              <w:rPr>
                <w:rFonts w:ascii="Arial" w:cs="Arial" w:eastAsia="Arial" w:hAnsi="Arial"/>
                <w:sz w:val="18"/>
                <w:szCs w:val="18"/>
                <w:color w:val="auto"/>
                <w:w w:val="90"/>
              </w:rPr>
              <w:t>this prospectus) would increase (decrease) the total consideration paid by new investors purchasing in this offering by $</w:t>
            </w:r>
          </w:p>
        </w:tc>
        <w:tc>
          <w:tcPr>
            <w:tcW w:w="2820" w:type="dxa"/>
            <w:vAlign w:val="bottom"/>
            <w:gridSpan w:val="5"/>
          </w:tcPr>
          <w:p>
            <w:pPr>
              <w:ind w:left="220"/>
              <w:spacing w:after="0"/>
              <w:rPr>
                <w:sz w:val="20"/>
                <w:szCs w:val="20"/>
                <w:color w:val="auto"/>
              </w:rPr>
            </w:pPr>
            <w:r>
              <w:rPr>
                <w:rFonts w:ascii="Arial" w:cs="Arial" w:eastAsia="Arial" w:hAnsi="Arial"/>
                <w:sz w:val="18"/>
                <w:szCs w:val="18"/>
                <w:color w:val="auto"/>
                <w:w w:val="96"/>
              </w:rPr>
              <w:t>million and the total consideration</w:t>
            </w: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w w:val="97"/>
              </w:rPr>
              <w:t>paid by all stockholders by $</w:t>
            </w:r>
          </w:p>
        </w:tc>
        <w:tc>
          <w:tcPr>
            <w:tcW w:w="3540" w:type="dxa"/>
            <w:vAlign w:val="bottom"/>
          </w:tcPr>
          <w:p>
            <w:pPr>
              <w:ind w:left="200"/>
              <w:spacing w:after="0"/>
              <w:rPr>
                <w:sz w:val="20"/>
                <w:szCs w:val="20"/>
                <w:color w:val="auto"/>
              </w:rPr>
            </w:pPr>
            <w:r>
              <w:rPr>
                <w:rFonts w:ascii="Arial" w:cs="Arial" w:eastAsia="Arial" w:hAnsi="Arial"/>
                <w:sz w:val="18"/>
                <w:szCs w:val="18"/>
                <w:color w:val="auto"/>
              </w:rPr>
              <w:t>million.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4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choose to raise additional capital based on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Adjusted EBITDA, Adjusted EBITDA Before Run-Rate Savings and EBITDA as used in our equity incentive plans, collectively, our Non-GAAP Measures, as presented in this prospectus, are supplemental measures of our performance that are not required by, or presented in accordance with GAAP. They are not measurements of our financial performance under GAAP and should not be considered as alternatives to net income (loss) or any other performance measures derived in accordance with GAAP or as alternatives to cash flow from operating activities as measures of our liquidity.</w:t>
      </w:r>
    </w:p>
    <w:p>
      <w:pPr>
        <w:spacing w:after="0" w:line="99"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presentation of our Non-GAAP Measures may not be comparable to similarly titled measures of other companies. We have included information concerning our Non-GAAP Measures in this prospectus because we believe that this information is used by certain investors as measures of a company’s historical performance.</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or as substitutes for analysis of our operating results or cash flows as reported under GAAP. Some of these limitations include:</w:t>
      </w:r>
    </w:p>
    <w:p>
      <w:pPr>
        <w:spacing w:after="0" w:line="37"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they do not reflect our cash expenditures, or future requirements, for capital expenditures or contractual commitments;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they do not reflect the significant interest expense or the cash requirements necessary to service interest or principal payments, on our debt;</w:t>
      </w:r>
    </w:p>
    <w:p>
      <w:pPr>
        <w:spacing w:after="0" w:line="126" w:lineRule="exact"/>
        <w:rPr>
          <w:rFonts w:ascii="Arial" w:cs="Arial" w:eastAsia="Arial" w:hAnsi="Arial"/>
          <w:sz w:val="16"/>
          <w:szCs w:val="16"/>
          <w:color w:val="auto"/>
        </w:rPr>
      </w:pPr>
    </w:p>
    <w:p>
      <w:pPr>
        <w:ind w:left="660" w:right="24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although depreciation is a non-cash charge, the assets being depreciated will often have to be replaced in the future, and our Non-GAAP Measures do not reflect any cash requirements for those replacements;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08"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Because of these limitations, our Non-GAAP Measures should not be considered as measures of discretionary cash available to us to invest in the growth of our business. We compensate for these limitations by relying primarily on our GAAP results and using our Non-GAAP Measures only for supplemental purposes.</w:t>
      </w:r>
    </w:p>
    <w:p>
      <w:pPr>
        <w:spacing w:after="0" w:line="4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Please see the consolidated financial statements included elsewhere in this prospectus for our GAAP results. Additionally, for a presentation of net income as calculated under GAAP and reconciliation to our calculation of Adjusted EBITDA and Adjusted EBITDA Before Run-Rate Savings, see “Prospectus Summary—Summary Consolidated Financial and Other Data” in this prospectus. For our definition of EBITDA as used in our equity incentive plans and a summary of the differences between such EBITDA definition and Adjusted EBITDA, see “Executive and Director Compensation—Elements of Compensation— Long-Term Equity Incentive Awards.”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following selected consolidated financial data should be read in conjunction with, and are qualified by reference to, “Capitalization,” “Management’s Discussion and Analysis of Financial Condition and Results of Operations” and the consolidated financial statements and notes thereto included elsewhere in this prospectus. The summary consolidated statement of income data for the years ended December 31, 2013, 2012 and 2011 and the summary consolidated balance sheet data as of December 31, 2013 and 2012 has been derived from, and is qualified by reference to, our audited consolidated financial statements included elsewhere in this prospectus and should be read in conjunction with those consolidated financial statements and notes thereto. The results indicated below and elsewhere in this prospectus are not necessarily indicative of our future performance. You should read this information, together with “Capitalization,” “Management’s Discussion and Analysis of Financial Condition and Results of Operations” and the consolidated financial statements and related notes included elsewhere in this prospectus.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7"/>
          </w:tcPr>
          <w:p>
            <w:pPr>
              <w:jc w:val="center"/>
              <w:ind w:left="615"/>
              <w:spacing w:after="0" w:line="142" w:lineRule="exact"/>
              <w:rPr>
                <w:sz w:val="20"/>
                <w:szCs w:val="20"/>
                <w:color w:val="auto"/>
              </w:rPr>
            </w:pPr>
            <w:r>
              <w:rPr>
                <w:rFonts w:ascii="Arial" w:cs="Arial" w:eastAsia="Arial" w:hAnsi="Arial"/>
                <w:sz w:val="14"/>
                <w:szCs w:val="14"/>
                <w:b w:val="1"/>
                <w:bCs w:val="1"/>
                <w:color w:val="auto"/>
                <w:w w:val="84"/>
              </w:rPr>
              <w:t>(in thousands, except per share numbers)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 Data:</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Revenues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283,672</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288,105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211,049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Loss on firm purchase commitment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Proceeds from manufacturer</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land</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(18,891)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(42,915)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Foreign currency translation, net of taxes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loss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Common shares: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50,250,957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18,578</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33,321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261,311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324,652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liabilities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496,828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497,757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long-term debt, net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399,037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398,822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(235,517)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(173,105)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80" w:type="dxa"/>
            <w:vAlign w:val="bottom"/>
          </w:tcPr>
          <w:p>
            <w:pPr>
              <w:jc w:val="right"/>
              <w:ind w:right="13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“Selected historical consolidated financial data” and the consolidated financial statements and the related notes included elsewhere in this prospectus.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under “Risk Factors,” “Cautionary Note Regarding Forward-Looking Statements” and elsewhere in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peripheral vascular disease and other diseases. Clinicians use our imaging agents and products across a range of imaging modalities, including nuclear imaging, echocardiography and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sell our products globally and have operations in the United States, Puerto Rico, Canada and Australia and distribution relationships in Europe, Asia Pacific and Latin America.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products include the following:</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DEFINITY is an ultrasound contrast agent used in ultrasound exams of the heart, also known as echocardiography exams. DEFINITY contains perflutren-containing lipid microspheres and is indicated in the United States for use in patients with suboptimal echocardiograms to assist in imaging the left ventricular chamber and left endocardial border of the heart in ultrasound procedures. We launched DEFINITY in 2001, and its last patent in the United States will currently expire in 2021 and in numerous foreign jurisdictions in 2019.</w:t>
      </w:r>
    </w:p>
    <w:p>
      <w:pPr>
        <w:spacing w:after="0" w:line="13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TechneLite is a technetium generator which provides the essential nuclear material used by radiopharmacies to radiolabel Cardiolite and other technetium-based radiopharmaceuticals used in nuclear medicine procedures. TechneLite uses Moly as its main active ingredient.</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Xenon is a radiopharmaceutical gas that is inhaled and used to assess pulmonary function and also for imaging blood flow. Xenon is manufactured by a third party and packaged by us.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Cardiolite is a technetium-based radiopharmaceutical imaging agent used in MPI procedures to detect coronary artery disease using SPECT. Cardiolite was approved by the FDA in 1990, and its market exclusivity expired in July 2008.</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of our contrast agent, DEFINITY, are made through our sales team of approximately 80 employees. In the United States, our nuclear imaging products, including TechneLite and Cardiolite, are primarily distributed through over 350 radiopharmacies that are controlled by or associated with Cardinal, GE Healthcare, UPPI and Triad. A small portion of our nuclear imaging product sales in the United States are made through our direct sales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force to hospitals and clinics that maintain their own in-house radiopharmaceutical capabilities. Outside the United States, we own five radiopharmacies in Canada and two radiopharmacies in each of Puerto Rico and Australia. We also maintain a direct sales force in each of these countries. In Europe, Asia Pacific and Latin America, we rely on third party distributors to market, sell and distribute our nuclear imaging and contrast agent products, either on a country-by-country basis or on a multicountry regional basis.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revenue derived from our principal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5040" w:type="dxa"/>
            <w:vAlign w:val="bottom"/>
            <w:gridSpan w:val="2"/>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3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vMerge w:val="continue"/>
          </w:tcPr>
          <w:p>
            <w:pPr>
              <w:spacing w:after="0"/>
              <w:rPr>
                <w:sz w:val="12"/>
                <w:szCs w:val="12"/>
                <w:color w:val="auto"/>
              </w:rPr>
            </w:pPr>
          </w:p>
        </w:tc>
        <w:tc>
          <w:tcPr>
            <w:tcW w:w="5040" w:type="dxa"/>
            <w:vAlign w:val="bottom"/>
            <w:gridSpan w:val="2"/>
          </w:tcPr>
          <w:p>
            <w:pPr>
              <w:spacing w:after="0"/>
              <w:rPr>
                <w:sz w:val="12"/>
                <w:szCs w:val="12"/>
                <w:color w:val="auto"/>
              </w:rPr>
            </w:pPr>
          </w:p>
        </w:tc>
        <w:tc>
          <w:tcPr>
            <w:tcW w:w="66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DEFINITY</w:t>
            </w:r>
          </w:p>
        </w:tc>
        <w:tc>
          <w:tcPr>
            <w:tcW w:w="504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$ 78,094</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$ 51,431</w:t>
            </w: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17.9</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$ 68,503</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TechneLite</w:t>
            </w:r>
          </w:p>
        </w:tc>
        <w:tc>
          <w:tcPr>
            <w:tcW w:w="5700" w:type="dxa"/>
            <w:vAlign w:val="bottom"/>
            <w:gridSpan w:val="3"/>
          </w:tcPr>
          <w:p>
            <w:pPr>
              <w:jc w:val="right"/>
              <w:spacing w:after="0"/>
              <w:rPr>
                <w:sz w:val="20"/>
                <w:szCs w:val="20"/>
                <w:color w:val="auto"/>
              </w:rPr>
            </w:pPr>
            <w:r>
              <w:rPr>
                <w:rFonts w:ascii="Arial" w:cs="Arial" w:eastAsia="Arial" w:hAnsi="Arial"/>
                <w:sz w:val="18"/>
                <w:szCs w:val="18"/>
                <w:color w:val="auto"/>
              </w:rPr>
              <w:t>92,195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114,249</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680" w:type="dxa"/>
            <w:vAlign w:val="bottom"/>
          </w:tcPr>
          <w:p>
            <w:pPr>
              <w:jc w:val="right"/>
              <w:spacing w:after="0"/>
              <w:rPr>
                <w:sz w:val="20"/>
                <w:szCs w:val="20"/>
                <w:color w:val="auto"/>
              </w:rPr>
            </w:pPr>
            <w:r>
              <w:rPr>
                <w:rFonts w:ascii="Arial" w:cs="Arial" w:eastAsia="Arial" w:hAnsi="Arial"/>
                <w:sz w:val="18"/>
                <w:szCs w:val="18"/>
                <w:color w:val="auto"/>
              </w:rPr>
              <w:t>131,241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5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30,075</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Cardiolite</w:t>
            </w:r>
          </w:p>
        </w:tc>
        <w:tc>
          <w:tcPr>
            <w:tcW w:w="5700" w:type="dxa"/>
            <w:vAlign w:val="bottom"/>
            <w:gridSpan w:val="3"/>
          </w:tcPr>
          <w:p>
            <w:pPr>
              <w:jc w:val="right"/>
              <w:spacing w:after="0"/>
              <w:rPr>
                <w:sz w:val="20"/>
                <w:szCs w:val="20"/>
                <w:color w:val="auto"/>
              </w:rPr>
            </w:pPr>
            <w:r>
              <w:rPr>
                <w:rFonts w:ascii="Arial" w:cs="Arial" w:eastAsia="Arial" w:hAnsi="Arial"/>
                <w:sz w:val="18"/>
                <w:szCs w:val="18"/>
                <w:color w:val="auto"/>
              </w:rPr>
              <w:t>26,137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34,995</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680" w:type="dxa"/>
            <w:vAlign w:val="bottom"/>
          </w:tcPr>
          <w:p>
            <w:pPr>
              <w:jc w:val="right"/>
              <w:spacing w:after="0"/>
              <w:rPr>
                <w:sz w:val="20"/>
                <w:szCs w:val="20"/>
                <w:color w:val="auto"/>
              </w:rPr>
            </w:pPr>
            <w:r>
              <w:rPr>
                <w:rFonts w:ascii="Arial" w:cs="Arial" w:eastAsia="Arial" w:hAnsi="Arial"/>
                <w:sz w:val="18"/>
                <w:szCs w:val="18"/>
                <w:color w:val="auto"/>
              </w:rPr>
              <w:t>66,127</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40" w:type="dxa"/>
            <w:vAlign w:val="bottom"/>
            <w:vMerge w:val="continue"/>
          </w:tcPr>
          <w:p>
            <w:pPr>
              <w:spacing w:after="0"/>
              <w:rPr>
                <w:sz w:val="19"/>
                <w:szCs w:val="19"/>
                <w:color w:val="auto"/>
              </w:rPr>
            </w:pPr>
          </w:p>
        </w:tc>
        <w:tc>
          <w:tcPr>
            <w:tcW w:w="5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283,672</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288,105</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356,292</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Included in Cardiolite revenue are sales of branded Cardiolite and generic sestamibi, some of which we produce and some of which we procure from third parties.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Supply</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products consist of radiopharmaceuticals and other imaging agents. The radiopharmaceuticals are decaying radioisotopes with half-lives ranging from a few hours to several days. These products cannot be kept in inventory because of their limited useful lives and are subject to just-in-time manufacturing, processing and distribution. We obtain a substantial portion of our other imaging agents from third party suppliers. JHS is currently our sole source manufacturer of DEFINITY, and we have ongoing technology transfer activities at JHS for our Neurolite supply. In the meantime, we have no other currently active supplier of Neurolite, and our Cardiolite product supply is manufactured by a single manufacturer.</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Historically, we relied on BVL in Bedford, Ohio as our sole manufacturer of DEFINITY and Neurolite and as one of two manufacturers of Cardiolite. Our products were manufactured at the South Complex, where BVL also manufactured products for a number of other pharmaceutical customers. In July 2010, BVL temporarily shutdown the South Complex, in order to upgrade the facility to meet certain regulatory requirements. BVL had originally planned for the shutdown of the South Complex to run through March 2011 and to resume production of our products in April 2011. In anticipation of the shutdown, BVL manufactured for us additional inventory of these products to meet our expected needs during this period. A series of unexpected delays at BVL, however, resulted in a stockout for Neurolite from the third quarter 2011 until the third quarter 2013, product outages and shortages for DEFINITY in much of 2012 and product outages and shortages for Cardiolite in 2012 and 2013. Until JHS is approved by certain foreign regulatory authorities to manufacture our products, we will also face continued limitations on where we can sell our products outside the United States.</w:t>
      </w:r>
    </w:p>
    <w:p>
      <w:pPr>
        <w:spacing w:after="0" w:line="10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Because of BVL’s ongoing regulatory issues and our mutual desire to enter into a new contractual relationship to replace the original arrangement, in March 2012 we terminated the original manufacturing agreement and entered into a new set of contracts with BVL which provided, among other things, cash payments to us of $35 million and an undertaking by BVL to continue to manufacture for us through December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BVL was able to resume some manufacturing under the new agreements, BVL continued to face regulatory and supply challenges and, in October 2013, it announced that it would cease to manufacture further new batches of our products in its Bedford, Ohio facility. In November 2013, in connection with the termination of our manufacturing agreement, we and BVL entered into a settlement agreement which provided, among other things, that BVL pay us an additional $8.9 million. BVL was also obligated to use commercially reasonable efforts to finalize specific batches of DEFINITY, Cardiolite and saline manufactured and not yet released by the BVL quality function for commercial distribution. BVL has since released for commercial distribution all of our remaining manufactured product that was awaiting quality approval.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also currently working to secure additional alternative suppliers for our key products as part of our ongoing supply chain diversification strategy.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example, on November 12, 2013, we entered into a Manufacturing and Supply Agreement with Pharmalucence to manufacture and supply DEFINITY.</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Growth of DEFINITY</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believe the market opportunity for our contrast agent, DEFINITY, remains significant. DEFINITY is currently our fastest growing and highest margin commercial product. We believe that DEFINITY sales will continue to grow and that DEFINITY will constitute a greater share of our overall product mix. As a result of DEFINITY’s continued growth, we believe that our gross profit will increase, and our gross margin will continue to expand. As we better educate the physician and healthcare provider community about the benefits and risks of this product, we believe we will experience further penetration of suboptimal echocardiograms.</w:t>
      </w:r>
    </w:p>
    <w:p>
      <w:pPr>
        <w:spacing w:after="0" w:line="12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Prior to the supply issues with BVL in 2012, sales of DEFINITY continually increased year-over-year since June 2008, when the boxed warning on DEFINITY was modified. Unit sales of DEFINITY had decreased substantially in late 2007 and early 2008 as a result of an FDA request in October 2007 that all manufacturers of ultrasound contrast agents add a boxed warning to their products to notify physicians and patients about potentially serious safety concerns or risks posed by the products. However, in May 2008, the FDA boxed warning was modified in response to the substantial advocacy efforts of prescribing physicians.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However, as discussed above under “Inventory Supply,” the future growth of our DEFINITY sales will be dependent on the ability of JHS and, if approved, Pharmalucence to continue to manufacture and release DEFINITY on a timely and consistent basis and our ability to continue to increase segment penetration for DEFINITY in suboptimal echocardiograms. See “Risk Factors—Risks Related to our Business and Industry—The growth of our business is substantially dependent on increased market penetration for the appropriate use of DEFINITY in suboptimal echocardiograms.”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Isotope Supply</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Currently, our largest supplier of Moly and our only supplier of Xenon is Nordion, which relies on the NRU reactor in Chalk River, Ontario. For Moly, we currently have a supply agreement with Nordion that runs through December 31, 2015, subject to certain early termination provisions (that cannot be effective prior to October 1, 2014) and supply agreements with NTP of South Africa, ANSTO of Australia, and IRE of Belgium, each running through December 31, 2017. For Xenon, we have a purchase order relationship with Nordion. The Canadian government requires the NRU reactor to shut down for at least four weeks at least once a year for inspection and maintenance. The 2014 shutdown period is currently scheduled to run from mid-April 2014 to mid-May 2014. We currently believe that we will be able to source all of our standing order customer demand for Moly during this time period from our other suppliers. However, because Xenon is a by-product of the Moly production process and is currently captured only by NRU, during this shutdown period, we do not currently believe that we will be able to supply all of our standing order customer demand for Xenon during the outage. Because the month-long NRU shutdown was fully anticipated in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2014 budgeting process, we do not believe the shutdown will have a material adverse effect on our results of operations, financial condition and cash flows.</w:t>
      </w:r>
    </w:p>
    <w:p>
      <w:pPr>
        <w:spacing w:after="0" w:line="18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we are well-positioned with our current supply partners to have a secure supply of Moly, including LEU Moly, when the NRU reactor commercial operations cease in 2016. We are currently pursuing alternative sources of Xenon on a global basis. If we are not able to secure a new producer of Xenon prior to the 2016 and obtain regulatory approval to sell Xenon from that new producer, we will no longer be able to offer Xenon. In addition, Nordion recently announced that it has entered into a definitive agreement to be acquired by Sterigenics. As a result of this transaction, our supplier could change the terms on which we obtain Xenon. See “Risk Factors—Risks Related to our Business and Industry—We face potential supply and demand challenges for Xenon.”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for TechneLite</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the global Moly supply shortage in 2009 to 2010, we have experienced reduced demand for TechneLite generators from pre-shortage levels even though volume has increased in absolute terms from levels during the shortage following the return of our normal Moly supply in August 2010. However, we do not know if overall industry demand for technetium will ever return to pre-shortage levels.</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believe that there has been an overall decline in the MPI study market because decreased levels of patient studies during the Moly shortage period have not returned to pre-shortage levels and industry-wide cost-containment initiatives that have resulted in a transition of where imaging procedures are performed, from free standing imaging centers to the hospital setting. We expect these factors will continue to affect technetium demand in the future.</w:t>
      </w:r>
    </w:p>
    <w:p>
      <w:pPr>
        <w:spacing w:after="0" w:line="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November 2013, the Centers for Medicare and Medicaid Services, or CMS, announced the 2014 final Medicare payment rules for hospital outpatient settings and physician offices. Under the final rules, each technetium dose produced from a generator for a diagnostic procedure in a hospital outpatient setting is reimbursed by Medicare at a higher rate if that technetium dose is produced from a generator containing Moly sourced from at least 95 percent LEU. We currently understand that CMS expects to continue this incentive program for the foreseeable future. In January 2013, we began to offer a TechneLite generator which contains Moly sourced from at least 95 percent LEU and which satisfies the requirements for reimbursement under this incentive program. Although demand for LEU generators appears to be growing, it is too early to tell whether this incremental reimbursement for LEU Moly generators will result in a material increase in our generator sales.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Cardiolite Competitive Pressures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Cardiolite’s market exclusivity expired in July 2008. In September 2008, the first of several competing generic products to Cardiolite was launched. With continued pricing and unit volume pressures from generic competitors, we also sell our Cardiolite product in the form of a generic sestamibi at the same time as we continue to sell branded Cardiolite throughout the MPI segment. We believe this strategy of selling branded as well as generic sestamibi has slowed our market share loss by having multiple sestamibi offerings that are attractive in terms of brand, as well as price.</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to pressures due to generics, our Cardiolite products have also faced a volume decline in the MPI segment due to a change in professional society appropriateness guidelines, ongoing reimbursement pressures, the limited availability of Moly during the NRU reactor shutdown, the limited availability of Cardiolite products to us during the BVL outage, and the increase in use of other diagnostic modalities as a result of a shift to more available imaging agents and modalities. We believe the continuing effects from the BVL outage and continued generic competition will result in further market share and margin erosion for our Cardiolite products.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have impacted the carrying value of our Cardiolite trademark intangible asset as further described in “Gross Profit.”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remain a leader in the marketplace, we have historically made substantial investments in new product development. As a result, the positive contributions of those internally funded research and development programs have been a key factor in our historical results and success. In March 2013, we implemented a strategic shift in how we intend to fund our important R&amp;D programs. We have reduced our internal R&amp;D resources while at the same time we are seeking to engage strategic partners to assist us in the further development and commercialization of our important agents in development, including flurpiridaz F 18, 18F LMI 1195 and LMI 1174. As a result of this shift, we are seeking strategic partners to assist us with the further development and possible commercialization of flurpiridaz F 18. For our other two important agents in development, 18F LMI 1195 and LMI 1174, we will also seek to engage strategic partners to assist us with the ongoing development activities relating to these agents.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8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report our results of operations in two operating segments: United States and International. We generate a greater proportion of our revenue and net income in the United States segment, which consists of all regions of the United States. We expect our percentage of revenue and net income derived from our International segment to continue to increase in future periods as we continue to expand globally.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have been included in our results as of and for the year ended December 31, 2013:</w:t>
      </w:r>
    </w:p>
    <w:p>
      <w:pPr>
        <w:spacing w:after="0" w:line="77" w:lineRule="exact"/>
        <w:rPr>
          <w:sz w:val="20"/>
          <w:szCs w:val="20"/>
          <w:color w:val="auto"/>
        </w:rPr>
      </w:pPr>
    </w:p>
    <w:p>
      <w:pPr>
        <w:ind w:left="660" w:right="26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revenues and segment penetration for DEFINITY in the suboptimal echocardiogram segment as a result of sustained availability of product supply from BVL and JHS;</w:t>
      </w:r>
    </w:p>
    <w:p>
      <w:pPr>
        <w:spacing w:after="0" w:line="37"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revenues due to limited supply of Neurolite product inventory as a result of the BVL production challenges, and a higher cost of goods sold for Cardiolite because of more expensive sourcing from our current manufacturer of Cardiolite and from our third party manufacturers of generic sestamibi;</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decreased revenues for TechneLite due to a contract that took effect at the beginning of 2013 with a significant customer that reduced unit pricing;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revenues resulting from continued generic competition to Cardiolite;</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under-absorption of manufacturing overhead due to lower production and low lot yields resulting from the continued supply challenges with BVL during 2013;</w:t>
      </w:r>
    </w:p>
    <w:p>
      <w:pPr>
        <w:spacing w:after="0" w:line="37" w:lineRule="exact"/>
        <w:rPr>
          <w:rFonts w:ascii="Arial" w:cs="Arial" w:eastAsia="Arial" w:hAnsi="Arial"/>
          <w:sz w:val="18"/>
          <w:szCs w:val="18"/>
          <w:color w:val="auto"/>
        </w:rPr>
      </w:pPr>
    </w:p>
    <w:p>
      <w:pPr>
        <w:ind w:left="660" w:right="90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certain cost saving actions taken in March 2013 as we continue to implement a strategic shift in how we fund our research and development, or R&amp;D, programs;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material costs incurred for the production of TechneLite;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impairment charge on certain excess land held for sale;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impairment charge on the Cardiolite trademark intangible asset;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impairment charge on customer relationship intangible assets;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total of $8.9 million received from BVL to compensate us for business losses.</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2013, we incurred a net income (loss) of $(61.6) million and an operating income (loss) of $(18.9) million. We have developed plans and taken steps that we believe will enable us to strengthen our operations and meet our operating and financing requirements. In March 2013, we implemented a strategic shift in how we intend to fund our important R&amp;D programs. We have reduced our internal R&amp;D resources while at the same time seek to engage strategic partners to assist us in the further development and commercialization of our important agents in development, including flurpiridaz F 18, 18F LMI 1195 and LMI 1174.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2013 compared</w:t>
            </w:r>
          </w:p>
        </w:tc>
        <w:tc>
          <w:tcPr>
            <w:tcW w:w="160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 2012</w:t>
            </w:r>
          </w:p>
        </w:tc>
        <w:tc>
          <w:tcPr>
            <w:tcW w:w="1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Change</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gridSpan w:val="7"/>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283,672</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288,105</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  356,292</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(4,433)</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 (68,187)</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Cost of goods sold</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(2.2)</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206,311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211,049</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255,466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(4,738)</w:t>
            </w:r>
          </w:p>
        </w:tc>
        <w:tc>
          <w:tcPr>
            <w:tcW w:w="960" w:type="dxa"/>
            <w:vAlign w:val="bottom"/>
            <w:gridSpan w:val="2"/>
            <w:vMerge w:val="continue"/>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(44,417)</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firm purchase commitment</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(1,859)</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(3,751)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880"/>
              <w:spacing w:after="0"/>
              <w:rPr>
                <w:sz w:val="20"/>
                <w:szCs w:val="20"/>
                <w:color w:val="auto"/>
              </w:rPr>
            </w:pPr>
            <w:r>
              <w:rPr>
                <w:rFonts w:ascii="Arial" w:cs="Arial" w:eastAsia="Arial" w:hAnsi="Arial"/>
                <w:sz w:val="14"/>
                <w:szCs w:val="14"/>
                <w:color w:val="auto"/>
              </w:rPr>
              <w:t>Total cost of goods sold</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(3.1)</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206,311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212,908</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261,076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(6,597)</w:t>
            </w:r>
          </w:p>
        </w:tc>
        <w:tc>
          <w:tcPr>
            <w:tcW w:w="960" w:type="dxa"/>
            <w:vAlign w:val="bottom"/>
            <w:gridSpan w:val="2"/>
            <w:vMerge w:val="continue"/>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(48,168)</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Gross profit</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77,361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75,197</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95,216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(20,019)</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1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Sales and marketing expenses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37,437</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38,689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(2,210)</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(1,252)</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General and administrative expenses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33,036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32,520</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32,862</w:t>
            </w: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516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Research and development expenses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40,604</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40,945</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(10,145)</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Proceeds from manufacturer</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(34,614)</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25,738</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(74.4)</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(34,614)</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Impairment on land</w:t>
            </w:r>
          </w:p>
        </w:tc>
        <w:tc>
          <w:tcPr>
            <w:tcW w:w="15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000" w:type="dxa"/>
            <w:vAlign w:val="bottom"/>
          </w:tcPr>
          <w:p>
            <w:pPr>
              <w:ind w:left="880"/>
              <w:spacing w:after="0" w:line="155" w:lineRule="exact"/>
              <w:rPr>
                <w:sz w:val="20"/>
                <w:szCs w:val="20"/>
                <w:color w:val="auto"/>
              </w:rPr>
            </w:pPr>
            <w:r>
              <w:rPr>
                <w:rFonts w:ascii="Arial" w:cs="Arial" w:eastAsia="Arial" w:hAnsi="Arial"/>
                <w:sz w:val="14"/>
                <w:szCs w:val="14"/>
                <w:color w:val="auto"/>
              </w:rPr>
              <w:t>Total operating expenses</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96,252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75,947</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112,496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20,305</w:t>
            </w: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42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(36,549)</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Operating income (loss)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(18,891)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(17,280)</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(18,141)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2,418.8</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16,530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(42,915)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(42,014)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(37,658)</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(4,356)</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1,429</w:t>
            </w: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1,205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2,738.6</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Loss before income taxes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(60,541)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(42,556)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(53,176)</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(17,985)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10,620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84,082</w:t>
            </w: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1,569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(84,637)</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income (loss)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(61,555)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(42,001)</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(137,258)</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(19,554)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95,257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Foreign currency translation, net of taxes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(279.4)</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386.1</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(1,729)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964</w:t>
            </w:r>
          </w:p>
        </w:tc>
        <w:tc>
          <w:tcPr>
            <w:tcW w:w="280" w:type="dxa"/>
            <w:vAlign w:val="bottom"/>
          </w:tcPr>
          <w:p>
            <w:pPr>
              <w:spacing w:after="0"/>
              <w:rPr>
                <w:sz w:val="13"/>
                <w:szCs w:val="13"/>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(337)</w:t>
            </w:r>
          </w:p>
        </w:tc>
        <w:tc>
          <w:tcPr>
            <w:tcW w:w="80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(2,693)</w:t>
            </w:r>
          </w:p>
        </w:tc>
        <w:tc>
          <w:tcPr>
            <w:tcW w:w="960" w:type="dxa"/>
            <w:vAlign w:val="bottom"/>
            <w:gridSpan w:val="2"/>
            <w:vMerge w:val="continue"/>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1,301</w:t>
            </w:r>
          </w:p>
        </w:tc>
        <w:tc>
          <w:tcPr>
            <w:tcW w:w="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comprehensive loss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(63,284)</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(41,037)</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 (137,595)</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(22,247)</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54.2%</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  96,558</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the Years Ended December 31, 2013, 2012, and 2011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2013 compared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2012 compared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to 2012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7"/>
          </w:tcPr>
          <w:p>
            <w:pPr>
              <w:jc w:val="right"/>
              <w:ind w:right="6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21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DEFINITY</w:t>
            </w:r>
          </w:p>
        </w:tc>
        <w:tc>
          <w:tcPr>
            <w:tcW w:w="2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76,539</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50,377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67,442</w:t>
            </w: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4"/>
              </w:rPr>
              <w:t>$ 26,162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51.9%</w:t>
            </w: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$(17,065)</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TechneLite</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80,609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101,049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114,833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(20,440)</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(13,784)</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Cardiolite</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13,851</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39,214</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(5,239)</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4"/>
              </w:rPr>
              <w:t>(25,363)</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Xenon</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32,086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30,048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26,728</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2,038</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15,793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14,686</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20,148</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1,107</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(5,462)</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U.S. revenues</w:t>
            </w:r>
          </w:p>
        </w:tc>
        <w:tc>
          <w:tcPr>
            <w:tcW w:w="2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213,639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210,011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268,365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3,628</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(58,354)</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International</w:t>
            </w:r>
          </w:p>
        </w:tc>
        <w:tc>
          <w:tcPr>
            <w:tcW w:w="2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DEFINITY</w:t>
            </w:r>
          </w:p>
        </w:tc>
        <w:tc>
          <w:tcPr>
            <w:tcW w:w="2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1,555</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TechneLite</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11,586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13,200</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16,408</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(1,614)</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(3,208)</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Cardiolite</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17,525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21,144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26,913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(3,619)</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(5,769)</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Xenon</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39,328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42,669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43,512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(3,341)</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880"/>
              <w:spacing w:after="0"/>
              <w:rPr>
                <w:sz w:val="20"/>
                <w:szCs w:val="20"/>
                <w:color w:val="auto"/>
              </w:rPr>
            </w:pPr>
            <w:r>
              <w:rPr>
                <w:rFonts w:ascii="Arial" w:cs="Arial" w:eastAsia="Arial" w:hAnsi="Arial"/>
                <w:sz w:val="14"/>
                <w:szCs w:val="14"/>
                <w:color w:val="auto"/>
              </w:rPr>
              <w:t>Total International revenues</w:t>
            </w:r>
          </w:p>
        </w:tc>
        <w:tc>
          <w:tcPr>
            <w:tcW w:w="2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2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7"/>
              </w:rPr>
              <w:t>70,033</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7"/>
              </w:rPr>
              <w:t>78,094</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7"/>
              </w:rPr>
              <w:t>87,927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(8,061)</w:t>
            </w:r>
          </w:p>
        </w:tc>
        <w:tc>
          <w:tcPr>
            <w:tcW w:w="860" w:type="dxa"/>
            <w:vAlign w:val="bottom"/>
            <w:gridSpan w:val="2"/>
            <w:vMerge w:val="continue"/>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(9,833)</w:t>
            </w: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1300"/>
              <w:spacing w:after="0" w:line="143" w:lineRule="exact"/>
              <w:rPr>
                <w:sz w:val="20"/>
                <w:szCs w:val="20"/>
                <w:color w:val="auto"/>
              </w:rPr>
            </w:pPr>
            <w:r>
              <w:rPr>
                <w:rFonts w:ascii="Arial" w:cs="Arial" w:eastAsia="Arial" w:hAnsi="Arial"/>
                <w:sz w:val="14"/>
                <w:szCs w:val="14"/>
                <w:color w:val="auto"/>
              </w:rPr>
              <w:t>Revenues</w:t>
            </w:r>
          </w:p>
        </w:tc>
        <w:tc>
          <w:tcPr>
            <w:tcW w:w="21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82"/>
              </w:rPr>
              <w:t>283,672</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w w:val="82"/>
              </w:rPr>
              <w:t>288,105</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w w:val="82"/>
              </w:rPr>
              <w:t>356,292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9"/>
              </w:rPr>
              <w:t>(4,433)</w:t>
            </w:r>
          </w:p>
        </w:tc>
        <w:tc>
          <w:tcPr>
            <w:tcW w:w="8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(1.5)%</w:t>
            </w:r>
          </w:p>
        </w:tc>
        <w:tc>
          <w:tcPr>
            <w:tcW w:w="740" w:type="dxa"/>
            <w:vAlign w:val="bottom"/>
            <w:gridSpan w:val="4"/>
            <w:shd w:val="clear" w:color="auto" w:fill="CCEEFF"/>
          </w:tcPr>
          <w:p>
            <w:pPr>
              <w:jc w:val="right"/>
              <w:ind w:right="80"/>
              <w:spacing w:after="0" w:line="143"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(68,187)</w:t>
            </w: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00" w:type="dxa"/>
            <w:vAlign w:val="bottom"/>
            <w:vMerge w:val="restart"/>
          </w:tcPr>
          <w:p>
            <w:pPr>
              <w:jc w:val="right"/>
              <w:ind w:right="229"/>
              <w:spacing w:after="0"/>
              <w:rPr>
                <w:sz w:val="20"/>
                <w:szCs w:val="20"/>
                <w:color w:val="auto"/>
              </w:rPr>
            </w:pPr>
            <w:r>
              <w:rPr>
                <w:rFonts w:ascii="Arial" w:cs="Arial" w:eastAsia="Arial" w:hAnsi="Arial"/>
                <w:sz w:val="18"/>
                <w:szCs w:val="18"/>
                <w:color w:val="auto"/>
              </w:rPr>
              <w:t>60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Revenues decreased $4.4 million, or 1.5%, to $283.7 million in the year ended December 31, 2013, as compared to $288.1 million in the year ended December 31, 2012. U.S. segment revenue increased $3.6 million, or 1.7%, to $213.6 million in the same period, as compared to $210.0 million in the prior year. The increase of $3.6 million in U.S. segment revenue during the year ended December 31, 2013, as compared to the prior year period is primarily driven by a $26.2 million increase in DEFINITY revenue given product supply shortages that impacted the prior year period. Offsetting this increase was a decrease in TechneLite revenues of $20.4 million over the prior year period as a result of: (i) a contract that took effect at the beginning of 2013 with a significant customer that reduced unit pricing, resulting in lower revenues of $16.9 million as compared to the prior year period; (ii) a decline in a significant customer’s market share which lowered its share of product purchases from us and decreased revenues by $5.7 million; and (iii) loss of a customer resulting in lower revenue of $1.3 million. Offsetting these decreases in TechneLite revenues was a higher share volume with a group of customers resulting in a $3.3 million increase in sales over the prior year period. Additionally, Cardiolite revenues were $5.2 million lower than the prior year period as a result of a contract with a significant customer that reduced unit pricing and volume commitments.</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International segment revenues decreased $8.1 million, or 10.3%, to $70.0 million in the year ended December 31, 2013, as compared to $78.1 million in the year ended December 31, 2012. The decrease of $8.1 million in the International segment revenue during the year ended December 31, 2013, as compared to the prior year period, is due in part to a $3.3 million decrease in other revenue. This decrease is the result of a new contract with an existing customer, which altered the timing of shipments and reflected a lower selling price, as well as an unfavorable foreign exchange impact in the amount $1.9 million for the year ended December 31, 2013 versus the prior year. In addition, Cardiolite sales decreased by $3.6 million mainly due to competitive pressures in international markets, as well as $0.7 million in unfavorable foreign exchange. TechneLite sales decreased by $1.6 million due to reduced selling prices in Canada, lower sales volume in the Latin America and Asia Pacific markets as well as $0.3 million in unfavorable foreign exchange. Overall, total unfavorable foreign exchange totaled $2.9 million when compared to the prior period.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Revenues decreased $68.2 million, or 19.1%, to $288.1 million in the year ended December 31, 2012, as compared to $356.3 million in the year ended December 31, 2011. U.S. segment revenue decreased $58.4 million, or 21.7%, to $210.0 million in the same period, as compared to $268.4 million in the prior year. The decrease in the U.S. segment over the prior year is primarily due to the BVL production challenges impacting our supply of DEFINITY, Cardiolite, and Neurolite, which represented $35.5 million of unit volume revenue decreases. We also experienced lower pricing on Cardiolite and DEFINITY products in 2012, which represented $11.1 million of the decrease in U.S. segment revenues. We experienced lower TechneLite revenues due to the loss of a significant customer during the second quarter of 2012, resulting in lower revenues of $8.0 million. A decline in a significant customer’s market share resulted in lower revenues of $4.1 million in 2012. Offsetting these decreases were increases in revenue for the U.S. segment of Xenon, with price increases of $5.1 million offset in part by lower unit volumes of $1.8 million.</w:t>
      </w:r>
    </w:p>
    <w:p>
      <w:pPr>
        <w:spacing w:after="0" w:line="10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International segment revenues decreased $9.8 million, or 11.2%, to $78.1 million in the year ended December 31, 2012, as compared to $87.9 million in the year ended December 31, 2011. The decrease was primarily due to the BVL production challenges impacting our supply of Cardiolite and Neurolite in the international markets and TechneLite decreases due to lower unit volume and pricing in certain markets.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Rebates and Allowances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result from performance-based offers that are primarily based on attaining contractually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Rebates</w:t>
            </w: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2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3,672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(2,617)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2"/>
        </w:trPr>
        <w:tc>
          <w:tcPr>
            <w:tcW w:w="8300" w:type="dxa"/>
            <w:vAlign w:val="bottom"/>
            <w:gridSpan w:val="2"/>
          </w:tcPr>
          <w:p>
            <w:pPr>
              <w:spacing w:after="0"/>
              <w:rPr>
                <w:sz w:val="20"/>
                <w:szCs w:val="20"/>
                <w:color w:val="auto"/>
              </w:rPr>
            </w:pPr>
            <w:r>
              <w:rPr>
                <w:rFonts w:ascii="Arial" w:cs="Arial" w:eastAsia="Arial" w:hAnsi="Arial"/>
                <w:sz w:val="18"/>
                <w:szCs w:val="18"/>
                <w:color w:val="auto"/>
              </w:rPr>
              <w:t>Balance, as of December 31, 2011</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(2,232)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243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(3,438)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31, 2013</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1,739</w:t>
            </w:r>
          </w:p>
        </w:tc>
        <w:tc>
          <w:tcPr>
            <w:tcW w:w="30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Accrued sales rebates were approximately $1.7 million and $1.5 million at December 31, 2013 and December 31, 2012, respectively. The increase in rebate provisions as compared to 2012 and 2011 is primarily related to the increase in DEFINITY revenues. In October 2010, we entered into a Medicaid Drug Rebate Agreement for certain of our products, which did not have a material impact on our results of operations in 2011, 2012 or 2013. If the demand for these products through the Medicaid program increases in the future, our rebates associated with this program could increase and could have a material impact on future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 of goods sold consists of manufacturing, distribution, intangible asset amortization and other costs related to our commercial products. In addition, it includes the write-off of excess and obsolete inventory.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 is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2013 compared</w:t>
            </w:r>
          </w:p>
        </w:tc>
        <w:tc>
          <w:tcPr>
            <w:tcW w:w="1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5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to 2012</w:t>
            </w:r>
          </w:p>
        </w:tc>
        <w:tc>
          <w:tcPr>
            <w:tcW w:w="4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tcPr>
          <w:p>
            <w:pPr>
              <w:spacing w:after="0"/>
              <w:rPr>
                <w:sz w:val="11"/>
                <w:szCs w:val="11"/>
                <w:color w:val="auto"/>
              </w:rPr>
            </w:pP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Change</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r>
      <w:tr>
        <w:trPr>
          <w:trHeight w:val="161"/>
        </w:trPr>
        <w:tc>
          <w:tcPr>
            <w:tcW w:w="510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$149,018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$156,098</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$206,450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$(7,080)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(50,352)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International</w:t>
            </w:r>
          </w:p>
        </w:tc>
        <w:tc>
          <w:tcPr>
            <w:tcW w:w="680" w:type="dxa"/>
            <w:vAlign w:val="bottom"/>
          </w:tcPr>
          <w:p>
            <w:pPr>
              <w:jc w:val="right"/>
              <w:spacing w:after="0"/>
              <w:rPr>
                <w:sz w:val="20"/>
                <w:szCs w:val="20"/>
                <w:color w:val="auto"/>
              </w:rPr>
            </w:pPr>
            <w:r>
              <w:rPr>
                <w:rFonts w:ascii="Arial" w:cs="Arial" w:eastAsia="Arial" w:hAnsi="Arial"/>
                <w:sz w:val="18"/>
                <w:szCs w:val="18"/>
                <w:color w:val="auto"/>
              </w:rPr>
              <w:t>57,293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54,626</w:t>
            </w:r>
          </w:p>
        </w:tc>
        <w:tc>
          <w:tcPr>
            <w:tcW w:w="560" w:type="dxa"/>
            <w:vAlign w:val="bottom"/>
          </w:tcPr>
          <w:p>
            <w:pPr>
              <w:jc w:val="right"/>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r>
      <w:tr>
        <w:trPr>
          <w:trHeight w:val="27"/>
        </w:trPr>
        <w:tc>
          <w:tcPr>
            <w:tcW w:w="5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Goods Sold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$ 206,311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212,908</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261,076</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(6,597)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(48,168)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w:t>
            </w:r>
          </w:p>
        </w:tc>
      </w:tr>
      <w:tr>
        <w:trPr>
          <w:trHeight w:val="20"/>
        </w:trPr>
        <w:tc>
          <w:tcPr>
            <w:tcW w:w="5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Ablavar product was commercially launched in January 2010. The revenues for this product through December 31, 2013 have not been significant and have resulted in charges to cost of goods sold for inventory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write downs, intangible asset impairments and expected losses on future contractual commitments in 2011, 2012 and 2013. During 2011, we recorded an inventory write-down of $25.8 million, a contract loss of $5.6 million and a full impairment of the Ablavar intellectual property intangible asset of $23.5 million. During 2012, we recorded an additional inventory write-down of $10.6 million and an additional contract loss of $1.9 million. In 2013, we recorded an additional inventory write-down of $1.6 million. See Note 5 to our consolidated financial statements, which are included elsewhere in this prospectus. After giving effect to these adjustments, as of December 31, 2013 and 2012, we have a total of $1.5 million and $2.8 million, respectively, of Ablavar inventory on hand and approximately $1.8 million and $9.4 million, respectively, of remaining committed Ablavar purchase obligations, of which $1.3 million and $7.5 million, respectively, is included in our accrued contract loss. If we do not meet our current sales goals or cannot sell the product we have committed to purchase prior to its expiration, we could incur additional inventory write-downs and/or losses on our purchase commitments.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Total cost of goods sold decreased $6.6 million, or 3.1%, to $206.3 million in the year ended December 31, 2013, as compared to $212.9 million in the year ended December 31, 2012. U.S. segment cost of goods sold decreased approximately $7.1 million, or 4.5%, to $149.0 million in same period, as compared to $156.1 million in the prior year period. The decrease in the U.S. segment cost of goods sold for the year ended December 31, 2013 over the prior year period is primarily due to $10.9 million of lower write-off as compared to the prior year related to the Ablavar product line. We also incurred lower cost of goods sold of $9.3 million for TechneLite over the prior period primarily due to lower material cost and lower unit volumes. Technology transfer costs decreased by $4.0 million related to JHS becoming an approved manufacturing site for DEFINITY by the FDA in the first quarter of 2013. Lower sales volume of Cardiolite contributed to lower cost of goods sold by $2.6 million. Offsetting these decreases was an increase in DEFINITY cost of goods sold of approximately</w:t>
      </w:r>
    </w:p>
    <w:p>
      <w:pPr>
        <w:ind w:right="500"/>
        <w:spacing w:after="0" w:line="261" w:lineRule="auto"/>
        <w:rPr>
          <w:sz w:val="20"/>
          <w:szCs w:val="20"/>
          <w:color w:val="auto"/>
        </w:rPr>
      </w:pPr>
      <w:r>
        <w:rPr>
          <w:rFonts w:ascii="Arial" w:cs="Arial" w:eastAsia="Arial" w:hAnsi="Arial"/>
          <w:sz w:val="18"/>
          <w:szCs w:val="18"/>
          <w:color w:val="auto"/>
        </w:rPr>
        <w:t>$4.7 million primarily driven by an increase in units sold, an impairment charge of $15.4 million related to the Cardiolite trademark intangible asset and an increase of $2.1 million related to Neurolite technology transfer.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the International segment cost of goods sold increased $0.5 million, or 0.9%, to $57.3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$56.8 million in the prior year period. The increase in the International segment was primarily due to an impairment charge on customer relationship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in Europe totaling $1.7 million, which was partially offset by favorable foreign exchange impact of $1.0 million, lower volume and lower cost of goods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sold for certain products.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Total cost of goods sold decreased $48.2 million, or 18.4%, to $212.9 million in the year ended December 31, 2012, as compared to $261.1 million in the year ended December 31, 2011. U.S. segment cost of goods sold decreased approximately $50.4 million, or 24.4%, to $156.1 million in same period, as compared to $206.5 million in the prior year period. The primary contributing factor to the decrease in the U.S. segment cost of goods sold was the prior period write-off for Ablavar intangible assets of $23.5 million and the decrease of $18.9 million in amounts recorded for Ablavar inventory write-down and contract loss reserves associated with Ablavar inventory purchase commitments. We also incurred lower TechneLite material costs of $12.6 million due to lower unit volumes and lower cost with our primary supplier beginning in November 2012. These decreases were partially offset by higher DEFINITY technology transfer costs of $4.9 million, take or pay losses of $4.3 million on purchase commitments for Moly (prior to a Moly supply contract amendment which changed purchase requirements from unit volume to percentage) and higher Cardiolite manufacturing costs of $1.5 million due to increased material expenses as a result of sourcing material from an alternate higher cost manufacturer due to the BVL outage.</w:t>
      </w:r>
    </w:p>
    <w:p>
      <w:pPr>
        <w:spacing w:after="0" w:line="10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the year ended December 31, 2012, the International segment cost of goods sold increased $2.2 million, or 4.0%, to $56.8 million, as compared to $54.6 million in the prior year period. Cost of goods sold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International segment increased primarily due to temporary increases in costs for third party sestamibi and a substitute product for Neurolite. These increases were partially offset by lower Cardiolite, Neurolite and TechneLite unit volumes in certain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2013 compared</w:t>
            </w:r>
          </w:p>
        </w:tc>
        <w:tc>
          <w:tcPr>
            <w:tcW w:w="156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4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to 2012</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Change</w:t>
            </w:r>
          </w:p>
        </w:tc>
        <w:tc>
          <w:tcPr>
            <w:tcW w:w="54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482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56"/>
        </w:trPr>
        <w:tc>
          <w:tcPr>
            <w:tcW w:w="4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5"/>
          </w:tcPr>
          <w:p>
            <w:pPr>
              <w:jc w:val="right"/>
              <w:ind w:righ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$53,913</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$61,915</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$10,708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(8,002)</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(12.9)%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w:t>
            </w:r>
          </w:p>
        </w:tc>
        <w:tc>
          <w:tcPr>
            <w:tcW w:w="580" w:type="dxa"/>
            <w:vAlign w:val="bottom"/>
          </w:tcPr>
          <w:p>
            <w:pPr>
              <w:jc w:val="right"/>
              <w:spacing w:after="0"/>
              <w:rPr>
                <w:sz w:val="20"/>
                <w:szCs w:val="20"/>
                <w:color w:val="auto"/>
              </w:rPr>
            </w:pPr>
            <w:r>
              <w:rPr>
                <w:rFonts w:ascii="Arial" w:cs="Arial" w:eastAsia="Arial" w:hAnsi="Arial"/>
                <w:sz w:val="18"/>
                <w:szCs w:val="18"/>
                <w:color w:val="auto"/>
              </w:rPr>
              <w:t>12,740</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21,284</w:t>
            </w:r>
          </w:p>
        </w:tc>
        <w:tc>
          <w:tcPr>
            <w:tcW w:w="4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33,301</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(8,544)</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(12,017)</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(36.1)</w:t>
            </w:r>
          </w:p>
        </w:tc>
      </w:tr>
      <w:tr>
        <w:trPr>
          <w:trHeight w:val="27"/>
        </w:trPr>
        <w:tc>
          <w:tcPr>
            <w:tcW w:w="4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77,361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75,197</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95,216</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$ 2,164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(20,019)</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(21.0)%</w:t>
            </w:r>
          </w:p>
        </w:tc>
      </w:tr>
      <w:tr>
        <w:trPr>
          <w:trHeight w:val="20"/>
        </w:trPr>
        <w:tc>
          <w:tcPr>
            <w:tcW w:w="4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Total gross profit increased $2.2 million, or 2.9%, to $77.4 million in the year ended December 31, 2013, as compared to $75.2 million in the year ended December 31, 2012. U.S. segment gross profit increased $10.7 million, or 19.9%, to $64.6 million, as compared to $53.9 million in the prior year period. The increase in the U.S. segment gross profit for the year ended December 31, 2013 over the prior year period is primarily due to an ongoing shift in mix among products, specifically a higher DEFINITY gross profit of approximately $25.3 million primarily due to an increase in sales volume and $4.0 million due to lower technology transfer cost related to JHS becoming an approved manufacturing site for DEFINITY by the FDA. In addition, gross profit improved due to a $10.9 million decrease in write-offs related to Ablavar. Offsetting these increases was a decrease in TechneLite gross margin of approximately $11.1 million over the prior period driven primarily by lower selling price and lower gross profit on Cardiolite due to an impairment charge of $15.4 million related to the Cardiolite trademark intangible asset and lower selling prices.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the International segment gross profit decreased $8.5 million, or 40.1%, to $12.7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$21.3 million in the prior year period. Gross profit in our International segment decreased due to a new contract with an existing customer, which altered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timing of shipments and reflected a lower selling price, unfavorable changes in foreign exchange rates, lower sales due to competitive pressures in all markets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$1.7 million impairment charge on customer relationship intangible assets.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Total gross profit decreased $20.0 million, or 21.0%, to $75.2 million in the year ended December 31, 2012, as compared to $95.2 million in the year ended December 31, 2011. U.S. segment gross profit decreased $8.0 million, or 12.9%, to $53.9 million, as compared to $61.9 million in the prior year period. Gross profit in the U.S. segment decreased primarily due to lower profits of $40.9 million from Cardiolite, DEFINITY, and Neurolite caused by supply issues resulting from the BVL production challenges. We also experienced decreased profits of $5.5 million from TechneLite, driven by $4.3 million of take or pay losses on purchase commitments for Moly, $4.1 million in lower margins from lower unit sales, offset by $2.9 million in higher selling price given the customer mix. Additionally, we incurred increased DEFINITY technology transfer costs of $4.9 million and higher Cardiolite manufacturing costs of $1.5 million in 2012 due to increased material expenses as a result of sourcing material from an alternate higher cost manufacturer due to the BVL production challenges, contributing to a lower gross profit in comparison to the prior period. These decreases were partially offset by the prior period write-off for Ablavar intangible assets of</w:t>
      </w:r>
    </w:p>
    <w:p>
      <w:pPr>
        <w:spacing w:after="0" w:line="6"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$23.5 million and the decrease of $18.9 million in amounts recorded for Ablavar inventory write-down and contract loss reserves associated with Ablavar inventory purchase commitments and higher Xenon gross profit due to price increases of $5.1 million offset by lower unit volumes reducing gross profit by $2.0 million.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the International segment gross profit decreased $12.0 million, or 36.1%, to $21.3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$33.3 million in the prior year period. Gross profit in our International segment decreased due to lower Cardiolite and Neurolite unit sales volumes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shortage issues resulting from the BVL production challenges, higher material expenses as we sourced material from alternate higher cost manufacturers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lower units sales volumes given competitive pressures in certain markets. These decreases were partially offset by higher profits from sales of Neurolite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ligand, which was unaffected by the BVL production challenges.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2013 compared</w:t>
            </w:r>
          </w:p>
        </w:tc>
        <w:tc>
          <w:tcPr>
            <w:tcW w:w="18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to 2012</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r>
      <w:tr>
        <w:trPr>
          <w:trHeight w:val="129"/>
        </w:trPr>
        <w:tc>
          <w:tcPr>
            <w:tcW w:w="3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3"/>
              </w:rPr>
              <w:t>Change</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Change</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11"/>
                <w:szCs w:val="11"/>
                <w:color w:val="auto"/>
              </w:rPr>
            </w:pPr>
          </w:p>
        </w:tc>
      </w:tr>
      <w:tr>
        <w:trPr>
          <w:trHeight w:val="161"/>
        </w:trPr>
        <w:tc>
          <w:tcPr>
            <w:tcW w:w="3620" w:type="dxa"/>
            <w:vAlign w:val="bottom"/>
          </w:tcPr>
          <w:p>
            <w:pPr>
              <w:spacing w:after="0"/>
              <w:rPr>
                <w:sz w:val="14"/>
                <w:szCs w:val="14"/>
                <w:color w:val="auto"/>
              </w:rPr>
            </w:pPr>
          </w:p>
        </w:tc>
        <w:tc>
          <w:tcPr>
            <w:tcW w:w="19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$31,024</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$33,638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$34,040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$(2,614)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(402)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4,203</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3,799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4,649</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404</w:t>
            </w: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(850)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Sales and Marketing</w:t>
            </w:r>
          </w:p>
        </w:tc>
        <w:tc>
          <w:tcPr>
            <w:tcW w:w="1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35,227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37,437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38,689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0"/>
        </w:trPr>
        <w:tc>
          <w:tcPr>
            <w:tcW w:w="3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Total sales and marketing expenses decreased $2.2 million, or 5.9%, to $35.2 million in the year ended December 31, 2013, as compared to $37.4 million in the year ended December 31, 2012. In the U.S. segment, sales and marketing expense decreased $2.6 million, or 7.8%, to $31.0 million in the same period, as compared to $33.6 million in the prior year. The decrease in the U.S. segment was primarily due to lower headcount and employee related expenses, including contractors, due to a reduction in workforce and reduced marketing expenses related to Ablavar. Offsetting the decreases were increases in variable compensation and marketing expenses related to DEFINITY. As a percentage of total U.S. revenues, sales and marketing expenses in the U.S. segment were 14.5%, 16.0% and 12.7% for the years ended December 31, 2013, 2012 and 2011, respectively.</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year ended December 31, 2013, the International segment sales and marketing expense increased $0.4 million or 10.6%, to $4.2 million as compared to $3.8 million in the prior year period due to increased headcount and higher variable compensation. Offsetting the increases was a decrease in professional services. As a percentage of total International revenues, sales and marketing expenses in the International segment were 6.0%, 4.9% and 5.3% for the years ended December 31, 2013, 2012 and 2011,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Total sales and marketing expenses decreased $1.3 million, or 3.2%, to $37.4 million in the year ended December 31, 2012, as compared to $38.7 million in the year ended December 31, 2011. In the U.S. segment, sales and marketing expense decreased $0.4 million, or 1.2%, to $33.6 million in the same period, as compared to $34.0 million in the prior year. Overall, there were lower expenses on sales and marketing activities as a result of $1.6 million of reductions in discretionary spending due to the prolonged BVL outage. Additionally, salary and other personnel costs in 2012 were $1.3 million lower primarily due to the workforce reductions during the second quarter of 2011 and March 2012. These decreases were offset by a $1.1 million reversal of stock-based compensation expense in the first quarter of 2011 and $1.4 million of increased sales incentive compensation related to the return of DEFINITY product to the market in June 2012.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For the year ended December 31, 2012, the International segment sales and marketing expense decreased $0.9 million or 18.3%, to $3.8 million as compared to $4.6 million in the prior year period. The decrease in sales and marketing expenses in the International segment was primarily due to lower headcount and expenses on sales and marketing activities as a result of reductions in discretionary spending due to the prolonged BVL outage.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8"/>
              </w:rPr>
              <w:t>2013 compared</w:t>
            </w: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to 2012</w:t>
            </w:r>
          </w:p>
        </w:tc>
        <w:tc>
          <w:tcPr>
            <w:tcW w:w="14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r>
      <w:tr>
        <w:trPr>
          <w:trHeight w:val="129"/>
        </w:trPr>
        <w:tc>
          <w:tcPr>
            <w:tcW w:w="4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Change</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1"/>
                <w:szCs w:val="11"/>
                <w:color w:val="auto"/>
              </w:rPr>
            </w:pPr>
          </w:p>
        </w:tc>
        <w:tc>
          <w:tcPr>
            <w:tcW w:w="6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Change</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r>
      <w:tr>
        <w:trPr>
          <w:trHeight w:val="161"/>
        </w:trPr>
        <w:tc>
          <w:tcPr>
            <w:tcW w:w="4280" w:type="dxa"/>
            <w:vAlign w:val="bottom"/>
          </w:tcPr>
          <w:p>
            <w:pPr>
              <w:spacing w:after="0"/>
              <w:rPr>
                <w:sz w:val="14"/>
                <w:szCs w:val="14"/>
                <w:color w:val="auto"/>
              </w:rPr>
            </w:pPr>
          </w:p>
        </w:tc>
        <w:tc>
          <w:tcPr>
            <w:tcW w:w="20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10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$30,742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$30,192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$30,220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550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(28)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2,328</w:t>
            </w:r>
          </w:p>
        </w:tc>
        <w:tc>
          <w:tcPr>
            <w:tcW w:w="600" w:type="dxa"/>
            <w:vAlign w:val="bottom"/>
          </w:tcPr>
          <w:p>
            <w:pPr>
              <w:jc w:val="right"/>
              <w:spacing w:after="0"/>
              <w:rPr>
                <w:sz w:val="20"/>
                <w:szCs w:val="20"/>
                <w:color w:val="auto"/>
              </w:rPr>
            </w:pPr>
            <w:r>
              <w:rPr>
                <w:rFonts w:ascii="Arial" w:cs="Arial" w:eastAsia="Arial" w:hAnsi="Arial"/>
                <w:sz w:val="18"/>
                <w:szCs w:val="18"/>
                <w:color w:val="auto"/>
              </w:rPr>
              <w:t>2,642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1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33,036</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32,862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516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(342)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general and administrative expenses increased approximately $0.5 million, or 1.6%, to $33.0 million in the year ended December 31, 2013,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compared to $32.5 million in the year ended December 31, 2012. In the U.S. segment, general and administrative expenses increased $0.5 million, or 1.8%,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$30.7 million, as compared to $30.2 million in the prior year period. The increase was primarily due to additional variable compensation in the current period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expense from a reduction in workforce in the first quarter of 2013. Offsetting these increases were cost savings over the prior period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renegotiation of certain information technology related contracts as support provided by certain vendors was reduced and reduced legal expense.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performance-based awards was lower in the current period due to adjustments made based on the probability of achievement.</w:t>
      </w:r>
    </w:p>
    <w:p>
      <w:pPr>
        <w:spacing w:after="0" w:line="17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year ended December 31, 2013, general and administrative expenses in the International segment was consistent with the prior year period at $2.3 million as lower salaries and employee related expenses, which were driven by lower headcount, were offset by increased bad debt expense and increased recruiting fees.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Total general and administrative expenses decreased approximately $0.3 million, or 1.0%, to $32.5 million in the year ended December 31, 2012, as compared to $32.9 million in the year ended December 31, 2011. In the U.S. segment, general and administrative expenses remained relatively flat from 2011 to 2012. However, there was an overall reduction in costs associated with external support primarily related to information technology. Offsetting this decrease was a $0.9 million increase in stock compensation driven by the reversal of stock-based compensation expense in 2011 relating to the determination that the achievement of certain performance targets was no longer probable and current year modifications to stock option agreements. In addition, there was an increase in professional services and depreciation expense increased approximately $0.3 million over the prior year as a result of certain capital spending projects occurring in late 2011 and early 2012 related primarily to information technology improvements.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year ended December 31, 2012, general and administrative expenses in the International segment decreased $0.3 million or 11.9%, to $2.3 million as compared to $2.6 million in the prior year period. This decrease was primarily due to a recovery of previously reserved accounts receivable during 2012 and reduced headcount in 2012 as compared to 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5"/>
              </w:rPr>
              <w:t>2013 compared to</w:t>
            </w: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r>
      <w:tr>
        <w:trPr>
          <w:trHeight w:val="129"/>
        </w:trPr>
        <w:tc>
          <w:tcPr>
            <w:tcW w:w="4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Change</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1"/>
              </w:rPr>
              <w:t>Change</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r>
      <w:tr>
        <w:trPr>
          <w:trHeight w:val="161"/>
        </w:trPr>
        <w:tc>
          <w:tcPr>
            <w:tcW w:w="4160" w:type="dxa"/>
            <w:vAlign w:val="bottom"/>
          </w:tcPr>
          <w:p>
            <w:pPr>
              <w:spacing w:after="0"/>
              <w:rPr>
                <w:sz w:val="14"/>
                <w:szCs w:val="14"/>
                <w:color w:val="auto"/>
              </w:rPr>
            </w:pPr>
          </w:p>
        </w:tc>
        <w:tc>
          <w:tcPr>
            <w:tcW w:w="19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$40,387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(10,319)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International</w:t>
            </w:r>
          </w:p>
        </w:tc>
        <w:tc>
          <w:tcPr>
            <w:tcW w:w="1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118.4</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(73.7)</w:t>
            </w:r>
          </w:p>
        </w:tc>
      </w:tr>
      <w:tr>
        <w:trPr>
          <w:trHeight w:val="27"/>
        </w:trPr>
        <w:tc>
          <w:tcPr>
            <w:tcW w:w="4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Research and Development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40,604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40,945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(10,145)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(341)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0"/>
        </w:trPr>
        <w:tc>
          <w:tcPr>
            <w:tcW w:w="4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Research and development expenses relate primarily to the development of new products to add to our portfolio and costs related to its medical affairs, medical information and regulatory functions. We do not allocate research and development expenses incurred in the United States to our International segment.</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research and development expense decreased $10.1 million, or 25.0%, to $30.5 million for the year ended December 31, 2013,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$40.6 million in the year ended December 31, 2012. In the U.S. segment, research and development expense decreased approximately $10.3 million, or 25.5%,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$30.1 million, as compared to $40.4 million in the prior year period. The decrease in the U.S. segment research and development expenses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over the prior year period is driven by a decline in external expense associated with the Phase 3 clinical trial for flurpiridaz F 18, as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patient enrollment during the third quarter of 2013. There were decreases in employee related costs as a result of the reduction in workforce from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strategic shift to use fewer internal resources and lower external expense as we expect to seek one or more strategic partners to assist in the future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our agents in development. Offsetting these decreases, in part, was an increase in severance expense and variable compensation.</w:t>
      </w:r>
    </w:p>
    <w:p>
      <w:pPr>
        <w:spacing w:after="0" w:line="17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For the year ended December 31, 2013, the International segment research and development expenses increased approximately $0.2 million, or 118.4%, to $0.3 million, as compared to $0.1 million in the prior year period. The increase in research and development expenses for the International segment was primarily due to depreciation expense since we shifted the primary utilization of certain assets to support research and development functions.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research and development expense decreased $0.3 million, or 0.8%, to $40.6 million for the year ended December 31, 2012,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$40.9 million in the year ended December 31, 2011. In the U.S. segment, research and development expense increased approximately $0.1 million, or 0.2%, to</w:t>
      </w:r>
    </w:p>
    <w:p>
      <w:pPr>
        <w:spacing w:after="0" w:line="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$40.4 million, as compared to $40.3 million in the prior year period. Research and development expense in the U.S. segment remained relatively flat from 2011 to 2012. We continued to actively enroll patients and activate sites for our flurpiridaz F 18 Phase 3 program. In the first half of 2011, we were primarily in the planning and preparation stage for our flurpiridaz F 18 Phase 3 program. We enrolled our first patient in this Phase 3 program during the second quarter of 2011. The resulting increase in clinical activity in 2012 was related to our clinical research organization, investigator expenses, drug products, lab supplies, and consultants by $5.3 million. These increases were offset by a reduction in workforce in the second quarter of 2011 by $4.4 million and the decrease in depreciation expense of $0.9 million.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 ended December 31, 2012, the International segment research and development expenses decreased approximately $0.4 million, or 73.7%, to $0.1 million, as compared to $0.6 million in the prior year period. The decrease in research and development expenses for the International segment was primarily due to a reduction in workforce in the second quarter of 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Land</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third quarter of 2013, we committed to a plan to sell certain of our excess land, which had a carrying value of $7.5 million. This event qualified for held for sale accounting and the excess land was written down to its fair value, less costs to sell. The fair value was estimated utilizing Level 3 inputs and using a market approach, based on available data for transactions in the region as well as the asking price of comparable properties in our principal market. This resulted in a loss of $6.4 million, which is included within operating income (loss) as impairment of land in the accompanying consolidated statement of comprehensive loss. During the fourth quarter of 2013, we sold the excess land for net proceeds of $1.1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Proceeds from Manufacturer</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year ended December 31, 2013, as compared to the same period in 2012, proceeds from manufacturer decreased by $25.7 million as a result of the receipt of the $30.0 million from BVL in 2012 to compensate us for business losses and an additional $5.0 million under the Transition Services Agreement compared to proceeds of $8.9 million from BVL under a 2013 Settlement and Release Agreement.</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the fourth quarter of 2013, BVL and LMI entered into a Settlement and Release Agreement. Pursuant to the Settlement and Release Agreement, BVL and LMI agreed to a broad mutual waiver and release for all matters that occurred prior to the date of the Settlement Agreement, a covenant not to sue and settlement payments to us in the aggregate amount of $8.9 million. In addition, the Settlement and Release Agreement provides that the Manufacturing and Service Contract terminates as of November 15, 2013, subject to BVL’s obligations to use commercially reasonable efforts to finalize specific batches of DEFINITY, Cardiolite product and saline manufactured and not yet released by the BVL quality function for commercial distribution. BVL has now released for commercial distribution all of our remaining manufactured product.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2013 compared</w:t>
            </w:r>
          </w:p>
        </w:tc>
        <w:tc>
          <w:tcPr>
            <w:tcW w:w="14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to 2012</w:t>
            </w:r>
          </w:p>
        </w:tc>
        <w:tc>
          <w:tcPr>
            <w:tcW w:w="14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(42,915)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(42,014)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(37,658)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$(4,356)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(58.7)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2,738.6</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40"/>
              <w:spacing w:after="0"/>
              <w:rPr>
                <w:sz w:val="20"/>
                <w:szCs w:val="20"/>
                <w:color w:val="auto"/>
              </w:rPr>
            </w:pPr>
            <w:r>
              <w:rPr>
                <w:rFonts w:ascii="Arial" w:cs="Arial" w:eastAsia="Arial" w:hAnsi="Arial"/>
                <w:sz w:val="18"/>
                <w:szCs w:val="18"/>
                <w:color w:val="auto"/>
              </w:rPr>
              <w:t>Total Other Expense, net</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(0.4)%</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(41,650)</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(41,806)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(35,896)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(5,910)</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2013 compared to the same period in 2012, interest expense increased by 2.1% to $42.9 million from $42.0 million, as a result of increased amortization related to the capitalization of additional deferred financing costs in connection with our new line of credit and the write off of the existing unamortized deferred financing costs related to our old facility.</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 ended December 31, 2012 compared to the same period in 2011, interest expense increased by 11.6% to $42.0 million from $37.7 million, as a result of the issuance of $150.0 million of New Notes in the first quarter of 2011. See Note 10 to our consolidated financial statements, which are included elsewhere in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 ended December 31, 2013 compared to the same period in 2012, interest income decreased by 58.7% to $104,000 from $252,000, primarily as a result of the change in balances in interest bearing accounts.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 ended December 31, 2012 compared to the same period in 2011, interest income decreased by 24.3% to $252,000 from $333,000, primarily as a result of a decrease in cash in interest bearing accounts.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the year ended December 31, 2013 compared to the same period in 2012, other income (expense), net increased by $1.2 million from $(44,000) primarily due to a $0.8 million increase as a result of the closing of the statute of limitations relating to a federal research credit matter in 2012, which decreased the tax indemnification assets in the prior year. In addition, we received $0.4 million in consideration from the extinguishment of our membership interests in a mutual insurance company.</w:t>
      </w:r>
    </w:p>
    <w:p>
      <w:pPr>
        <w:spacing w:after="0" w:line="13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For the year ended December 31, 2012, compared to the same period in 2011, other income (expense), net decreased by 103.1% to $(44,000) from $1.4 million primarily due to a decrease in the tax indemnification asset and changes in foreign currency exchange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2013 compared</w:t>
            </w:r>
          </w:p>
        </w:tc>
        <w:tc>
          <w:tcPr>
            <w:tcW w:w="1720" w:type="dxa"/>
            <w:vAlign w:val="bottom"/>
            <w:gridSpan w:val="3"/>
          </w:tcPr>
          <w:p>
            <w:pPr>
              <w:ind w:left="30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to 2012</w:t>
            </w: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w w:val="86"/>
              </w:rPr>
              <w:t>to 2011</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Change</w:t>
            </w:r>
          </w:p>
        </w:tc>
        <w:tc>
          <w:tcPr>
            <w:tcW w:w="600" w:type="dxa"/>
            <w:vAlign w:val="bottom"/>
            <w:tcBorders>
              <w:top w:val="single" w:sz="8" w:color="auto"/>
            </w:tcBorders>
          </w:tcPr>
          <w:p>
            <w:pPr>
              <w:jc w:val="center"/>
              <w:ind w:left="46"/>
              <w:spacing w:after="0" w:line="129"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1"/>
                <w:szCs w:val="11"/>
                <w:color w:val="auto"/>
              </w:rPr>
            </w:pPr>
          </w:p>
        </w:tc>
        <w:tc>
          <w:tcPr>
            <w:tcW w:w="9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Change</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4120" w:type="dxa"/>
            <w:vAlign w:val="bottom"/>
          </w:tcPr>
          <w:p>
            <w:pPr>
              <w:spacing w:after="0"/>
              <w:rPr>
                <w:sz w:val="14"/>
                <w:szCs w:val="14"/>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900" w:type="dxa"/>
            <w:vAlign w:val="bottom"/>
          </w:tcPr>
          <w:p>
            <w:pPr>
              <w:jc w:val="right"/>
              <w:ind w:right="266"/>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10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w:t>
            </w:r>
          </w:p>
        </w:tc>
        <w:tc>
          <w:tcPr>
            <w:tcW w:w="900" w:type="dxa"/>
            <w:vAlign w:val="bottom"/>
            <w:shd w:val="clear" w:color="auto" w:fill="CCEEFF"/>
          </w:tcPr>
          <w:p>
            <w:pPr>
              <w:jc w:val="right"/>
              <w:ind w:right="146"/>
              <w:spacing w:after="0"/>
              <w:rPr>
                <w:sz w:val="20"/>
                <w:szCs w:val="20"/>
                <w:color w:val="auto"/>
              </w:rPr>
            </w:pPr>
            <w:r>
              <w:rPr>
                <w:rFonts w:ascii="Arial" w:cs="Arial" w:eastAsia="Arial" w:hAnsi="Arial"/>
                <w:sz w:val="18"/>
                <w:szCs w:val="18"/>
                <w:color w:val="auto"/>
              </w:rPr>
              <w:t>$(555)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$84,082</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$1,569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282.7%</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8"/>
                <w:szCs w:val="18"/>
                <w:color w:val="auto"/>
                <w:w w:val="85"/>
              </w:rPr>
              <w:t>$ (84,637)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(100.7)%</w:t>
            </w:r>
          </w:p>
        </w:tc>
      </w:tr>
    </w:tbl>
    <w:p>
      <w:pPr>
        <w:spacing w:after="0" w:line="140"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For the year ended December 31, 2013 compared to the same period in 2012, provision (benefit) for income taxes increased by 282.7% to $1.0 million from $(0.6) million due primarily to lower credits associated with settlements and lapse of statute of limitations of uncertain tax positions in the current year.</w:t>
      </w:r>
    </w:p>
    <w:p>
      <w:pPr>
        <w:spacing w:after="0" w:line="4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year ended December 31, 2012 compared to the same period in 2011, provision (benefit) for income taxes decreased by 100.7% to $(0.6) million from $84.1 million due primarily to the valuation allowance that was recorded in 2011 and the release of prior year’s uncertain tax positions due to the lapse of statutes in 2012.</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generated domestic pre-tax losses for the past three years. This loss history demonstrates negative evidence concerning our ability to utilize our gross deferred tax assets. In order to overcome the presumption of recording a valuation allowance against our net deferred tax assets, we must have sufficient positive evidence that we can generate sufficient taxable income to utilize these deferred tax assets within the carryover or forecast period. Although we have no history of expiring net operating losses or other tax attributes, based on our pre-tax loss of $60.5 million in 2013, and the cumulative domestic loss incurred over the three-year period ended December 31, 2013, management has determined that all of the net U.S. deferred tax assets are not more-likely-than-not recoverable. As a result of this analysis, we have recorded an additional valuation allowance in the amount of $25.6 million in 2013.</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valuation allowance was initially recorded in 2011 as a result of generating domestic pre-tax losses for the prior two years. The loss history demonstrated negative evidence concerning our ability to utilize our gross deferred tax assets. In order to overcome the presumption of recording a valuation allowance against our net deferred tax assets, we must have sufficient positive evidence that we can generate sufficient taxable income to utilize these deferred tax assets within the carryover or forecast period. Although we had no history of expiring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operating losses or other tax attributes, with our pre-tax loss of $53.2 million in 2011 and the cumulative loss incurred over the three-year period ended December 31, 2011, management determined that all of the net U.S. deferred tax assets were not more likely than not recoverable. As a result of this analysis, we recorded a valuation allowance in the amount of $103.0 million in 2011</w:t>
      </w:r>
      <w:r>
        <w:rPr>
          <w:rFonts w:ascii="Arial" w:cs="Arial" w:eastAsia="Arial" w:hAnsi="Arial"/>
          <w:sz w:val="18"/>
          <w:szCs w:val="18"/>
          <w:i w:val="1"/>
          <w:iCs w:val="1"/>
          <w:color w:val="auto"/>
        </w:rPr>
        <w:t>.</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effective tax rates for the years ended December 31, 2013, 2012, and 2011 were, (1.7) %, 1.3%, and (158.1) %, respectively. Our tax rate is affected by recurring items, such as tax rates in foreign jurisdictions, which we expect to be fairly consistent in the near term. It is also affected by discrete events that may not occur in any given year, but are not consistent from year-to-year. The following items had the most significant impact on the difference between our statutory U.S. federal income tax rate of 35% and our effective tax rate during the years ended: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December 31, 2013</w:t>
      </w:r>
    </w:p>
    <w:p>
      <w:pPr>
        <w:spacing w:after="0" w:line="77" w:lineRule="exact"/>
        <w:rPr>
          <w:sz w:val="20"/>
          <w:szCs w:val="20"/>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$25.6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$1.5 million reduction relating primarily to prior year uncertain tax positions for a closed tax year.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$1.8 million reduction primarily relating to a state income tax benefit related to state NOL’s.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December 31, 2012</w:t>
      </w:r>
    </w:p>
    <w:p>
      <w:pPr>
        <w:spacing w:after="0" w:line="77"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$20.2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$2.3 million reduction relating to prior year uncertain tax positions for a closed tax year.</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$1.8 million reduction relating to a state income tax benefit consisting of $1.1 million related to state NOL’s, $0.3 million related to research credits, and $0.4 million to other changes to state deferred taxes.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December 31, 2011</w:t>
      </w:r>
    </w:p>
    <w:p>
      <w:pPr>
        <w:spacing w:after="0" w:line="77" w:lineRule="exact"/>
        <w:rPr>
          <w:sz w:val="20"/>
          <w:szCs w:val="20"/>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$103.0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$1.1 million increase in our uncertain tax positions relating to state tax nexus and transfer pricing.</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$2.6 million increase relating to the establishment of a deferred tax liability for foreign subsidiary earnings that are no longer considered permanently reinvested.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$1.8 million reduction relating to a state income tax benefit associated with changes to deferred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8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Borders>
              <w:top w:val="single" w:sz="8" w:color="auto"/>
            </w:tcBorders>
          </w:tcPr>
          <w:p>
            <w:pPr>
              <w:jc w:val="center"/>
              <w:ind w:right="564"/>
              <w:spacing w:after="0" w:line="129"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1"/>
                <w:szCs w:val="11"/>
                <w:color w:val="auto"/>
              </w:rPr>
            </w:pPr>
          </w:p>
        </w:tc>
      </w:tr>
      <w:tr>
        <w:trPr>
          <w:trHeight w:val="149"/>
        </w:trPr>
        <w:tc>
          <w:tcPr>
            <w:tcW w:w="3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jc w:val="center"/>
              <w:ind w:right="564"/>
              <w:spacing w:after="0" w:line="149" w:lineRule="exact"/>
              <w:rPr>
                <w:sz w:val="20"/>
                <w:szCs w:val="20"/>
                <w:color w:val="auto"/>
              </w:rPr>
            </w:pPr>
            <w:r>
              <w:rPr>
                <w:rFonts w:ascii="Arial" w:cs="Arial" w:eastAsia="Arial" w:hAnsi="Arial"/>
                <w:sz w:val="14"/>
                <w:szCs w:val="14"/>
                <w:b w:val="1"/>
                <w:bCs w:val="1"/>
                <w:color w:val="auto"/>
                <w:w w:val="86"/>
              </w:rPr>
              <w:t>Compared</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Compared</w:t>
            </w:r>
          </w:p>
        </w:tc>
      </w:tr>
      <w:tr>
        <w:trPr>
          <w:trHeight w:val="161"/>
        </w:trPr>
        <w:tc>
          <w:tcPr>
            <w:tcW w:w="3800" w:type="dxa"/>
            <w:vAlign w:val="bottom"/>
          </w:tcPr>
          <w:p>
            <w:pPr>
              <w:spacing w:after="0"/>
              <w:rPr>
                <w:sz w:val="14"/>
                <w:szCs w:val="14"/>
                <w:color w:val="auto"/>
              </w:rPr>
            </w:pPr>
          </w:p>
        </w:tc>
        <w:tc>
          <w:tcPr>
            <w:tcW w:w="314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920" w:type="dxa"/>
            <w:vAlign w:val="bottom"/>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92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1280" w:type="dxa"/>
            <w:vAlign w:val="bottom"/>
          </w:tcPr>
          <w:p>
            <w:pPr>
              <w:jc w:val="center"/>
              <w:ind w:right="544"/>
              <w:spacing w:after="0"/>
              <w:rPr>
                <w:sz w:val="20"/>
                <w:szCs w:val="20"/>
                <w:color w:val="auto"/>
              </w:rPr>
            </w:pPr>
            <w:r>
              <w:rPr>
                <w:rFonts w:ascii="Arial" w:cs="Arial" w:eastAsia="Arial" w:hAnsi="Arial"/>
                <w:sz w:val="14"/>
                <w:szCs w:val="14"/>
                <w:b w:val="1"/>
                <w:bCs w:val="1"/>
                <w:color w:val="auto"/>
                <w:w w:val="86"/>
              </w:rPr>
              <w:t>to 2012</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to 2011</w:t>
            </w:r>
          </w:p>
        </w:tc>
      </w:tr>
      <w:tr>
        <w:trPr>
          <w:trHeight w:val="142"/>
        </w:trPr>
        <w:tc>
          <w:tcPr>
            <w:tcW w:w="3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140" w:type="dxa"/>
            <w:vAlign w:val="bottom"/>
            <w:gridSpan w:val="2"/>
          </w:tcPr>
          <w:p>
            <w:pPr>
              <w:jc w:val="right"/>
              <w:ind w:right="152"/>
              <w:spacing w:after="0"/>
              <w:rPr>
                <w:sz w:val="20"/>
                <w:szCs w:val="20"/>
                <w:color w:val="auto"/>
              </w:rPr>
            </w:pPr>
            <w:r>
              <w:rPr>
                <w:rFonts w:ascii="Arial" w:cs="Arial" w:eastAsia="Arial" w:hAnsi="Arial"/>
                <w:sz w:val="18"/>
                <w:szCs w:val="18"/>
                <w:color w:val="auto"/>
              </w:rPr>
              <w:t>$ (15,572)</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  (372)</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$23,209</w:t>
            </w:r>
          </w:p>
        </w:tc>
        <w:tc>
          <w:tcPr>
            <w:tcW w:w="1280" w:type="dxa"/>
            <w:vAlign w:val="bottom"/>
          </w:tcPr>
          <w:p>
            <w:pPr>
              <w:jc w:val="right"/>
              <w:ind w:right="344"/>
              <w:spacing w:after="0"/>
              <w:rPr>
                <w:sz w:val="20"/>
                <w:szCs w:val="20"/>
                <w:color w:val="auto"/>
              </w:rPr>
            </w:pPr>
            <w:r>
              <w:rPr>
                <w:rFonts w:ascii="Arial" w:cs="Arial" w:eastAsia="Arial" w:hAnsi="Arial"/>
                <w:sz w:val="18"/>
                <w:szCs w:val="18"/>
                <w:color w:val="auto"/>
                <w:w w:val="95"/>
              </w:rPr>
              <w:t>(4,622.1)%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31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(3,483)</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(8,145)</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(7,694)</w:t>
            </w:r>
          </w:p>
        </w:tc>
        <w:tc>
          <w:tcPr>
            <w:tcW w:w="128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(57.2)%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r>
      <w:tr>
        <w:trPr>
          <w:trHeight w:val="222"/>
        </w:trPr>
        <w:tc>
          <w:tcPr>
            <w:tcW w:w="38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140" w:type="dxa"/>
            <w:vAlign w:val="bottom"/>
            <w:gridSpan w:val="2"/>
          </w:tcPr>
          <w:p>
            <w:pPr>
              <w:jc w:val="right"/>
              <w:ind w:right="212"/>
              <w:spacing w:after="0"/>
              <w:rPr>
                <w:sz w:val="20"/>
                <w:szCs w:val="20"/>
                <w:color w:val="auto"/>
              </w:rPr>
            </w:pPr>
            <w:r>
              <w:rPr>
                <w:rFonts w:ascii="Arial" w:cs="Arial" w:eastAsia="Arial" w:hAnsi="Arial"/>
                <w:sz w:val="18"/>
                <w:szCs w:val="18"/>
                <w:color w:val="auto"/>
              </w:rPr>
              <w:t>5,612</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(5,114)</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(2,210)</w:t>
            </w:r>
          </w:p>
        </w:tc>
        <w:tc>
          <w:tcPr>
            <w:tcW w:w="1280" w:type="dxa"/>
            <w:vAlign w:val="bottom"/>
          </w:tcPr>
          <w:p>
            <w:pPr>
              <w:jc w:val="right"/>
              <w:ind w:right="404"/>
              <w:spacing w:after="0"/>
              <w:rPr>
                <w:sz w:val="20"/>
                <w:szCs w:val="20"/>
                <w:color w:val="auto"/>
              </w:rPr>
            </w:pPr>
            <w:r>
              <w:rPr>
                <w:rFonts w:ascii="Arial" w:cs="Arial" w:eastAsia="Arial" w:hAnsi="Arial"/>
                <w:sz w:val="18"/>
                <w:szCs w:val="18"/>
                <w:color w:val="auto"/>
              </w:rPr>
              <w:t>209.7%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r>
      <w:tr>
        <w:trPr>
          <w:trHeight w:val="356"/>
        </w:trPr>
        <w:tc>
          <w:tcPr>
            <w:tcW w:w="3800" w:type="dxa"/>
            <w:vAlign w:val="bottom"/>
          </w:tcPr>
          <w:p>
            <w:pPr>
              <w:spacing w:after="0"/>
              <w:rPr>
                <w:sz w:val="24"/>
                <w:szCs w:val="24"/>
                <w:color w:val="auto"/>
              </w:rPr>
            </w:pPr>
          </w:p>
        </w:tc>
        <w:tc>
          <w:tcPr>
            <w:tcW w:w="2220" w:type="dxa"/>
            <w:vAlign w:val="bottom"/>
          </w:tcPr>
          <w:p>
            <w:pPr>
              <w:jc w:val="right"/>
              <w:ind w:right="136"/>
              <w:spacing w:after="0"/>
              <w:rPr>
                <w:sz w:val="20"/>
                <w:szCs w:val="20"/>
                <w:color w:val="auto"/>
              </w:rPr>
            </w:pPr>
            <w:r>
              <w:rPr>
                <w:rFonts w:ascii="Arial" w:cs="Arial" w:eastAsia="Arial" w:hAnsi="Arial"/>
                <w:sz w:val="18"/>
                <w:szCs w:val="18"/>
                <w:color w:val="auto"/>
              </w:rPr>
              <w:t>70</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provided by operating activities is primarily driven by our earnings and changes in working capital. The decrease in cash provided by operating activities for the year ended December 31, 2013 as compared to 2012 was primarily driven by the receipt of $35.0 million from the BVL settlement in 2012 as compared to the receipt of $8.9 million from the BVL settlement in 2013. Offsetting this was an increase in gross profit and fewer expenditures related to research and development in 2013.</w:t>
      </w:r>
    </w:p>
    <w:p>
      <w:pPr>
        <w:spacing w:after="0" w:line="13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The decrease in cash provided by operating activities for the year ended December 31, 2012 as compared to 2011 was primarily driven by the impact of decreased unit sales due to the BVL production challenges. These decreases were offset by: (1) the receipt of the $35.0 million BVL settlement in 2012; (2) an amended purchase agreement for one of our products of which $1.7 million of required purchases were made during the year ended December 31, 2012, versus $24.8 million for the year ended December 31, 2011; and (3) the timing of payments made to vendors.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primary uses of cash in investing activities are for the purchase of property and equipment. Net cash used in investing activities in 2013, 2012 and 2011 reflected the purchase of property and equipment for $5.0 million, $7.9 million and $7.7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77"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Net cash provided by financing activities during 2013 was in the form of an $8.0 million draw against our outstanding line of credit. Net cash used in financing activities during 2012 was primarily associated with a $3.5 million dividend. On March 21, 2011, we issued $150.0 million of our Notes and paid associated financing costs. Net cash used in 2012 and 2011 included the results of these activities as well as the draw down and repayment in 2011 of $10.0 million on our line of credit.</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primary source of cash flows from financing activities is draws against our outstanding line of credit. Going forward, we expect our primary source of cash flows from financing activities to be similar draws against our line of credit, issuances of securities or other financing arrangements into which we may enter. Our primary historical uses of cash in financing activities are principal payments on our term loan and line of credit as well as dividends to Holdings, our parent. See “—External Sources of Liquidity.”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May 10, 2010, we issued $250.0 million in aggregate principal amount of 9.750% Senior Notes due in 2017, or the Restricted Notes, at face value, net of issuance costs of $10.1 million, under the indenture, dated as of May 10, 2010. On February 2, 2011, we consummated an exchange offer where we exchanged $250.0 million aggregate principal amount of our Restricted Notes for an equal principal amount of 9.750% Senior Notes due 2017, or the Exchange Notes, that were registered under the Securities Act, with substantially identical terms in all respects.</w:t>
      </w:r>
    </w:p>
    <w:p>
      <w:pPr>
        <w:spacing w:after="0" w:line="99"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On March 21, 2011, we issued an additional $150.0 million in aggregate principal amount of New Restricted Notes, net of issuance costs of $4.9 million, under the indenture, dated as of May 10, 2010, as supplemented by the First Supplemental Indenture, dated as of March 14, 2011, and the Second Supplemental Indenture, dated as of March 21, 2011, or together, the Indenture. The net proceeds were used to repurchase all of the remaining Series A Preferred Stock at the accreted value of approximately $44.0 million and to issue an approximate $106.0 million dividend to our common security holders. On May 10, 2011, we consummated an exchange offer where we exchanged $150.0 million aggregate principal amount of New Restricted Notes for an equal principal amount of 9.750% Senior Notes due 2017, or the New Exchange Notes, registered under the Securities Act, with substantially identical terms in all respects.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Exchange Notes and the New Exchange Notes, or together, the Notes, mature on May 15, 2017. Interest on the Notes accrues at a rate of 9.750% per year and is payable semiannually in arrears on May 15 and November 15 commencing on November 15, 2010 for the Notes issued on May 10, 2010 and May 15, 2011 for the Notes issued on March 21, 2011. Our annual interest expense increased from $24.4 million to $39.0 million as a result of the March 21, 2011 issuance of Notes.</w:t>
      </w:r>
    </w:p>
    <w:p>
      <w:pPr>
        <w:spacing w:after="0" w:line="13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connection with the Restricted Notes issuance, we entered into a revolving facility, or the Old Facility, for total borrowings up to $42.5 million. During 2012, we entered into an unfunded Standby Letter of Credit for up to $8.8 million to support a surety bond related to a statutory decommissioning obligation we have in connection with our Billerica facility. The letter of credit decreased the borrowing availability under the Old Facility by $8.8 million.</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July 3, 2013, we entered into an amended and restated asset-based revolving credit facility, or our revolving credit facility, in an aggregate principal amount not to exceed $42.5 million.</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revolving loans under our revolving credit facility bear interest subject to a pricing grid based on average historical excess availability under our revolving credit facility, with pricing based from time to time at our election at (i) LIBOR plus a spread ranging from 2.00% to 2.50% or (ii) the Reference Rate (as defined in our revolving credit facility) plus a spread ranging from 1.00% to 1.50%. Our revolving credit facility also includes an unused line fee of 0.375% or 0.5%, depending on the average unused revolving credit commitments. Our revolving credit facility expires on the earlier of (i) July 3, 2018 or (ii) if the outstanding Notes are not refinanced in full, the date that is 91 days before the maturity thereof, at which time all outstanding borrowings are due and payable.</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August 6, 2013, we transferred the $8.8 million unfunded Standby Letter of Credit, which expired on February 3, 2014, to our new lender. The unfunded Standby Letter of Credit requires annual fees, payable quarterly, between 2.00% and 2.50% of the face amount, and is automatically renewed for a one year period at each anniversary date, unless we elect not to renew in writing within 60 days prior to such expiration.</w:t>
      </w:r>
    </w:p>
    <w:p>
      <w:pPr>
        <w:spacing w:after="0" w:line="9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Our revolving credit facility is secured by a pledge of substantially all of our assets together with the assets of Lantheus Intermediate and Lantheus MI Real Estate, LLC, or Lantheus Real Estate, including each such entity’s accounts receivable, inventory and machinery and equipment, and is guaranteed by each of Lantheus Intermediate and Lantheus Real Estate. Borrowing capacity is determined by reference to a borrowing base, or the Borrowing Base, which is based on</w:t>
      </w:r>
    </w:p>
    <w:p>
      <w:pPr>
        <w:spacing w:after="0" w:line="1" w:lineRule="exact"/>
        <w:rPr>
          <w:sz w:val="20"/>
          <w:szCs w:val="20"/>
          <w:color w:val="auto"/>
        </w:rPr>
      </w:pPr>
    </w:p>
    <w:p>
      <w:pPr>
        <w:ind w:right="120" w:firstLine="8"/>
        <w:spacing w:after="0" w:line="281" w:lineRule="auto"/>
        <w:tabs>
          <w:tab w:leader="none" w:pos="2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percentage of certain eligible accounts receivable, inventory and machinery and equipment minus (ii) any reserves. As of December 31, 2013, the aggregate borrowing base was approximately $42.5 million, which was reduced by (i) an outstanding $8.8 million unfunded Standby Letter of Credit and (ii) an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$8.0 million outstanding loan balance, resulting in a net borrowing base availability of approximately $25.7 million.</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revolving credit facility contains affirmative and negative covenants, as well as restrictions on the ability of Lantheus Intermediate, us and our subsidiaries to: (i) incur additional indebtedness or issue preferred stock; (ii) repay subordinated indebtedness prior to its stated maturity; (iii) pay dividends on, repurchase or make distributions in respect of capital stock or make other restricted payments; (iv) make certain investments; (v) sell certain assets; (vi) create liens; (vii) consolidate, merge, sell or otherwise dispose of all or substantially all of our assets; and (viii) enter into certain transactions with our affiliates. Our revolving credit facility also contains customary default provisions as well as cash dominion provisions which allow the lender to sweep our accounts during the period (x) certain specified events of default are continuing under our revolving credit facility or (y) excess availability under our revolving credit facility falls below (i) the greater of $5.0 million or 15% of the then-current borrowing base for a period of more than five consecutive Business Days or (ii) $3.5 million. During a covenant trigger period, we are required to comply with a consolidated fixed charge coverage ratio of not less than 1:00:1:00. The fixed charge coverage ratio is calculated on a consolidated basis for Lantheus Intermediate and its subsidiaries for a trailing four-fiscal quarter period basis, as (i) EBITDA (as defined in the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minus capital expenditures minus certain restricted payments divided by (ii) interest plus taxes paid or payable in cash plus certain restricted payments made in cash plus scheduled principal payments paid or payable in cash.</w:t>
      </w:r>
    </w:p>
    <w:p>
      <w:pPr>
        <w:spacing w:after="0" w:line="118"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On December 27, 2012, we entered into a second amendment to a license and supply agreement with one of our customers, which extended the term from December 31, 2012 to December 31, 2014 and established new pricing and purchase requirements over the extended term. The second amendment also provided for the supply of TechneLite generators containing Moly sourced from LEU targets. The agreement included a $3.0 million upfront payment by our customer to us and during 2013, we received an additional $4.0 million, of which $3.6 million is included in deferred revenue as a current liability at December 31, 2013.</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2012, we received the $3.0 million upfront payment, of which $1.5 million was included in deferred revenue as a current liability and $1.5 million was included in other long-term liabilities at December 31, 2012. We are recognizing the upfront payment as revenue on a straight-line basis over the term of the two year agreement.</w:t>
      </w:r>
    </w:p>
    <w:p>
      <w:pPr>
        <w:spacing w:after="0" w:line="13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from time to time repurchase or otherwise retire our debt and take other steps to reduce our debt or otherwise improve our balance sheet. These actions may include open market repurchases of any notes outstanding, prepayments of our term loans or other retirements or refinancing of outstanding debt, privately negotiated transactions or otherwise. The amount of debt that may be repurchased or otherwise retired, if any, would be decided at the sole discretion of our Board of Directors and will depend on market conditions, trading levels of our debt from time to time, our cash position and other considerations.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77" w:lineRule="exact"/>
        <w:rPr>
          <w:sz w:val="20"/>
          <w:szCs w:val="20"/>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level of product sales of our currently marketed products, particularly DEFINITY, and any additional products that we may market in the future;</w:t>
      </w:r>
    </w:p>
    <w:p>
      <w:pPr>
        <w:spacing w:after="0" w:line="126"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businesses and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extent to which we choose to establish collaboration, co- promotion, distribution or other similar arrangements for our marketed products;</w:t>
      </w:r>
    </w:p>
    <w:p>
      <w:pPr>
        <w:spacing w:after="0" w:line="126"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JHS is not able to continue to manufacture and release product supply on a timely and consistent basis, or we are unable to continue to grow DEFINITY sales, then we will need to implement certain additional expense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reductions, such as a delay or elimination of discretionary spending in all functional areas, as well as other operating and strategic initiatives. See “Risk Factors— Risks Relating to our Business and Industry—We may not be able to generate sufficient cash flow to meet our debt service obligations.”</w:t>
      </w:r>
    </w:p>
    <w:p>
      <w:pPr>
        <w:spacing w:after="0" w:line="7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revolving credit facility and the Indenture. Additional equity or debt financing, or other transactions, may not be available on acceptable terms, if at all. If any of these transactions require an amendment or waiver under the covenants in our revolving credit facility and under the Indenture, which could result in additional expenses associated with obtaining the amendment or waiver, we will seek to obtain such a waiver to remain in compliance with the covenants of our revolving credit facility and the Indenture. However, we cannot be assured that such an amendment or waiver would be granted, or that additional capital will be available on acceptable terms, if at all.</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December 31, 2013, our only current committed external source of funds is our borrowing availability under our revolving credit facility. We generated a net loss of $61.6 million during the year ended December 31, 2013 and had $18.6 million of cash and cash equivalents at December 31, 2013. Availability under our revolving credit facility is calculated by reference to the Borrowing Base. If we are not successful in achieving our forecasted results, our accounts receivable and inventory could be negatively affected, reducing the Borrowing Base and limiting our borrowing availability.</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took actions during March 2013 to substantially reduce our discretionary spending in order to reposition us to focus our resources on our higher growth products. In particular, we implemented a strategic shift in how we intend to fund our important R&amp;D programs. We have reduced our internal R&amp;D resources during 2013 while at the same time we seek to engage one or more strategic partners to assist us in the further development and commercialization of our important agents in development, including flurpiridaz F 18, 18F LMI 1195 and LMI 1174. Based on our current operating plans, we believe that our existing cash and cash equivalents, results of operations and availability under our revolving credit facility will be sufficient to continue to fund our liquidity requirements for at least the next twelve months.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following tables set forth selected unaudited quarterly consolidated statements of operations data for each of the four quarters for the period ended December 31, 2013. The unaudited quarterly statement of operations data have been prepared on the same basis as our audited consolidated financial statements and, in the opinion of our management, reflect all adjustments, consisting of normal recurring adjustments, necessary for a fair presentation of this data. The summary consolidated financial data set forth below and elsewhere in this prospectus are not necessarily indicative of our future performance. The following quarterly financial data should be read in conjunction with our audited consolidated financial statements and the related notes thereto included elsewhere in this prospectus.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March 31,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June 30,</w:t>
            </w: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 Data: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Revenues(1)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71,018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70,061</w:t>
            </w:r>
          </w:p>
        </w:tc>
        <w:tc>
          <w:tcPr>
            <w:tcW w:w="8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70,385</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48,206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46,664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9,797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11,998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5,893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on land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Proceeds from manufacturer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(10,711)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(10,647)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(11,052)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(14,459)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(15,343)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(19,812)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(14,377)</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(15,064)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 of Cash Flows Data:</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3"/>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(used in):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(15,840)</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4,291</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Financing activities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EBITDA(2)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1,731</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Before Run-Rate Savings(2)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Adjusted EBITDA(2)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11,379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14,288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table provides detail of revenues: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left="106"/>
              <w:spacing w:after="0"/>
              <w:rPr>
                <w:sz w:val="20"/>
                <w:szCs w:val="20"/>
                <w:color w:val="auto"/>
              </w:rPr>
            </w:pPr>
            <w:r>
              <w:rPr>
                <w:rFonts w:ascii="Arial" w:cs="Arial" w:eastAsia="Arial" w:hAnsi="Arial"/>
                <w:sz w:val="14"/>
                <w:szCs w:val="14"/>
                <w:b w:val="1"/>
                <w:bCs w:val="1"/>
                <w:color w:val="auto"/>
                <w:w w:val="89"/>
              </w:rPr>
              <w:t>Three Months Ended</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March 31,</w:t>
            </w:r>
          </w:p>
        </w:tc>
        <w:tc>
          <w:tcPr>
            <w:tcW w:w="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June 30,</w:t>
            </w:r>
          </w:p>
        </w:tc>
        <w:tc>
          <w:tcPr>
            <w:tcW w:w="148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85"/>
              </w:rPr>
              <w:t>September 30,</w:t>
            </w:r>
          </w:p>
        </w:tc>
        <w:tc>
          <w:tcPr>
            <w:tcW w:w="144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left="46"/>
              <w:spacing w:after="0" w:line="142" w:lineRule="exact"/>
              <w:rPr>
                <w:sz w:val="20"/>
                <w:szCs w:val="20"/>
                <w:color w:val="auto"/>
              </w:rPr>
            </w:pPr>
            <w:r>
              <w:rPr>
                <w:rFonts w:ascii="Arial" w:cs="Arial" w:eastAsia="Arial" w:hAnsi="Arial"/>
                <w:sz w:val="14"/>
                <w:szCs w:val="14"/>
                <w:b w:val="1"/>
                <w:bCs w:val="1"/>
                <w:color w:val="auto"/>
                <w:w w:val="89"/>
              </w:rPr>
              <w:t>2013</w:t>
            </w: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33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jc w:val="center"/>
              <w:ind w:left="46"/>
              <w:spacing w:after="0" w:line="129" w:lineRule="exact"/>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left="66"/>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DEFINITY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20,161</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22,161</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TechneLite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22,426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25,254</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22,422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22,093</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Xenon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Cardiolite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10,910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5,188</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w:t>
            </w:r>
          </w:p>
        </w:tc>
        <w:tc>
          <w:tcPr>
            <w:tcW w:w="6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14,980</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shd w:val="clear" w:color="auto" w:fill="CCEEFF"/>
          </w:tcPr>
          <w:p>
            <w:pPr>
              <w:spacing w:after="0"/>
              <w:rPr>
                <w:sz w:val="18"/>
                <w:szCs w:val="18"/>
                <w:color w:val="auto"/>
              </w:rPr>
            </w:pPr>
          </w:p>
        </w:tc>
      </w:tr>
      <w:tr>
        <w:trPr>
          <w:trHeight w:val="221"/>
        </w:trPr>
        <w:tc>
          <w:tcPr>
            <w:tcW w:w="3300" w:type="dxa"/>
            <w:vAlign w:val="bottom"/>
          </w:tcPr>
          <w:p>
            <w:pPr>
              <w:ind w:left="860"/>
              <w:spacing w:after="0"/>
              <w:rPr>
                <w:sz w:val="20"/>
                <w:szCs w:val="20"/>
                <w:color w:val="auto"/>
              </w:rPr>
            </w:pPr>
            <w:r>
              <w:rPr>
                <w:rFonts w:ascii="Arial" w:cs="Arial" w:eastAsia="Arial" w:hAnsi="Arial"/>
                <w:sz w:val="18"/>
                <w:szCs w:val="18"/>
                <w:color w:val="auto"/>
              </w:rPr>
              <w:t>Revenues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$ 71,018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$70,601</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70,385</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71,668</w:t>
            </w:r>
          </w:p>
        </w:tc>
        <w:tc>
          <w:tcPr>
            <w:tcW w:w="100" w:type="dxa"/>
            <w:vAlign w:val="bottom"/>
          </w:tcPr>
          <w:p>
            <w:pPr>
              <w:spacing w:after="0"/>
              <w:rPr>
                <w:sz w:val="19"/>
                <w:szCs w:val="19"/>
                <w:color w:val="auto"/>
              </w:rPr>
            </w:pPr>
          </w:p>
        </w:tc>
      </w:tr>
      <w:tr>
        <w:trPr>
          <w:trHeight w:val="365"/>
        </w:trPr>
        <w:tc>
          <w:tcPr>
            <w:tcW w:w="3300" w:type="dxa"/>
            <w:vAlign w:val="bottom"/>
          </w:tcPr>
          <w:p>
            <w:pPr>
              <w:spacing w:after="0"/>
              <w:rPr>
                <w:sz w:val="24"/>
                <w:szCs w:val="24"/>
                <w:color w:val="auto"/>
              </w:rPr>
            </w:pPr>
          </w:p>
        </w:tc>
        <w:tc>
          <w:tcPr>
            <w:tcW w:w="214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309"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Adjusted EBITDA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Before Run-Rate Savings is defined as Adjusted EBITDA less certain run-rate cost savings, operating expense reductions and other expense and cost savings. Adjusted EBITDA and Adjusted EBITDA Before Run-Rate Savings are also used by management to measure operating performance and by investors to measure a company’s ability to service its debt and meet its other cash needs. Management believes that the inclusion of the adjustments to EBITDA applied in presenting Adjusted EBITDA are appropriate to provide additional information to investors about our performance across reporting periods on a consistent basis by excluding items that it does not believe are indicative of its core operating performance. Furthermore, management believes that Adjusted EBITDA Before Run-Rate Savings facilitates period-to-period comparisons because these savings and reductions were substantially realized by the end of 2013. See “Non-GAAP Financial Measures.”</w:t>
      </w:r>
    </w:p>
    <w:p>
      <w:pPr>
        <w:spacing w:after="0" w:line="9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provides a reconciliation of our net income (loss) to Adjusted EBITDA Before Run-Rate Savings and Adjusted EBITDA for the periods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left="184"/>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9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(19,812)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(14,377)</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(15,064)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10,669</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10,619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11,035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taxes(a)</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6,568</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6,530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6,473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EBITDA</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Non-cash stock-based compensation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fees(b)</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Asset write-off(c)</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1,100</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8,200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and recruiting costs(d)</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Sponsor fee and other(e)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manufacturer costs(f)</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3"/>
            <w:vMerge w:val="restart"/>
          </w:tcPr>
          <w:p>
            <w:pPr>
              <w:ind w:left="420"/>
              <w:spacing w:after="0"/>
              <w:rPr>
                <w:sz w:val="20"/>
                <w:szCs w:val="20"/>
                <w:color w:val="auto"/>
              </w:rPr>
            </w:pPr>
            <w:r>
              <w:rPr>
                <w:rFonts w:ascii="Arial" w:cs="Arial" w:eastAsia="Arial" w:hAnsi="Arial"/>
                <w:sz w:val="18"/>
                <w:szCs w:val="18"/>
                <w:color w:val="auto"/>
              </w:rPr>
              <w:t>Adjusted EBITDA Before Run-Rate Savings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4,750</w:t>
            </w:r>
          </w:p>
        </w:tc>
        <w:tc>
          <w:tcPr>
            <w:tcW w:w="6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6,668</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11,908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Run-rate savings(g)</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3,994</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3"/>
            <w:vMerge w:val="restart"/>
          </w:tcPr>
          <w:p>
            <w:pPr>
              <w:ind w:left="420"/>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3"/>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11,379</w:t>
            </w:r>
          </w:p>
        </w:tc>
        <w:tc>
          <w:tcPr>
            <w:tcW w:w="6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$ 10,662</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14,288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an agreement with BMS.</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legal services expenses incurred in connection with our business interruption claim associated with the NRU reactor shutdown in 2009 to 2010.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non-cash losses incurred associated with the write-down of land, intangible assets, inventory and write-off of long-lived assets.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primarily severance and recruitment costs related to employees, executives and directors.</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 non-recurring professional fees and certain non-recurring charges relating to a customer relationship.</w:t>
      </w:r>
    </w:p>
    <w:p>
      <w:pPr>
        <w:spacing w:after="0" w:line="37"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products and agents in development.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run-rate cost savings, operating expense reductions and other expense and cost-savings realized or expected to be realized within the next twelve months (calculated on a pro forma basis), primarily relating to our strategic shift from in-house research and development to an external partnering model of research and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contractual liabilities for which we cannot reasonably predict future payment, including contingencies related to potential future development, financing, certain suppliers, contingent royalty payments and/or scientific, regulatory, or commercial milestone payments under development agreements. The following table summarizes our contractual obligations as of December 31, 2013: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577"/>
              <w:spacing w:after="0"/>
              <w:rPr>
                <w:sz w:val="20"/>
                <w:szCs w:val="20"/>
                <w:color w:val="auto"/>
              </w:rPr>
            </w:pPr>
            <w:r>
              <w:rPr>
                <w:rFonts w:ascii="Arial" w:cs="Arial" w:eastAsia="Arial" w:hAnsi="Arial"/>
                <w:sz w:val="14"/>
                <w:szCs w:val="14"/>
                <w:b w:val="1"/>
                <w:bCs w:val="1"/>
                <w:color w:val="auto"/>
                <w:w w:val="86"/>
              </w:rPr>
              <w:t>Payments Due 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Less than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1 - 3</w:t>
            </w:r>
          </w:p>
        </w:tc>
        <w:tc>
          <w:tcPr>
            <w:tcW w:w="440" w:type="dxa"/>
            <w:vAlign w:val="bottom"/>
          </w:tcPr>
          <w:p>
            <w:pPr>
              <w:spacing w:after="0"/>
              <w:rPr>
                <w:sz w:val="11"/>
                <w:szCs w:val="11"/>
                <w:color w:val="auto"/>
              </w:rPr>
            </w:pPr>
          </w:p>
        </w:tc>
        <w:tc>
          <w:tcPr>
            <w:tcW w:w="68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3 - 5</w:t>
            </w:r>
          </w:p>
        </w:tc>
        <w:tc>
          <w:tcPr>
            <w:tcW w:w="4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1 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Years</w:t>
            </w: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r>
      <w:tr>
        <w:trPr>
          <w:trHeight w:val="142"/>
        </w:trPr>
        <w:tc>
          <w:tcPr>
            <w:tcW w:w="1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(principal)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Interest on debt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136,500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78,000</w:t>
            </w:r>
          </w:p>
        </w:tc>
        <w:tc>
          <w:tcPr>
            <w:tcW w:w="680" w:type="dxa"/>
            <w:vAlign w:val="bottom"/>
          </w:tcPr>
          <w:p>
            <w:pPr>
              <w:jc w:val="right"/>
              <w:spacing w:after="0"/>
              <w:rPr>
                <w:sz w:val="20"/>
                <w:szCs w:val="20"/>
                <w:color w:val="auto"/>
              </w:rPr>
            </w:pPr>
            <w:r>
              <w:rPr>
                <w:rFonts w:ascii="Arial" w:cs="Arial" w:eastAsia="Arial" w:hAnsi="Arial"/>
                <w:sz w:val="18"/>
                <w:szCs w:val="18"/>
                <w:color w:val="auto"/>
              </w:rPr>
              <w:t>19,500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Purchase obligations(2)</w:t>
            </w:r>
          </w:p>
        </w:tc>
        <w:tc>
          <w:tcPr>
            <w:tcW w:w="680" w:type="dxa"/>
            <w:vAlign w:val="bottom"/>
          </w:tcPr>
          <w:p>
            <w:pPr>
              <w:jc w:val="right"/>
              <w:spacing w:after="0"/>
              <w:rPr>
                <w:sz w:val="20"/>
                <w:szCs w:val="20"/>
                <w:color w:val="auto"/>
              </w:rPr>
            </w:pPr>
            <w:r>
              <w:rPr>
                <w:rFonts w:ascii="Arial" w:cs="Arial" w:eastAsia="Arial" w:hAnsi="Arial"/>
                <w:sz w:val="18"/>
                <w:szCs w:val="18"/>
                <w:color w:val="auto"/>
              </w:rPr>
              <w:t>3,416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Other long-term liabilities(3)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34,898</w:t>
            </w:r>
          </w:p>
        </w:tc>
        <w:tc>
          <w:tcPr>
            <w:tcW w:w="100" w:type="dxa"/>
            <w:vAlign w:val="bottom"/>
          </w:tcPr>
          <w:p>
            <w:pPr>
              <w:spacing w:after="0"/>
              <w:rPr>
                <w:sz w:val="19"/>
                <w:szCs w:val="19"/>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583,708</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78,881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419,967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41,546</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leases include minimum payments under leases for our facilities and certain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obligations include fixed or minimum payments under manufacturing and service agreements with third parties.</w:t>
      </w:r>
    </w:p>
    <w:p>
      <w:pPr>
        <w:spacing w:after="0" w:line="76"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Due to the uncertainty related to the timing of the reversal of uncertain tax positions, the liability is not subject to fixed payment terms and the amount and timing of payments, if any, which we will make related to this liability are not known.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are required to provide the NRC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 and an $8.8 million letter of credit.</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83"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We do not believe that inflation has had a significant impact on our revenues or results of operations since inception.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w:t>
      </w:r>
    </w:p>
    <w:p>
      <w:pPr>
        <w:spacing w:after="0" w:line="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However, the rate of inflation affects our expenses, such as those for employee compensation and contract services, which could increase our level of expenses and the rate at which we use our resources. While we generally believe that we will be able to offset the effect of price-level changes by adjusting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product prices and implementing operating efficiencies, any material unfavorable changes in price levels could have a material adverse affect on our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elected to “opt out” of the extended transition period for complying with new and revised accounting standards pursuant to Section 107 of the JOBS Act, and the election is irrevocable. See “Prospectus Summary—Implications of Being an Emerging Growth Company.”</w:t>
      </w:r>
    </w:p>
    <w:p>
      <w:pPr>
        <w:spacing w:after="0" w:line="7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July 2013, the Financial Accounting Standards Board, or the FASB, issued Accounting Standards Update, or ASU. No. 2013-11, “Presentation of an Unrecognized Tax Benefit When a Net Operating Loss Carryforward, a Similar Tax Loss, or a Tax Credit Carryforward Exists,” or ASU 2013-11. The amendments in ASU 2013-11 provide guidance on the financial statement presentation of unrecognized tax benefits when a net operating loss carryforward, a similar tax loss, or a tax credit carryforward exists. ASU 2013-11 is effective for fiscal years, and interim periods within those years, beginning after December 15, 2013. We do not anticipate a material impact to our financial position, results of operations or cash flows as a result of this 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GAAP. These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99" w:lineRule="exact"/>
        <w:rPr>
          <w:sz w:val="20"/>
          <w:szCs w:val="20"/>
          <w:color w:val="auto"/>
        </w:rPr>
      </w:pPr>
    </w:p>
    <w:p>
      <w:pPr>
        <w:ind w:left="240" w:right="1660" w:firstLine="228"/>
        <w:spacing w:after="0" w:line="375" w:lineRule="auto"/>
        <w:rPr>
          <w:sz w:val="20"/>
          <w:szCs w:val="20"/>
          <w:color w:val="auto"/>
        </w:rPr>
      </w:pPr>
      <w:r>
        <w:rPr>
          <w:rFonts w:ascii="Arial" w:cs="Arial" w:eastAsia="Arial" w:hAnsi="Arial"/>
          <w:sz w:val="18"/>
          <w:szCs w:val="18"/>
          <w:color w:val="auto"/>
        </w:rPr>
        <w:t xml:space="preserve">We believe the following represent our critical accounting policies and estimates used in the preparation of our financial statements.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revenue is generated from the sales of our diagnostic imaging agents to wholesalers, distributors, and radiopharmacies and directly to hospitals and clinics. We recognize revenue when evidence of an arrangement exists, title has passed, substantially all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that point in time when criteria are met and revenue can be recognized. Revenue is recognized net of reserves, which consist of allowances for returns and sales rebates. The estimates of these allowances are based on historical sales volumes and mix and require assumptions and judgments to be made in order to make those estimates. In the event that the sales mix is different from our estimates, we may be required to pay higher or lower returns and sales rebates than we previously estimated. Any changes to these estimates are recorded in the current period. In 2013, 2012 and 2011, these changes in estimates were not material to our results.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arrangements with multiple elements are divided into separate units of accounting if certain criteria are met, including whether the delivered element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 party evidence of selling price; and (iii) best estimate of selling price. The best estimate of selling price reflects our best estimate of what the selling price would be if the deliverable was regularly sold by us on a stand-alone basis. The consideration allocated to each unit of accounting is then recognized as the related goods or services are delivered, limited to the consideration that is not contingent upon future deliverables. Supply or service transactions may involve the charge of 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nonrefundable initial fee with subsequent periodic payments for future products or services. The up-front fees, even if nonrefundable, are earned (and revenue is recognized) as the products and/or services are delivered and performed over the term of the arrangement.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Inventories include material, direct labor and related manufacturing overhead, and are stated at the lower of cost or market determined on a first-in, first-out basis. We record inventory when we take delivery and title to the product. Any commitment for product ordered but not yet received is included as purchase commitments in our contractual obligations table. We assess the recoverability of inventory to determine whether adjustments for impairment are required. Inventory that is in excess of future requirements is written down to its estimated net realizable value-based upon estimates of forecasted demand for our products. The estimates of demand require assumptions to be made of future operating performance and customer demand. If actual demand is less than what has been forecasted by management, additional inventory write downs may be required.</w:t>
      </w:r>
    </w:p>
    <w:p>
      <w:pPr>
        <w:spacing w:after="0" w:line="107"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Inventory costs associated with product that has not yet received regulatory approval are capitalized if we believe there is probable future commercial use of the product and future economic benefit of the asset. If future commercial use of the product is not probable, then inventory costs associated with that product are expensed during the period the costs are incurred. At December 31, 2012, we had $1.5 million of those product costs included in inventories. Subsequent to the year ended December 31, 2012, the contract manufacturer received regulatory approval to manufacture this product. At December 31, 2013, we had no such inventories.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Intangibles and Long-Lived Assets</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Goodwill is not amortized, but is instead tested for impairment at least annually and whenever events or circumstances indicate that it is more likely than not that it may be impaired. We have elected to perform the annual test of goodwill impairment as of October 31 of each year.</w:t>
      </w:r>
    </w:p>
    <w:p>
      <w:pPr>
        <w:spacing w:after="0" w:line="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performing tests for goodwill impairment, we are first permitted to perform a qualitative assessment about the likelihood of the carrying value of a reporting unit exceeding its fair value. If we determine that it is more likely than not that the fair value of a reporting unit is less than its carrying amount based on the qualitative assessment, we are required to perform the two-step goodwill impairment test described below to identify the potential goodwill impairment and measure the amount of the goodwill impairment loss, if any, to be recognized for that reporting unit. However, if we conclude otherwise based on the qualitative assessment, the two-step goodwill impairment test is not required. The option to perform the qualitative assessment is not an accounting policy election and can be utilized at our discretion. Further, the qualitative assessment need not be applied to all reporting units in a given goodwill impairment test. For an individual reporting unit, if we elect not to perform the qualitative assessment, or if the qualitative assessment indicates that it is more likely than not that the fair value of a reporting unit is less than its carrying amount, then we must perform the two-step goodwill impairment test for the reporting unit. If the implied fair value of goodwill is less than the carrying value, then an impairment charge would be recorded.</w:t>
      </w:r>
    </w:p>
    <w:p>
      <w:pPr>
        <w:spacing w:after="0" w:line="10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performing the annual goodwill impairment test, we bypassed the option to perform a qualitative assessment and proceeded directly to performing the first step of the two-step goodwill impairment test. We completed our required annual impairment test for goodwill in the fourth quarter of 2013, 2012 and 2011 and determined that at each of those periods the carrying amount of goodwill was not impaired. In each year, our fair value, which includes goodwill, was substantially in excess of our carrying value.</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as a result of the continued supply challenges with BVL, we performed an interim impairment test for goodwill as of December 31, 2011. The interim impairment test did not indicate that there was any impairment as of December 31, 2011. There were no events at December 31, 2012 that triggered an interim impairment test. During the first quarter of 2013, the strategic shift in how we intend to fund our R&amp;D programs significantly altered the expected future costs and revenues associated with our agents in development.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Accordingly, this action was deemed to be a triggering event for an evaluation of the recoverability of our goodwill as of March 31, 2013. We performed an interim impairment test and determined that there was no impairment of goodwill as of March 31, 2013. Furthermore, we performed our annual impairment test for goodwill as of October 31, 2013, and there were no events through December 31, 2013 that triggered an interim impairment test. At each annual and interim impairment test date, the fair value of our reporting unit, which includes goodwill, was substantially in excess of our carrying value.</w:t>
      </w:r>
    </w:p>
    <w:p>
      <w:pPr>
        <w:spacing w:after="0" w:line="9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calculate the fair value of our reporting units using the income approach, which utilizes discounted forecasted future cash flows and the market approach which utilizes fair value multiples of comparable publicly traded companies. The discounted cash flows are based on our most recent long-term financial projections and 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we use market multiples derived from stock prices of companies engaged in the same or similar lines of business. There is not a quoted market price for our reporting units or the company as a whole, therefore, a combination of the two methods is utilized to derive the fair value of the business. We evaluate and weigh the results of these approaches as well as ensure we understand the basis of the results of these two methodologies. We believe the use of these two methodologies ensures a consistent and supportable method of determining our fair value that is consistent with the objective of measuring fair value. If the fair value were to decline, then we may be required to incur material charges relating to the impairment of those assets.</w:t>
      </w:r>
    </w:p>
    <w:p>
      <w:pPr>
        <w:spacing w:after="0" w:line="1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the first quarter of 2012, we reviewed the estimated useful life of our Cardiolite trademark as a result of a triggering event. Utilizing the most recent forecasted revenue data, we revised the estimate of the remaining useful life of the Cardiolite trademark to five years. We continue to monitor the recoverability of our branded Cardiolite trademark intangible asset due to the ongoing generic competition based on actual results and existing estimates of future undiscounted cash flows associated with the branded Cardiolite product. As of December 31, 2013, we conducted, using our revised sales forecast, an impairment analysis and concluded that the estimate of future undiscounted cash flows associated with the Cardiolite trademark intangible did not exceed the carrying amount of the asset totaling $19.2 million and therefore, the asset has been written down to its fair value. Fair value was calculated by utilizing Level 3 inputs in the relief from royalty method, an income-based approach. As a result of this analysis, we recorded an impairment charge of $15.4 million to adjust the carrying value to its fair value of $3.8 million. This expense was recorded within cost of goods sold in the accompanying consolidated statement of comprehensive loss in the fourth quarter of 2013.</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third quarter of 2013, we were in negotiations with a new distributor for the sale of certain products within certain international markets. This agreement was signed in October 2013 and as a result we did not renew the agreements with our former distributors in these international markets. We determined the customer relationship intangible related to these former distributors was no longer recoverable and recorded an impairment charge of $1.0 million in the third quarter of 2013. In the fourth quarter of 2013, we updated our strategic plan to reflect the non- renewal of these agreements and the uncertainty in the timing of product availability in this region. As a result, we reviewed the recoverability of certain of our customer relationship intangible assets in the International segment that were impacted by our revised strategic plan. We conducted an impairment analysis and concluded that the estimate of future undiscounted cash flows associated with the customer relationship intangible asset did not exceed the carrying amount of the asset and therefore, the asset would need to be written down to its fair value. In order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calculate the fair value of the acquired customer relationship intangible assets, we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the third quarter of 2013, we committed to a plan to sell certain of our excess land in the U.S. segment, which had a carrying value of $7.5 million. This event qualified for held for sale accounting and the excess land was written down to its fair value, less estimated costs to sell. The fair value was estimated 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we sold the excess land for net proceeds of $1.1 million.</w:t>
      </w:r>
    </w:p>
    <w:p>
      <w:pPr>
        <w:spacing w:after="0" w:line="10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Fixed assets dedicated to R&amp;D activities, which were impacted by the recent R&amp;D strategic shift, have a carrying value of $6.3 million as of December 31, 2013. We believe these fixed assets will be utilized for either internally funded ongoing R&amp;D activities or R&amp;D activities funded by a strategic partner. If we are not successful in finding a strategic partner, and there are no alternative uses for those fixed assets, they could be subject to impairment in the future.</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also tested certain long-lived assets utilized in the manufacturing of certain products in the United States for recoverability as of December 31, 2013 due to a change in our contract to manufacture Quadramet. The analysis indicated that there was no impairment as of December 31, 2013. We also evaluated the remaining useful lives of long-lived assets that were tested for recoverability at December 31, 2013 and determined no revisions were required to the remaining periods of depreciation.</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Intangible assets, consisting of patents, trademarks and customer relationships related to our products are amortized in a method equivalent to the estimated utilization of the economic benefit of the asset. Trademarks and patents are amortized on a straight-line basis, and customer relationships are amortized on an accelerated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employees are eligible to receive awards from our 2013 Equity Plan (as defined below). Our stock-based compensation cost is measured at the grant date based on the fair value of the award and is recognized as expense over the requisite service period, which generally represents the vesting period, and includes an estimate of the awards that will be forfeited. We use the Black Scholes valuation model for estimating the fair value on the date of grant of stock options. The fair value of stock option awards is affected by our valuation assumptions, including the estimated fair value of our common stock, the volatility of equity comparables, the expected term of the options, the risk-free interest rate, expected dividends and other objective and subjective variables.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award is approved by our Board of Directors (or its Compensation Committee) at a per share exercise price not less than the per share fair value determined by the Board of Directors (or its Compensation Committee) in effect as of that award date. Historically for all periods prior to this initial public offering, our Board of Directors (or its Compensation Committee) has determined the fair value of the common stock underlying our stock options with assistance from management and based upon information available at the time of grant. Given the absence of a public trading market for our common stock, estimating the fair value of our common stock has required complex and subjective judgments assumptions, including:</w:t>
      </w:r>
    </w:p>
    <w:p>
      <w:pPr>
        <w:spacing w:after="0" w:line="21" w:lineRule="exact"/>
        <w:rPr>
          <w:sz w:val="20"/>
          <w:szCs w:val="20"/>
          <w:color w:val="auto"/>
        </w:rPr>
      </w:pPr>
    </w:p>
    <w:p>
      <w:pPr>
        <w:ind w:left="660" w:right="66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quarterly valuations of our common stock based on our actual operational and financial performance, current business conditions and cash flow projections; and</w:t>
      </w:r>
    </w:p>
    <w:p>
      <w:pPr>
        <w:spacing w:after="0" w:line="37"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trading and exit multiples of companies that we consider peers based on a number of factors, including similarity to us with respect to industry, products and business model.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considered a combination of valuation methodologies, including discounted cash flows, comparable trading multiples and comparable transactions. Any material change to the assumptions used in estimating the fair value of the options could have a material impact on our results of operations. When a contingent cash settlement of vested options becomes probable, we reclassify the vested awards to a liability and account for any incremental compensation cost in the period in which the settlement becomes probable.</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valuations after the completion of this offering, our Board of Directors (or its Compensation Committee) will determine the fair value of each share of underlying common stock based on the closing price of our common stock as reported on the date of grant.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provision for income taxes has been determined using the asset and liability approach of accounting for income taxes. The provision for income taxes represents income taxes paid or payable for the current year plus the change in deferred taxes during the year. Deferred taxes result from differences between the financial and tax bases of our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those assessments are made.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account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We provide disclosure at the end of each annual reporting period on a tabular reconciliation of unrecognized tax benefits. We classify interest and penalties within the provision for income taxes.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tax indemnification agreement with BMS related to certain contingent tax obligations arising prior to the acquisition of the business from BMS. The tax obligations are recognized in liabilities and the tax indemnification receivable is recognized within other noncurrent assets. The changes in the tax indemnification asset are recognized within other income, net in the statement of income, and the changes in the related liabilities are recorded within the tax provision. Accordingly, as these reserves change, adjustments are included in the tax provision while the offsetting adjustment is included in other income. Assuming that the receivable from BMS continues to be considered recoverable by us, there is no net effect on earnings related to these liabilities and no net cash outflows.</w:t>
      </w:r>
    </w:p>
    <w:p>
      <w:pPr>
        <w:spacing w:after="0" w:line="13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calculation of our tax liabilities involves certain estimates, assumptions and the application of complex tax regulations in numerous jurisdictions worldwide. Any material change in our estimates or assumptions, or the tax regulations, may have a material impact on our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exposed to market risk from changes in interest rates and foreign currency exchange rates. We do not hold or issue financial instruments to reduce these risks or for trading purposes.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subject to interest rate risk in connection with our revolving credit facility, which is variable rate indebtedness. As of December 31, 2013, there was $8.0 million outstanding under our revolving credit facility and an $8.8 million unfunded Standby Letter of Credit. Any increase in the interest rate under our revolving credit facility would increase interest rate payments, which could have a negative impact on our future earnings and cash flow to the extent we have outstanding borrowings under our revolving credit facility. The effect of a 100 basis point adverse change in market interest rates, sustained for one year, on our interest expense would be approximately $80,000. Historically, we have not used derivative financial instruments or other financial instruments to hedge these economic exposures.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face exposure to movements in foreign currency exchange rates whenever we, or any of our subsidiaries, enter into transactions with third parties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are denominated in currencies other than ours, or that subsidiary’s, functional currency. Intercompany transactions between entities that use different functional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currencies also expose us to foreign currency risk. During 2013, 2012 and 2011, the net impact of foreign currency changes on transactions was a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$349,000, $579,000 and $156,000, respectively. Historically, we have not used derivative financial instruments or other financial instruments to hedge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economic exposures.</w:t>
      </w:r>
    </w:p>
    <w:p>
      <w:pPr>
        <w:spacing w:after="0" w:line="1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Gross margins for our products that are manufactured in the United States and are sold in currencies other than the U.S. Dollar are also affected by foreign currency exchange rate movements. Our gross margin on revenues was 27.3%, 26.1% and 26.7% during the years ended December 31, 2013, 2012 and 2011, respectively. If the U.S. Dollar had been stronger by 1%, 5% or 10%, compared to the actual exchange rates during 2013, our gross margin on revenues would have been 27.3%, 27.5% and 27.7%, respectively. If the U.S. Dollar had been stronger by 1%, 5% or 10%, compared to the actual exchange rates during 2012, our gross margin on revenues would have been 26.1%, 26.3% and 26.4%, respectively. If the U.S. Dollar had been stronger by 1%, 5% or 10%, compared to the actual exchange rates during 2011, our gross margin on revenues would have been 26.7%, 26.9% and 27.0%, respectively.</w:t>
      </w:r>
    </w:p>
    <w:p>
      <w:pPr>
        <w:spacing w:after="0" w:line="107"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In addition, a portion of our earnings is generated by our foreign subsidiaries, whose functional currencies are other than the U.S. Dollar. Our earnings could be materially impacted by movements in foreign currency exchange rates upon the translation of the earnings of those subsidiaries into the U.S. Dollar.</w:t>
      </w:r>
    </w:p>
    <w:p>
      <w:pPr>
        <w:spacing w:after="0" w:line="4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If the U.S. Dollar had been uniformly stronger by 1%, 5% or 10%, compared to the actual average exchange rates used to translate the financial results of our foreign subsidiaries, our revenues and net income for 2013 would have been impacted by approximately the following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Increase in U.S. Dollar to Applicable Foreign</w:t>
            </w:r>
          </w:p>
        </w:tc>
        <w:tc>
          <w:tcPr>
            <w:tcW w:w="5960" w:type="dxa"/>
            <w:vAlign w:val="bottom"/>
          </w:tcPr>
          <w:p>
            <w:pPr>
              <w:spacing w:after="0"/>
              <w:rPr>
                <w:sz w:val="14"/>
                <w:szCs w:val="14"/>
                <w:color w:val="auto"/>
              </w:rPr>
            </w:pPr>
          </w:p>
        </w:tc>
        <w:tc>
          <w:tcPr>
            <w:tcW w:w="18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8"/>
              </w:rPr>
              <w:t>Approximate</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35"/>
        </w:trPr>
        <w:tc>
          <w:tcPr>
            <w:tcW w:w="2760" w:type="dxa"/>
            <w:vAlign w:val="bottom"/>
            <w:vMerge w:val="continue"/>
          </w:tcPr>
          <w:p>
            <w:pPr>
              <w:spacing w:after="0"/>
              <w:rPr>
                <w:sz w:val="11"/>
                <w:szCs w:val="11"/>
                <w:color w:val="auto"/>
              </w:rPr>
            </w:pPr>
          </w:p>
        </w:tc>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110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68"/>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Currency Exchange Rate</w:t>
            </w: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1"/>
              </w:rPr>
              <w:t>Revenues</w:t>
            </w:r>
          </w:p>
        </w:tc>
        <w:tc>
          <w:tcPr>
            <w:tcW w:w="10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Net 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5"/>
          </w:tcPr>
          <w:p>
            <w:pPr>
              <w:ind w:left="580"/>
              <w:spacing w:after="0" w:line="149"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5%</w:t>
            </w: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If the U.S. Dollar had been uniformly stronger by 1%, 5% or 10%, compared to the actual average exchange rates used to translate the financial results of our foreign subsidiaries, our revenues and net income for 2012 would have been impacted by approximately the following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Increase in U.S. Dollar to Applicable Foreign</w:t>
            </w:r>
          </w:p>
        </w:tc>
        <w:tc>
          <w:tcPr>
            <w:tcW w:w="5980" w:type="dxa"/>
            <w:vAlign w:val="bottom"/>
          </w:tcPr>
          <w:p>
            <w:pPr>
              <w:spacing w:after="0"/>
              <w:rPr>
                <w:sz w:val="14"/>
                <w:szCs w:val="14"/>
                <w:color w:val="auto"/>
              </w:rPr>
            </w:pPr>
          </w:p>
        </w:tc>
        <w:tc>
          <w:tcPr>
            <w:tcW w:w="17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Approximate</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35"/>
        </w:trPr>
        <w:tc>
          <w:tcPr>
            <w:tcW w:w="2760" w:type="dxa"/>
            <w:vAlign w:val="bottom"/>
            <w:vMerge w:val="continue"/>
          </w:tcPr>
          <w:p>
            <w:pPr>
              <w:spacing w:after="0"/>
              <w:rPr>
                <w:sz w:val="11"/>
                <w:szCs w:val="11"/>
                <w:color w:val="auto"/>
              </w:rPr>
            </w:pPr>
          </w:p>
        </w:tc>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8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68"/>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Currency Exchange Rate</w:t>
            </w: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4"/>
              </w:rPr>
              <w:t>Revenues</w:t>
            </w:r>
          </w:p>
        </w:tc>
        <w:tc>
          <w:tcPr>
            <w:tcW w:w="9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Net 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5"/>
          </w:tcPr>
          <w:p>
            <w:pPr>
              <w:ind w:left="560"/>
              <w:spacing w:after="0" w:line="149"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5%</w:t>
            </w: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(5,187)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760" w:type="dxa"/>
            <w:vAlign w:val="bottom"/>
          </w:tcPr>
          <w:p>
            <w:pPr>
              <w:spacing w:after="0"/>
              <w:rPr>
                <w:sz w:val="24"/>
                <w:szCs w:val="24"/>
                <w:color w:val="auto"/>
              </w:rPr>
            </w:pPr>
          </w:p>
        </w:tc>
        <w:tc>
          <w:tcPr>
            <w:tcW w:w="5980" w:type="dxa"/>
            <w:vAlign w:val="bottom"/>
          </w:tcPr>
          <w:p>
            <w:pPr>
              <w:jc w:val="right"/>
              <w:ind w:right="285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the U.S. Dollar had been uniformly stronger by 1%, 5% or 10%, compared to the actual average exchange rates used to translate the financial results of our foreign subsidiaries, our revenues and net income for 2011 would have been impacted by approximately the following amounts:</w:t>
      </w:r>
    </w:p>
    <w:p>
      <w:pPr>
        <w:sectPr>
          <w:pgSz w:w="11900" w:h="16838" w:orient="portrait"/>
          <w:cols w:equalWidth="0" w:num="1">
            <w:col w:w="11380"/>
          </w:cols>
          <w:pgMar w:left="240" w:top="459" w:right="27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Increase in U.S. Dollar to Applicable Foreign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494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3160" w:type="dxa"/>
        <w:tblCellMar>
          <w:top w:w="0" w:type="dxa"/>
          <w:left w:w="0" w:type="dxa"/>
          <w:bottom w:w="0" w:type="dxa"/>
          <w:right w:w="0" w:type="dxa"/>
        </w:tblCellMar>
      </w:tblPr>
      <w:tr>
        <w:trPr>
          <w:trHeight w:val="161"/>
        </w:trPr>
        <w:tc>
          <w:tcPr>
            <w:tcW w:w="1300" w:type="dxa"/>
            <w:vAlign w:val="bottom"/>
            <w:gridSpan w:val="2"/>
          </w:tcPr>
          <w:p>
            <w:pPr>
              <w:jc w:val="center"/>
              <w:ind w:right="462"/>
              <w:spacing w:after="0"/>
              <w:rPr>
                <w:sz w:val="20"/>
                <w:szCs w:val="20"/>
                <w:color w:val="auto"/>
              </w:rPr>
            </w:pPr>
            <w:r>
              <w:rPr>
                <w:rFonts w:ascii="Arial" w:cs="Arial" w:eastAsia="Arial" w:hAnsi="Arial"/>
                <w:sz w:val="14"/>
                <w:szCs w:val="14"/>
                <w:b w:val="1"/>
                <w:bCs w:val="1"/>
                <w:color w:val="auto"/>
                <w:w w:val="88"/>
              </w:rPr>
              <w:t>Approximate</w:t>
            </w:r>
          </w:p>
        </w:tc>
        <w:tc>
          <w:tcPr>
            <w:tcW w:w="1300" w:type="dxa"/>
            <w:vAlign w:val="bottom"/>
            <w:gridSpan w:val="3"/>
          </w:tcPr>
          <w:p>
            <w:pPr>
              <w:jc w:val="center"/>
              <w:ind w:left="306"/>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80" w:type="dxa"/>
            <w:vAlign w:val="bottom"/>
          </w:tcPr>
          <w:p>
            <w:pPr>
              <w:spacing w:after="0"/>
              <w:rPr>
                <w:sz w:val="12"/>
                <w:szCs w:val="12"/>
                <w:color w:val="auto"/>
              </w:rPr>
            </w:pPr>
          </w:p>
        </w:tc>
        <w:tc>
          <w:tcPr>
            <w:tcW w:w="122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88"/>
              </w:rPr>
              <w:t>Change in</w:t>
            </w:r>
          </w:p>
        </w:tc>
        <w:tc>
          <w:tcPr>
            <w:tcW w:w="5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80" w:type="dxa"/>
            <w:vAlign w:val="bottom"/>
          </w:tcPr>
          <w:p>
            <w:pPr>
              <w:spacing w:after="0"/>
              <w:rPr>
                <w:sz w:val="14"/>
                <w:szCs w:val="14"/>
                <w:color w:val="auto"/>
              </w:rPr>
            </w:pPr>
          </w:p>
        </w:tc>
        <w:tc>
          <w:tcPr>
            <w:tcW w:w="1220" w:type="dxa"/>
            <w:vAlign w:val="bottom"/>
          </w:tcPr>
          <w:p>
            <w:pPr>
              <w:jc w:val="center"/>
              <w:ind w:right="542"/>
              <w:spacing w:after="0"/>
              <w:rPr>
                <w:sz w:val="20"/>
                <w:szCs w:val="20"/>
                <w:color w:val="auto"/>
              </w:rPr>
            </w:pPr>
            <w:r>
              <w:rPr>
                <w:rFonts w:ascii="Arial" w:cs="Arial" w:eastAsia="Arial" w:hAnsi="Arial"/>
                <w:sz w:val="14"/>
                <w:szCs w:val="14"/>
                <w:b w:val="1"/>
                <w:bCs w:val="1"/>
                <w:color w:val="auto"/>
                <w:w w:val="84"/>
              </w:rPr>
              <w:t>Revenues</w:t>
            </w:r>
          </w:p>
        </w:tc>
        <w:tc>
          <w:tcPr>
            <w:tcW w:w="1300" w:type="dxa"/>
            <w:vAlign w:val="bottom"/>
            <w:gridSpan w:val="3"/>
          </w:tcPr>
          <w:p>
            <w:pPr>
              <w:jc w:val="center"/>
              <w:ind w:left="326"/>
              <w:spacing w:after="0"/>
              <w:rPr>
                <w:sz w:val="20"/>
                <w:szCs w:val="20"/>
                <w:color w:val="auto"/>
              </w:rPr>
            </w:pPr>
            <w:r>
              <w:rPr>
                <w:rFonts w:ascii="Arial" w:cs="Arial" w:eastAsia="Arial" w:hAnsi="Arial"/>
                <w:sz w:val="14"/>
                <w:szCs w:val="14"/>
                <w:b w:val="1"/>
                <w:bCs w:val="1"/>
                <w:color w:val="auto"/>
                <w:w w:val="87"/>
              </w:rPr>
              <w:t>Net Income</w:t>
            </w:r>
          </w:p>
        </w:tc>
      </w:tr>
      <w:tr>
        <w:trPr>
          <w:trHeight w:val="134"/>
        </w:trPr>
        <w:tc>
          <w:tcPr>
            <w:tcW w:w="8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3"/>
          </w:tcPr>
          <w:p>
            <w:pPr>
              <w:ind w:left="560"/>
              <w:spacing w:after="0" w:line="134"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1"/>
                <w:szCs w:val="1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02"/>
              <w:spacing w:after="0"/>
              <w:rPr>
                <w:sz w:val="20"/>
                <w:szCs w:val="20"/>
                <w:color w:val="auto"/>
              </w:rPr>
            </w:pPr>
            <w:r>
              <w:rPr>
                <w:rFonts w:ascii="Arial" w:cs="Arial" w:eastAsia="Arial" w:hAnsi="Arial"/>
                <w:sz w:val="18"/>
                <w:szCs w:val="18"/>
                <w:color w:val="auto"/>
              </w:rPr>
              <w:t>(608)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 w:type="dxa"/>
            <w:vAlign w:val="bottom"/>
          </w:tcPr>
          <w:p>
            <w:pPr>
              <w:spacing w:after="0"/>
              <w:rPr>
                <w:sz w:val="18"/>
                <w:szCs w:val="18"/>
                <w:color w:val="auto"/>
              </w:rPr>
            </w:pPr>
          </w:p>
        </w:tc>
        <w:tc>
          <w:tcPr>
            <w:tcW w:w="1220" w:type="dxa"/>
            <w:vAlign w:val="bottom"/>
          </w:tcPr>
          <w:p>
            <w:pPr>
              <w:jc w:val="right"/>
              <w:ind w:right="402"/>
              <w:spacing w:after="0"/>
              <w:rPr>
                <w:sz w:val="20"/>
                <w:szCs w:val="20"/>
                <w:color w:val="auto"/>
              </w:rPr>
            </w:pPr>
            <w:r>
              <w:rPr>
                <w:rFonts w:ascii="Arial" w:cs="Arial" w:eastAsia="Arial" w:hAnsi="Arial"/>
                <w:sz w:val="18"/>
                <w:szCs w:val="18"/>
                <w:color w:val="auto"/>
              </w:rPr>
              <w:t>(3,041)</w:t>
            </w:r>
          </w:p>
        </w:tc>
        <w:tc>
          <w:tcPr>
            <w:tcW w:w="5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22"/>
        </w:trPr>
        <w:tc>
          <w:tcPr>
            <w:tcW w:w="80" w:type="dxa"/>
            <w:vAlign w:val="bottom"/>
          </w:tcPr>
          <w:p>
            <w:pPr>
              <w:spacing w:after="0"/>
              <w:rPr>
                <w:sz w:val="19"/>
                <w:szCs w:val="19"/>
                <w:color w:val="auto"/>
              </w:rPr>
            </w:pPr>
          </w:p>
        </w:tc>
        <w:tc>
          <w:tcPr>
            <w:tcW w:w="1220" w:type="dxa"/>
            <w:vAlign w:val="bottom"/>
          </w:tcPr>
          <w:p>
            <w:pPr>
              <w:jc w:val="right"/>
              <w:ind w:right="402"/>
              <w:spacing w:after="0"/>
              <w:rPr>
                <w:sz w:val="20"/>
                <w:szCs w:val="20"/>
                <w:color w:val="auto"/>
              </w:rPr>
            </w:pPr>
            <w:r>
              <w:rPr>
                <w:rFonts w:ascii="Arial" w:cs="Arial" w:eastAsia="Arial" w:hAnsi="Arial"/>
                <w:sz w:val="18"/>
                <w:szCs w:val="18"/>
                <w:color w:val="auto"/>
              </w:rPr>
              <w:t>(6,082)</w:t>
            </w: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-409575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-135255</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ectPr>
          <w:pgSz w:w="11900" w:h="16838" w:orient="portrait"/>
          <w:cols w:equalWidth="0" w:num="2">
            <w:col w:w="4900" w:space="720"/>
            <w:col w:w="5760"/>
          </w:cols>
          <w:pgMar w:left="240" w:top="459" w:right="27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peripheral vascular disease and other diseases. Clinicians use our imaging agents and products across a range of imaging modalities, including nuclear imaging, echocardiography and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8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We sell our products globally and have operations in the United States, Puerto Rico, Canada and Australia and distribution relationships in Europe, Asia Pacific and Latin America.</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portfolio of 10 commercial products is diversified across a range of imaging modalities. Our imaging agents include radiopharmaceuticals and contrast agents.</w:t>
      </w:r>
    </w:p>
    <w:p>
      <w:pPr>
        <w:spacing w:after="0" w:line="37" w:lineRule="exact"/>
        <w:rPr>
          <w:sz w:val="20"/>
          <w:szCs w:val="20"/>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Radiopharmaceuticals are radioactive pharmaceuticals used by clinicians to perform nuclear imaging procedures.</w:t>
      </w:r>
    </w:p>
    <w:p>
      <w:pPr>
        <w:spacing w:after="0" w:line="103" w:lineRule="exact"/>
        <w:rPr>
          <w:rFonts w:ascii="Arial" w:cs="Arial" w:eastAsia="Arial" w:hAnsi="Arial"/>
          <w:sz w:val="18"/>
          <w:szCs w:val="18"/>
          <w:color w:val="auto"/>
        </w:rPr>
      </w:pPr>
    </w:p>
    <w:p>
      <w:pPr>
        <w:ind w:left="1260" w:right="680" w:hanging="226"/>
        <w:spacing w:after="0" w:line="259" w:lineRule="auto"/>
        <w:tabs>
          <w:tab w:leader="none" w:pos="12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certain circumstances, a radioisotope is attached to a chemical compound to form the radiopharmaceutical. This act of attaching the radioisotope to the chemical compound is called radiolabeling, or labeling. Our products include both the chemical compounds that are radiolabeled as well as generators containing radioisotopes that radiolabel.</w:t>
      </w:r>
    </w:p>
    <w:p>
      <w:pPr>
        <w:spacing w:after="0" w:line="45" w:lineRule="exact"/>
        <w:rPr>
          <w:rFonts w:ascii="Arial" w:cs="Arial" w:eastAsia="Arial" w:hAnsi="Arial"/>
          <w:sz w:val="18"/>
          <w:szCs w:val="18"/>
          <w:color w:val="auto"/>
        </w:rPr>
      </w:pPr>
    </w:p>
    <w:p>
      <w:pPr>
        <w:ind w:left="1260" w:right="60" w:hanging="226"/>
        <w:spacing w:after="0" w:line="268" w:lineRule="auto"/>
        <w:tabs>
          <w:tab w:leader="none" w:pos="12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other circumstances, a radioisotope can be used as a radiopharmaceutical without attaching any additional chemical compound. Our products also include this type of radiopharmaceutical.</w:t>
      </w:r>
    </w:p>
    <w:p>
      <w:pPr>
        <w:spacing w:after="0" w:line="37" w:lineRule="exact"/>
        <w:rPr>
          <w:rFonts w:ascii="Arial" w:cs="Arial" w:eastAsia="Arial" w:hAnsi="Arial"/>
          <w:sz w:val="18"/>
          <w:szCs w:val="18"/>
          <w:color w:val="auto"/>
        </w:rPr>
      </w:pPr>
    </w:p>
    <w:p>
      <w:pPr>
        <w:jc w:val="both"/>
        <w:ind w:left="1260" w:hanging="226"/>
        <w:spacing w:after="0" w:line="259" w:lineRule="auto"/>
        <w:tabs>
          <w:tab w:leader="none" w:pos="12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Radioisotopes are most commonly manufactured in a nuclear research reactor, where a radioactive target is bombarded with subatomic particles, or on a cyclotron, which is a type of particle accelerator that also creates radioisotopes. Our products include radioisotopes produced in research reactors and in cyclotrons, and we own seven cyclotrons.</w:t>
      </w:r>
    </w:p>
    <w:p>
      <w:pPr>
        <w:spacing w:after="0" w:line="45" w:lineRule="exact"/>
        <w:rPr>
          <w:rFonts w:ascii="Arial" w:cs="Arial" w:eastAsia="Arial" w:hAnsi="Arial"/>
          <w:sz w:val="18"/>
          <w:szCs w:val="18"/>
          <w:color w:val="auto"/>
        </w:rPr>
      </w:pPr>
    </w:p>
    <w:p>
      <w:pPr>
        <w:ind w:left="1260" w:right="60" w:hanging="226"/>
        <w:spacing w:after="0" w:line="294" w:lineRule="auto"/>
        <w:tabs>
          <w:tab w:leader="none" w:pos="12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Two common forms of nuclear imaging procedures are SPECT and PET. In both SPECT and PET procedures, a radiopharmaceutical is injected into a patient, and it localizes in a specific organ or system within the body. The radiopharmaceutical emits small amounts of measurable radiation that are captured by a specialized camera that generates an image of the specific organ or system for the physician to read. The type of radiation the radiopharmaceutical emits will determine the type of camera that can be used—a SPECT radiopharmaceutical emits gamma rays captured with a SPECT camera, and a PET radiopharmaceutical emits positrons captured with a PET camera.</w:t>
      </w:r>
    </w:p>
    <w:p>
      <w:pPr>
        <w:spacing w:after="0" w:line="21"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Contrast agents are typically non-radiolabeled compounds that are used in diagnostic procedures such as echocardiograms, x-ray imaging or MRIs that are used by physicians to improve the clarity of the diagnostic image.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an example of the procedures in which our products may be used, in the diagnosis of coronary artery disease, a typical diagnostic progression could include an electrocardiogram, followed by an echocardiogram (possibly using our agent DEFINITY), and then a MPI study using either SPECT or PET imaging (possibly using our technetium generator or one of our MPI agents). An MPI study assesses blood flow distribution to the heart. An MPI imaging agent is injected into a patient intravenously, and the imaging agent deposits in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patient’s heart muscle based on how much blood reaches the various areas. A heart with normal blood flow will show the imaging agent taken up uniformly, while a scar from a previous heart attack that blocks or restricts blood flow will not show any uptake of the imaging agent. MPI is also used for diagnosing the presence of coronary artery disease. See “—Diagnostic Medical Imaging Overview.”</w:t>
      </w:r>
    </w:p>
    <w:p>
      <w:pPr>
        <w:spacing w:after="0" w:line="127" w:lineRule="exact"/>
        <w:rPr>
          <w:sz w:val="20"/>
          <w:szCs w:val="20"/>
          <w:color w:val="auto"/>
        </w:rPr>
      </w:pPr>
    </w:p>
    <w:p>
      <w:pPr>
        <w:ind w:left="240"/>
        <w:spacing w:after="0"/>
        <w:tabs>
          <w:tab w:leader="none" w:pos="1720" w:val="left"/>
        </w:tabs>
        <w:rPr>
          <w:sz w:val="20"/>
          <w:szCs w:val="20"/>
          <w:color w:val="auto"/>
        </w:rPr>
      </w:pPr>
      <w:r>
        <w:rPr>
          <w:rFonts w:ascii="Arial" w:cs="Arial" w:eastAsia="Arial" w:hAnsi="Arial"/>
          <w:sz w:val="18"/>
          <w:szCs w:val="18"/>
          <w:b w:val="1"/>
          <w:bCs w:val="1"/>
          <w:i w:val="1"/>
          <w:iCs w:val="1"/>
          <w:color w:val="auto"/>
        </w:rPr>
        <w:t>Leading Products.</w:t>
      </w:r>
      <w:r>
        <w:rPr>
          <w:sz w:val="20"/>
          <w:szCs w:val="20"/>
          <w:color w:val="auto"/>
        </w:rPr>
        <w:tab/>
      </w:r>
      <w:r>
        <w:rPr>
          <w:rFonts w:ascii="Arial" w:cs="Arial" w:eastAsia="Arial" w:hAnsi="Arial"/>
          <w:sz w:val="15"/>
          <w:szCs w:val="15"/>
          <w:color w:val="auto"/>
        </w:rPr>
        <w:t>Our leading commercial products are:</w:t>
      </w:r>
    </w:p>
    <w:p>
      <w:pPr>
        <w:spacing w:after="0" w:line="77" w:lineRule="exact"/>
        <w:rPr>
          <w:sz w:val="20"/>
          <w:szCs w:val="20"/>
          <w:color w:val="auto"/>
        </w:rPr>
      </w:pPr>
    </w:p>
    <w:p>
      <w:pPr>
        <w:ind w:left="660" w:right="40" w:hanging="206"/>
        <w:spacing w:after="0" w:line="255"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DEFINITY</w:t>
      </w:r>
      <w:r>
        <w:rPr>
          <w:rFonts w:ascii="Arial" w:cs="Arial" w:eastAsia="Arial" w:hAnsi="Arial"/>
          <w:sz w:val="18"/>
          <w:szCs w:val="18"/>
          <w:color w:val="auto"/>
        </w:rPr>
        <w:t>—the leading ultrasound contrast imaging agent used by cardiologists and sonographers during echocardiography exams based on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 Since its launch in 2001, DEFINITY has been used to image approximately five million patients.</w:t>
      </w:r>
    </w:p>
    <w:p>
      <w:pPr>
        <w:spacing w:after="0" w:line="48" w:lineRule="exact"/>
        <w:rPr>
          <w:sz w:val="20"/>
          <w:szCs w:val="20"/>
          <w:color w:val="auto"/>
        </w:rPr>
      </w:pPr>
    </w:p>
    <w:p>
      <w:pPr>
        <w:ind w:left="700" w:right="60"/>
        <w:spacing w:after="0" w:line="291" w:lineRule="auto"/>
        <w:rPr>
          <w:sz w:val="20"/>
          <w:szCs w:val="20"/>
          <w:color w:val="auto"/>
        </w:rPr>
      </w:pPr>
      <w:r>
        <w:rPr>
          <w:rFonts w:ascii="Arial" w:cs="Arial" w:eastAsia="Arial" w:hAnsi="Arial"/>
          <w:sz w:val="16"/>
          <w:szCs w:val="16"/>
          <w:color w:val="auto"/>
        </w:rPr>
        <w:t>Of the approximately 28 million echocardiograms performed each year in the United States, a third party source estimates that approximately 20%, or approximately six million echocardiograms, produce suboptimal images. We believe that in 2013, 3.1% of the total echocardiography procedures performed in the United States used a contrast agent (which translates to only approximately 15% of all echocardiograms considered suboptimal). Contrast penetration rates in echocardiography procedures have increased over the past six years and, we believe, will continue to increase in the future as clinicians continue to adopt the use of contrast as an important tool to assist their clinical decision-making. Of the echocardiograms in which a contrast agent is used, we estimate that DEFINITY had an approximate 75% share of these procedures in the United States in December 2013.</w:t>
      </w:r>
    </w:p>
    <w:p>
      <w:pPr>
        <w:spacing w:after="0" w:line="26"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We believe that DEFINITY has this leading position because of its preferred product functionality and composition derived from a synthetic rather than a blood-based product. As a result, we believe DEFINITY will be a key driver of the future growth of our business, both in the United States and in international markets, as we continue to grow contrast penetration through sales and marketing efforts focused on the appropriate use of contrast and maintain our leading position. DEFINITY currently has patent or other exclusivity protection until 2021 in the United States and until 2019 outside of the United States.</w:t>
      </w:r>
    </w:p>
    <w:p>
      <w:pPr>
        <w:spacing w:after="0" w:line="48" w:lineRule="exact"/>
        <w:rPr>
          <w:sz w:val="20"/>
          <w:szCs w:val="20"/>
          <w:color w:val="auto"/>
        </w:rPr>
      </w:pPr>
    </w:p>
    <w:p>
      <w:pPr>
        <w:ind w:left="660" w:hanging="206"/>
        <w:spacing w:after="0" w:line="290" w:lineRule="auto"/>
        <w:tabs>
          <w:tab w:leader="none" w:pos="660" w:val="left"/>
        </w:tabs>
        <w:numPr>
          <w:ilvl w:val="0"/>
          <w:numId w:val="65"/>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TechneLite</w:t>
      </w:r>
      <w:r>
        <w:rPr>
          <w:rFonts w:ascii="Arial" w:cs="Arial" w:eastAsia="Arial" w:hAnsi="Arial"/>
          <w:sz w:val="16"/>
          <w:szCs w:val="16"/>
          <w:color w:val="auto"/>
        </w:rPr>
        <w:t>—a self-contained system, or generator, of technetium (Tc99m), a radioisotope with a six hour half-life, used by radiopharmacists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radiopharmacies to prepare patient-specific radiolabeled imaging agents. Technetium results from the radioactive decay of Moly, itself a radioisotope with a 66-hour half-life produced in nuclear research reactors around the world from enriched uranium. Because of the short half-lives of Moly and technetium, radiopharmacies typically replace TechneLite generators on a weekly basis pursuant to standing orders made with us. In addition, the supply chain for Moly is global and, because of the 66-hour half-life, we utilize just-in-time inventory management. We believe that we have the most balanced and diversified supply chain in the industry, buying Moly from four out of the five major global Moly processors, which are supplied by seven of the eight major global Moly reactors.</w:t>
      </w:r>
    </w:p>
    <w:p>
      <w:pPr>
        <w:spacing w:after="0" w:line="24" w:lineRule="exact"/>
        <w:rPr>
          <w:sz w:val="20"/>
          <w:szCs w:val="20"/>
          <w:color w:val="auto"/>
        </w:rPr>
      </w:pPr>
    </w:p>
    <w:p>
      <w:pPr>
        <w:ind w:left="700" w:right="200"/>
        <w:spacing w:after="0" w:line="298" w:lineRule="auto"/>
        <w:rPr>
          <w:sz w:val="20"/>
          <w:szCs w:val="20"/>
          <w:color w:val="auto"/>
        </w:rPr>
      </w:pPr>
      <w:r>
        <w:rPr>
          <w:rFonts w:ascii="Arial" w:cs="Arial" w:eastAsia="Arial" w:hAnsi="Arial"/>
          <w:sz w:val="16"/>
          <w:szCs w:val="16"/>
          <w:color w:val="auto"/>
        </w:rPr>
        <w:t>We are one of two principal technetium generator manufacturers in the United States and Canada. We are also the leading and most consistent U.S. manufacturer of LEU technetium generators. Governments and policy-makers are encouraging the increased use of technetium generators made with Moly derived from LEU rather than HEU, which may present greater proliferation and security risks. In the United States, nuclear imaging agent unit doses prepared with LEU technetium generators are reimbursed by Medicare in the hospital outpatient setting at a premium rate.</w:t>
      </w:r>
    </w:p>
    <w:p>
      <w:pPr>
        <w:spacing w:after="0" w:line="18" w:lineRule="exact"/>
        <w:rPr>
          <w:sz w:val="20"/>
          <w:szCs w:val="20"/>
          <w:color w:val="auto"/>
        </w:rPr>
      </w:pPr>
    </w:p>
    <w:p>
      <w:pPr>
        <w:jc w:val="both"/>
        <w:ind w:left="700" w:right="60"/>
        <w:spacing w:after="0" w:line="306" w:lineRule="auto"/>
        <w:rPr>
          <w:sz w:val="20"/>
          <w:szCs w:val="20"/>
          <w:color w:val="auto"/>
        </w:rPr>
      </w:pPr>
      <w:r>
        <w:rPr>
          <w:rFonts w:ascii="Arial" w:cs="Arial" w:eastAsia="Arial" w:hAnsi="Arial"/>
          <w:sz w:val="16"/>
          <w:szCs w:val="16"/>
          <w:color w:val="auto"/>
        </w:rPr>
        <w:t>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We estimate that in 2013, we had an approximately 40% share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740" w:firstLine="456"/>
        <w:spacing w:after="0" w:line="375" w:lineRule="auto"/>
        <w:rPr>
          <w:sz w:val="20"/>
          <w:szCs w:val="20"/>
          <w:color w:val="auto"/>
        </w:rPr>
      </w:pPr>
      <w:r>
        <w:rPr>
          <w:rFonts w:ascii="Arial" w:cs="Arial" w:eastAsia="Arial" w:hAnsi="Arial"/>
          <w:sz w:val="18"/>
          <w:szCs w:val="18"/>
          <w:color w:val="auto"/>
        </w:rPr>
        <w:t xml:space="preserve">generator sales in the United States. Certain TechneLite generator components currently have U.S. patent protection until 2029. </w:t>
      </w:r>
      <w:r>
        <w:rPr>
          <w:rFonts w:ascii="Arial" w:cs="Arial" w:eastAsia="Arial" w:hAnsi="Arial"/>
          <w:sz w:val="18"/>
          <w:szCs w:val="18"/>
          <w:b w:val="1"/>
          <w:bCs w:val="1"/>
          <w:i w:val="1"/>
          <w:iCs w:val="1"/>
          <w:color w:val="auto"/>
        </w:rPr>
        <w:t>Other Commercial Products</w:t>
      </w:r>
    </w:p>
    <w:p>
      <w:pPr>
        <w:spacing w:after="0" w:line="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market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80" w:hanging="206"/>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Xenon Xe 133 Gas </w:t>
      </w:r>
      <w:r>
        <w:rPr>
          <w:rFonts w:ascii="Arial" w:cs="Arial" w:eastAsia="Arial" w:hAnsi="Arial"/>
          <w:sz w:val="18"/>
          <w:szCs w:val="18"/>
          <w:color w:val="auto"/>
        </w:rPr>
        <w:t>is a radiopharmaceutical gas that is inhaled and used to assess pulmonary function and also to image blood flow. Our Xenon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a third party as part of the Moly production process and packaged by us. We are currently the leading provider of Xenon in the United States.</w:t>
      </w:r>
    </w:p>
    <w:p>
      <w:pPr>
        <w:spacing w:after="0" w:line="45" w:lineRule="exact"/>
        <w:rPr>
          <w:rFonts w:ascii="Arial" w:cs="Arial" w:eastAsia="Arial" w:hAnsi="Arial"/>
          <w:sz w:val="18"/>
          <w:szCs w:val="18"/>
          <w:color w:val="auto"/>
        </w:rPr>
      </w:pPr>
    </w:p>
    <w:p>
      <w:pPr>
        <w:ind w:left="660" w:right="320" w:hanging="206"/>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Cardiolite </w:t>
      </w:r>
      <w:r>
        <w:rPr>
          <w:rFonts w:ascii="Arial" w:cs="Arial" w:eastAsia="Arial" w:hAnsi="Arial"/>
          <w:sz w:val="18"/>
          <w:szCs w:val="18"/>
          <w:color w:val="auto"/>
        </w:rPr>
        <w:t>is an injectable, technetium-labeled imaging agent, also known by its generic name sestamibi, used with SPECT technology in MPI</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assess blood flow to the muscle of the heart. Since its launch in 1991, Cardiolite has become the best-selling radiopharmaceutical in history.</w:t>
      </w:r>
    </w:p>
    <w:p>
      <w:pPr>
        <w:spacing w:after="0" w:line="45"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technetium-labeled imaging agent used with SPECT technology to identify the area within the brain where blood flow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blocked or reduced due to stroke.</w:t>
      </w:r>
    </w:p>
    <w:p>
      <w:pPr>
        <w:spacing w:after="0" w:line="37"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and is manufactured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using cyclotron-based technology.</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Gallium Ga67 </w:t>
      </w:r>
      <w:r>
        <w:rPr>
          <w:rFonts w:ascii="Arial" w:cs="Arial" w:eastAsia="Arial" w:hAnsi="Arial"/>
          <w:sz w:val="18"/>
          <w:szCs w:val="18"/>
          <w:color w:val="auto"/>
        </w:rPr>
        <w:t>is an injectable radiopharmaceutical imaging agent used to detect certain infections and cancerous tumors, especially lymphoma, and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us using cyclotron technology.</w:t>
      </w:r>
    </w:p>
    <w:p>
      <w:pPr>
        <w:spacing w:after="0" w:line="37" w:lineRule="exact"/>
        <w:rPr>
          <w:rFonts w:ascii="Arial" w:cs="Arial" w:eastAsia="Arial" w:hAnsi="Arial"/>
          <w:sz w:val="18"/>
          <w:szCs w:val="18"/>
          <w:color w:val="auto"/>
        </w:rPr>
      </w:pPr>
    </w:p>
    <w:p>
      <w:pPr>
        <w:ind w:left="660" w:right="64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FDG.</w:t>
      </w:r>
    </w:p>
    <w:p>
      <w:pPr>
        <w:spacing w:after="0" w:line="37"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Quadramet</w:t>
      </w:r>
      <w:r>
        <w:rPr>
          <w:rFonts w:ascii="Arial" w:cs="Arial" w:eastAsia="Arial" w:hAnsi="Arial"/>
          <w:sz w:val="18"/>
          <w:szCs w:val="18"/>
          <w:color w:val="auto"/>
        </w:rPr>
        <w:t>, our only therapeutic product, is an injectable radiopharmaceutical used to treat severe bone pain associated with certain kinds of cancer, and</w:t>
      </w:r>
      <w:r>
        <w:rPr>
          <w:rFonts w:ascii="Arial" w:cs="Arial" w:eastAsia="Arial" w:hAnsi="Arial"/>
          <w:sz w:val="18"/>
          <w:szCs w:val="18"/>
          <w:i w:val="1"/>
          <w:iCs w:val="1"/>
          <w:color w:val="auto"/>
        </w:rPr>
        <w:t xml:space="preserve"> </w:t>
      </w:r>
      <w:r>
        <w:rPr>
          <w:rFonts w:ascii="Arial" w:cs="Arial" w:eastAsia="Arial" w:hAnsi="Arial"/>
          <w:sz w:val="18"/>
          <w:szCs w:val="18"/>
          <w:color w:val="auto"/>
        </w:rPr>
        <w:t>is manufactured by us. Previously, we served as a contract manufacturer of Samarium 153, the radioisotope used to prepare Quadramet. Effective December 13, 2013, we purchased the rights to Quadramet in the United States and now serve as the direct manufacturer and supplier of Quadramet in the United States.</w:t>
      </w:r>
    </w:p>
    <w:p>
      <w:pPr>
        <w:spacing w:after="0" w:line="48" w:lineRule="exact"/>
        <w:rPr>
          <w:rFonts w:ascii="Arial" w:cs="Arial" w:eastAsia="Arial" w:hAnsi="Arial"/>
          <w:sz w:val="18"/>
          <w:szCs w:val="18"/>
          <w:i w:val="1"/>
          <w:iCs w:val="1"/>
          <w:color w:val="auto"/>
        </w:rPr>
      </w:pPr>
    </w:p>
    <w:p>
      <w:pPr>
        <w:ind w:left="660" w:right="220" w:hanging="206"/>
        <w:spacing w:after="0" w:line="33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Ablavar </w:t>
      </w:r>
      <w:r>
        <w:rPr>
          <w:rFonts w:ascii="Arial" w:cs="Arial" w:eastAsia="Arial" w:hAnsi="Arial"/>
          <w:sz w:val="16"/>
          <w:szCs w:val="16"/>
          <w:color w:val="auto"/>
        </w:rPr>
        <w:t>is an injectable, gadolinium-based contrast agent used with MRA, a type of MRI scan, to image the iliac arteries that start at the aorta and go</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pelvis into the legs, in order to diagnose narrowing or blockage of these arteries in known or suspected peripheral vascular disease.</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the United States, we sell DEFINITY through our sales team of approximately 80 employees that call on healthcare providers in the echocardiography space, as well as group purchasing organizations and integrated delivery networks. Our radiopharmaceutical products are primarily distributed through over 350 radiopharmacies, the majority of which are controlled by or associated with Cardinal, UPPI, GE Healthcare and Triad.</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Canada, Puerto Rico and Australia, we own nine radiopharmacies and sell our radiopharmaceuticals, as well as others, directly to end users. In Europe, Asia Pacific and Latin America, we utilize distributor relationships to market, sell and distribute our products. We have entered into a partnership with Double-Crane Pharmaceutical Company to complete confirmatory clinical trials necessary for Chinese regulatory approval and to distribute DEFINITY in China. We believe that international markets, particularly China, represent significant growth opportunities for our products.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Agents in Development</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established a portfolio of three internally-discovered imaging agents in clinical and preclinical development, each of which we believe could represent a large market opportunity and has the potential to significantly enhance current imaging modalities and fulfill unmet diagnostic medical imaging needs. We are currently seeking strategic partners to pursue the further development of each of these agents, which include:</w:t>
      </w:r>
    </w:p>
    <w:p>
      <w:pPr>
        <w:spacing w:after="0" w:line="12" w:lineRule="exact"/>
        <w:rPr>
          <w:sz w:val="20"/>
          <w:szCs w:val="20"/>
          <w:color w:val="auto"/>
        </w:rPr>
      </w:pPr>
    </w:p>
    <w:p>
      <w:pPr>
        <w:ind w:left="660" w:right="60" w:hanging="206"/>
        <w:spacing w:after="0" w:line="287" w:lineRule="auto"/>
        <w:tabs>
          <w:tab w:leader="none" w:pos="660" w:val="left"/>
        </w:tabs>
        <w:numPr>
          <w:ilvl w:val="0"/>
          <w:numId w:val="67"/>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Flurpiridaz F 18—Myocardial Perfusion Imaging Agent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Flurpiridaz F 18 is a small molecule imaging agent radiolabeled with fluorine-18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for use in PET MPI to assess blood flow to the muscle of the heart. We believe that, in comparison to SPECT MPI, the current standard of care, PET MPI with flurpiridaz F 18 potentially provides higher image quality, increased diagnostic certainty, more accurate risk stratification and reduced patient radiation exposure. This agent could be particularly useful in difficult to image heart patients, including women and obese patients. In the first of two planned Phase 3 studies, flurpiridaz F 18 outperformed SPECT in a highly statistically significant manner in the co-primary endpoint of sensitivity (that is, its ability to identify disease) and in the secondary endpoints of image quality and diagnostic certainty. However, flurpiridaz F 18 did not meet its other co-primary endpoint of non-inferiority for specificity (that is, its ability to rule out disease). Consequently, we have initiated discussions about potential next steps in the flurpiridaz F 18 development process with the FDA. At the same time, we are seeking strategic partners to further develop and, if approved, commercialize flurpiridaz F 18. This compound currently has U.S. patent protection until 2028 before taking into account any potential regulatory extensions.</w:t>
      </w:r>
    </w:p>
    <w:p>
      <w:pPr>
        <w:spacing w:after="0" w:line="109" w:lineRule="exact"/>
        <w:rPr>
          <w:rFonts w:ascii="Arial" w:cs="Arial" w:eastAsia="Arial" w:hAnsi="Arial"/>
          <w:sz w:val="16"/>
          <w:szCs w:val="16"/>
          <w:i w:val="1"/>
          <w:iCs w:val="1"/>
          <w:color w:val="auto"/>
        </w:rPr>
      </w:pPr>
    </w:p>
    <w:p>
      <w:pPr>
        <w:ind w:left="660" w:right="180" w:hanging="206"/>
        <w:spacing w:after="0" w:line="255" w:lineRule="auto"/>
        <w:tabs>
          <w:tab w:leader="none" w:pos="660"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18F LMI 1195—Cardiac Neuronal Imaging Agent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18F LMI 1195 is a small molecule imaging agent also radiolabeled with fluorine-18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assess cardiac sympathetic nerve function with PET imaging. We believe that PET imaging with 18F LMI 1195 could allow for better identification of patients at risk of heart failure progression and fatal arrhythmias, which would better inform pharmaceutical therapy or implantable device use. This compound has completed a Phase 1 study and currently has U.S. patent protection until 2030 before taking into account any potential regulatory extensions.</w:t>
      </w:r>
    </w:p>
    <w:p>
      <w:pPr>
        <w:spacing w:after="0" w:line="48" w:lineRule="exact"/>
        <w:rPr>
          <w:rFonts w:ascii="Arial" w:cs="Arial" w:eastAsia="Arial" w:hAnsi="Arial"/>
          <w:sz w:val="18"/>
          <w:szCs w:val="18"/>
          <w:i w:val="1"/>
          <w:iCs w:val="1"/>
          <w:color w:val="auto"/>
        </w:rPr>
      </w:pPr>
    </w:p>
    <w:p>
      <w:pPr>
        <w:ind w:left="660" w:right="180" w:hanging="206"/>
        <w:spacing w:after="0" w:line="298" w:lineRule="auto"/>
        <w:tabs>
          <w:tab w:leader="none" w:pos="660" w:val="left"/>
        </w:tabs>
        <w:numPr>
          <w:ilvl w:val="0"/>
          <w:numId w:val="67"/>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LMI 1174—Vascular Remodeling Imaging Agent</w:t>
      </w:r>
      <w:r>
        <w:rPr>
          <w:rFonts w:ascii="Arial" w:cs="Arial" w:eastAsia="Arial" w:hAnsi="Arial"/>
          <w:sz w:val="16"/>
          <w:szCs w:val="16"/>
          <w:color w:val="auto"/>
        </w:rPr>
        <w:t>. LMI 1174 is a gadolinium-based MRI agent designed to identify elastin in the arterial walls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atherosclerotic plaques. We believe that this agent could allow for the minimally-invasive assessment of plaque location, burden and composition and, accordingly, could be used to risk stratify patients for potential vascular events, including heart attack or stroke. This compound is in late-stage preclinical studies and currently has U.S. patent protection until 2031 before taking into account any potential regulatory extensions.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 Medical Imaging Overview</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Medical imaging is commonly employed as a critical aid in the diagnosis of numerous medical conditions, including heart disease and cancer. Selection of treatment options and monitoring of disease progression are also facilitated by the use of imaging procedures. Diagnostic medical imaging procedures often employ imaging agents to highlight specific tissues and organs, or physiological or pathological processes. Imaging agents can be used in a range of imaging modalities, including x-ray, CT, ultrasound, SPECT, PET and MRI.</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Nuclear Imaging</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Nuclear imaging uses small amounts of radioactive materials, called radiopharmaceuticals, taken by injection, inhalation or orally to diagnose and treat disease. Radiopharmaceutical imaging agents consist of a radioisotope (such as technetium) paired with a molecular agent designed to localize in specific organs and tissues (such as Cardiolite and Neurolite), and are used in combination with imaging techniques for clinical diagnostic applications.</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Clinicians utilize specialized cameras, either SPECT or PET, designed to capture radiation emitted by the agent. Computers are then used to generate detailed images of the area of interest. The resulting images provide clinicians with important information on both the structure and function of the internal organ or tissue.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Echocardiography</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Echocardiography is a non-invasive test that uses sound waves to create moving images of the heart. These images allow an assessment of the heart’s size, shape and function. For example, echocardiography can be used to detect areas of the heart that are not functioning properly due to poor blood supply, as seen in patients with coronary artery disease. Echocardiography is considered to be one of the safest, most reliable and cost-effective ways to diagnose certain cardiac abnormalities, and it is the most widely used technique for non-invasive imaging of the heart. Echocardiography may, however, yield images of limited diagnostic value in certain situations due to signal attenuation, such as in women and patients who are obese or have lung disease. It is estimated that suboptimal image quality occurs in approximately 20% of all patients undergoing echocardiography in the United States. Uninterpretable images may lead to misdiagnosis or the need for additional, often unnecessary and costly tests. Use of contrast agents in echocardiography increases sensitivity (the ability to identify the disease) and specificity (the ability to rule out the disease), particularly in hard to image patients by improving the delineation of the edges of the heart wall. In 2013, according to a third party source, there were 28.3 million echocardiography procedures performed in the United States with a compound annual growth rate of 2.2% over the period 2007 through 2013. In the United States, from 2007 through 2013, contrast enhanced echocardiography procedures grew at a compound annual growth rate of 6.9% with 880,000 contrast enhanced echocardiography procedures performed in 2013, up from 589,000 in 2007.</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Imaging Agents Market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demand for imaging agents in developed and developing markets will continue to be driven by an aging and increasingly obese population, and bolstered by long-term initiatives focused on improving healthcare and the supporting infrastructure, with a particular emphasis on expanding access to rural areas and small towns and cities. According to a research report dated February 2012 released by GIA, the worldwide diagnostic imaging market is projected to reach $15.5 billion by 2015, reflecting a compound annual growth rate of 6.9% over the period from 2007 through 2015. The worldwide diagnostic imaging market can be analyzed on a major market basis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Global Diagnostic</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0"/>
              </w:rPr>
              <w:t>2015 Sales</w:t>
            </w:r>
          </w:p>
        </w:tc>
        <w:tc>
          <w:tcPr>
            <w:tcW w:w="6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CAGR</w:t>
            </w:r>
          </w:p>
        </w:tc>
      </w:tr>
      <w:tr>
        <w:trPr>
          <w:trHeight w:val="168"/>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2011 Sales</w:t>
            </w:r>
          </w:p>
        </w:tc>
        <w:tc>
          <w:tcPr>
            <w:tcW w:w="20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5"/>
              </w:rPr>
              <w:t>Imaging Market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Projections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(2007-2015)</w:t>
            </w:r>
          </w:p>
        </w:tc>
        <w:tc>
          <w:tcPr>
            <w:tcW w:w="260" w:type="dxa"/>
            <w:vAlign w:val="bottom"/>
          </w:tcPr>
          <w:p>
            <w:pPr>
              <w:spacing w:after="0"/>
              <w:rPr>
                <w:sz w:val="14"/>
                <w:szCs w:val="14"/>
                <w:color w:val="auto"/>
              </w:rPr>
            </w:pPr>
          </w:p>
        </w:tc>
      </w:tr>
      <w:tr>
        <w:trPr>
          <w:trHeight w:val="149"/>
        </w:trPr>
        <w:tc>
          <w:tcPr>
            <w:tcW w:w="460" w:type="dxa"/>
            <w:vAlign w:val="bottom"/>
            <w:tcBorders>
              <w:top w:val="single" w:sz="8" w:color="auto"/>
            </w:tcBorders>
          </w:tcPr>
          <w:p>
            <w:pPr>
              <w:spacing w:after="0"/>
              <w:rPr>
                <w:sz w:val="12"/>
                <w:szCs w:val="12"/>
                <w:color w:val="auto"/>
              </w:rPr>
            </w:pPr>
          </w:p>
        </w:tc>
        <w:tc>
          <w:tcPr>
            <w:tcW w:w="4460" w:type="dxa"/>
            <w:vAlign w:val="bottom"/>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2"/>
              </w:rPr>
              <w:t>(in billions)</w:t>
            </w:r>
          </w:p>
        </w:tc>
        <w:tc>
          <w:tcPr>
            <w:tcW w:w="6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(in billions)</w:t>
            </w:r>
          </w:p>
        </w:tc>
        <w:tc>
          <w:tcPr>
            <w:tcW w:w="6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$7.6</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$2.8</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24%</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$3.5</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2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r>
      <w:tr>
        <w:trPr>
          <w:trHeight w:val="228"/>
        </w:trPr>
        <w:tc>
          <w:tcPr>
            <w:tcW w:w="4920" w:type="dxa"/>
            <w:vAlign w:val="bottom"/>
            <w:gridSpan w:val="2"/>
          </w:tcPr>
          <w:p>
            <w:pPr>
              <w:spacing w:after="0"/>
              <w:rPr>
                <w:sz w:val="20"/>
                <w:szCs w:val="20"/>
                <w:color w:val="auto"/>
              </w:rPr>
            </w:pPr>
            <w:r>
              <w:rPr>
                <w:rFonts w:ascii="Arial" w:cs="Arial" w:eastAsia="Arial" w:hAnsi="Arial"/>
                <w:sz w:val="18"/>
                <w:szCs w:val="18"/>
                <w:color w:val="auto"/>
              </w:rPr>
              <w:t>Asia-Pacific (excluding Japan)</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5%</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$0.7</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6.6%</w:t>
            </w:r>
          </w:p>
        </w:tc>
      </w:tr>
      <w:tr>
        <w:trPr>
          <w:trHeight w:val="232"/>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$0.4</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Germany represents the largest individual market within the European imaging agents market, with an estimated 33.6% share of the European market for 2011.</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France represents the fastest growing imaging agent market within Europe and was estimated to grow at a compound annual growth rate of 8.8% during the period from 2009 through 2017.</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terms of specific imaging modalities, the worldwide market can be analyzed as between contrast agents and diagnostic radiopharmaceuticals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Imaging Modality</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Global Diagnostic</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2015 Sales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CAGR</w:t>
            </w:r>
          </w:p>
        </w:tc>
        <w:tc>
          <w:tcPr>
            <w:tcW w:w="0" w:type="dxa"/>
            <w:vAlign w:val="bottom"/>
          </w:tcPr>
          <w:p>
            <w:pPr>
              <w:spacing w:after="0"/>
              <w:rPr>
                <w:sz w:val="1"/>
                <w:szCs w:val="1"/>
                <w:color w:val="auto"/>
              </w:rPr>
            </w:pPr>
          </w:p>
        </w:tc>
      </w:tr>
      <w:tr>
        <w:trPr>
          <w:trHeight w:val="155"/>
        </w:trPr>
        <w:tc>
          <w:tcPr>
            <w:tcW w:w="402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14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2010 Sales</w:t>
            </w:r>
          </w:p>
        </w:tc>
        <w:tc>
          <w:tcPr>
            <w:tcW w:w="196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w w:val="95"/>
              </w:rPr>
              <w:t>Imaging Market</w:t>
            </w:r>
          </w:p>
        </w:tc>
        <w:tc>
          <w:tcPr>
            <w:tcW w:w="146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w w:val="81"/>
              </w:rPr>
              <w:t>Projections</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(2007-2015)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Borders>
              <w:top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5"/>
              </w:rPr>
              <w:t>(in billions)</w:t>
            </w:r>
          </w:p>
        </w:tc>
        <w:tc>
          <w:tcPr>
            <w:tcW w:w="8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2"/>
              </w:rPr>
              <w:t>(in billions)</w:t>
            </w:r>
          </w:p>
        </w:tc>
        <w:tc>
          <w:tcPr>
            <w:tcW w:w="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Contrast Agents*</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6.6</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Diagnostic Radiopharmaceuticals</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4.6</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41%</w:t>
            </w: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5220" w:hanging="5612"/>
        <w:spacing w:after="0" w:line="525" w:lineRule="auto"/>
        <w:tabs>
          <w:tab w:leader="none" w:pos="218"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imaging agents for echocardiography, MRI, CTA, CT and x-ray procedures. 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Heart disease is a key driver of growth in the market for diagnostic medical imaging procedures and agents. Heart disease is currently the leading cause of death for both women and men in the United States and worldwide. According to the AHA, an estimated 83.6 million American adults, greater than one in three, have one or more types of heart disease. The AHA also reports that the total number of inpatient cardiovascular operations and procedures increased 28%, from more than 5.9 million in 2000 to more than 7.5 million in 2010. The total direct and indirect cost of heart disease and stroke in the United States for 2010 was estimated to be $315.4 billion. Heart disease costs more than any other diagnostic group—and these costs are rising. Coronary artery disease alone costs the United States $108.9 billion each year. This total includes the cost of health care services, medications and lost productivity.</w:t>
      </w:r>
    </w:p>
    <w:p>
      <w:pPr>
        <w:spacing w:after="0" w:line="107"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Heart disease refers to a number of disease states, including coronary artery disease and structural defects of the heart. Coronary artery disease is the most common form of heart disease, with an estimated prevalence of approximately 6% in the United States. The clinical approach to the diagnosis of this condition varies among clinicians based on clinical presentation, test availability and physicians’ preferences. However, a typical diagnostic progression includes an electrocardiogram, followed by an echocardiogram and then a nuclear MPI study using either SPECT or PET. This diagnostic progression would typically be followed until the point at which coronary artery disease could be credibly identified or ruled out and prior to when more invasive procedures are</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considered. Some clinicians may also favor MRI or CTA to augment or replace a nuclear MPI study in the minimally invasive diagnostic progression. To evaluate structural defects of the heart, a typical diagnostic progression would start with an echocardiogram, followed by MRI, CT or CTA, again until that point at which a structural defect could be credibly identified or ruled out and an appropriate benefit/risk assessment for more invasive intervention can be made. These imaging methods are not mutually exclusive. Rather, they can provide complementary information, and physicians may select one or more modalities based on a variety of criteria, including the physician’s preference, available imaging equipment and overall clinical presentation. Our imaging agents and products are used in connection with diagnostic imaging for heart disease.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believe that our business model provides us with a strong platform to reach our strategic goal of providing cost-effective, clinically-beneficial diagnostic medical imaging agents and products that enable clinicians either to identify and characterize, or rule out, disease and consequently improve patient care. We believe our competitive strengths include:</w:t>
      </w:r>
    </w:p>
    <w:p>
      <w:pPr>
        <w:spacing w:after="0" w:line="46" w:lineRule="exact"/>
        <w:rPr>
          <w:sz w:val="20"/>
          <w:szCs w:val="20"/>
          <w:color w:val="auto"/>
        </w:rPr>
      </w:pPr>
    </w:p>
    <w:p>
      <w:pPr>
        <w:ind w:left="660" w:right="80" w:hanging="206"/>
        <w:spacing w:after="0" w:line="25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Position Across a Range of Imaging Modalities. </w:t>
      </w:r>
      <w:r>
        <w:rPr>
          <w:rFonts w:ascii="Arial" w:cs="Arial" w:eastAsia="Arial" w:hAnsi="Arial"/>
          <w:sz w:val="18"/>
          <w:szCs w:val="18"/>
          <w:color w:val="auto"/>
        </w:rPr>
        <w:t>We are a global leader in the diagnostic medical imaging industry with over 50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developing and bringing to market differentiated products critical to healthcare decision making, including radiopharmaceutical imaging agents, contrast imaging agents and other products. Our key brands include: DEFINITY, the leading echocardiology contrast imaging agent based on revenue and usage; and TechneLite, our technetium-based generator used by radiopharmacies to radiolabel technetium-based imaging agents, such as our own SPECT products Cardiolite and Neurolite. We also sell a broad portfolio of other commercial agents and products, diversified across a range of imaging modalities.</w:t>
      </w:r>
    </w:p>
    <w:p>
      <w:pPr>
        <w:spacing w:after="0" w:line="49" w:lineRule="exact"/>
        <w:rPr>
          <w:rFonts w:ascii="Arial" w:cs="Arial" w:eastAsia="Arial" w:hAnsi="Arial"/>
          <w:sz w:val="18"/>
          <w:szCs w:val="18"/>
          <w:color w:val="auto"/>
        </w:rPr>
      </w:pPr>
    </w:p>
    <w:p>
      <w:pPr>
        <w:ind w:left="660" w:right="40" w:hanging="206"/>
        <w:spacing w:after="0" w:line="294"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DEFINITY is a Uniquely-Positioned Growth Opportunity in the United States and Globally. </w:t>
      </w:r>
      <w:r>
        <w:rPr>
          <w:rFonts w:ascii="Arial" w:cs="Arial" w:eastAsia="Arial" w:hAnsi="Arial"/>
          <w:sz w:val="16"/>
          <w:szCs w:val="16"/>
          <w:color w:val="auto"/>
        </w:rPr>
        <w:t>We believe that DEFINITY will be a key driver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growth of our business, both in the United States and globally. In echocardiography procedures in which a contrast agent is used, we estimate that DEFINITY had approximately 75% share of these procedures in the United States in December 2013. Contrast penetration rates in echocardiography procedures have increased over the past six years, and we believe will continue to increase in the future as clinicians continue to adopt the use of contrast as an important tool to assist their clinical decision-making.</w:t>
      </w:r>
    </w:p>
    <w:p>
      <w:pPr>
        <w:spacing w:after="0" w:line="21" w:lineRule="exact"/>
        <w:rPr>
          <w:sz w:val="20"/>
          <w:szCs w:val="20"/>
          <w:color w:val="auto"/>
        </w:rPr>
      </w:pPr>
    </w:p>
    <w:p>
      <w:pPr>
        <w:ind w:left="700" w:right="160"/>
        <w:spacing w:after="0" w:line="306" w:lineRule="auto"/>
        <w:rPr>
          <w:sz w:val="20"/>
          <w:szCs w:val="20"/>
          <w:color w:val="auto"/>
        </w:rPr>
      </w:pPr>
      <w:r>
        <w:rPr>
          <w:rFonts w:ascii="Arial" w:cs="Arial" w:eastAsia="Arial" w:hAnsi="Arial"/>
          <w:sz w:val="16"/>
          <w:szCs w:val="16"/>
          <w:color w:val="auto"/>
        </w:rPr>
        <w:t>We are actively pursuing international growth opportunities, such as our partnership with Double-Crane Pharmaceutical Company in China. Upon regulatory approval, we plan to commercialize DEFINITY in China with Double-Crane Pharmaceutical, a large Chinese pharmaceutical company that has extensive experience with the China FDA. We will be pursuing abdominal (liver and kidney) and cardiac indications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
        <w:spacing w:after="0" w:line="290" w:lineRule="auto"/>
        <w:rPr>
          <w:sz w:val="20"/>
          <w:szCs w:val="20"/>
          <w:color w:val="auto"/>
        </w:rPr>
      </w:pPr>
      <w:r>
        <w:rPr>
          <w:rFonts w:ascii="Arial" w:cs="Arial" w:eastAsia="Arial" w:hAnsi="Arial"/>
          <w:sz w:val="16"/>
          <w:szCs w:val="16"/>
          <w:color w:val="auto"/>
        </w:rPr>
        <w:t>for DEFINITY in China. In 2010, there were an estimated 48 million liver, 35 million renal and 18 million cardiac ultrasound procedures performed in China. Of these procedures, approximately 350,000 of the liver and renal studies and approximately 117,000 of the cardiac studies were enhanced with contrast agents. Chronic liver disease is one of the most common chronic diseases in China and provides us with what we believe to be a significant opportunity for improvement in patient diagnosis and care. If the regulatory and required clinical trial processes in China are both timely and successful, we currently estimate the commercialization of DEFINITY in China could begin by 2017. We are also pursuing additional product registrations internationally to maximize the global potential of DEFINITY. We also believe our intellectual property for DEFINITY currently gives us patent or other market exclusivity protection in the United States until 2021 and outside of the United States until 2019.</w:t>
      </w:r>
    </w:p>
    <w:p>
      <w:pPr>
        <w:spacing w:after="0" w:line="24" w:lineRule="exact"/>
        <w:rPr>
          <w:sz w:val="20"/>
          <w:szCs w:val="20"/>
          <w:color w:val="auto"/>
        </w:rPr>
      </w:pPr>
    </w:p>
    <w:p>
      <w:pPr>
        <w:ind w:left="660" w:right="160" w:hanging="206"/>
        <w:spacing w:after="0" w:line="25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Complex Manufacturing and Regulatory Capabilities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expertise in the design, development and validation of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systems and processes that many of our radiopharmaceutical products require due to their limited half-lives, as well as our strong track record of on-time delivery and reputation as a high-quality, reliable provider, has enabled us to become a leader in the diagnostic medical imaging industry.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w:t>
      </w:r>
    </w:p>
    <w:p>
      <w:pPr>
        <w:spacing w:after="0" w:line="49" w:lineRule="exact"/>
        <w:rPr>
          <w:rFonts w:ascii="Arial" w:cs="Arial" w:eastAsia="Arial" w:hAnsi="Arial"/>
          <w:sz w:val="18"/>
          <w:szCs w:val="18"/>
          <w:color w:val="auto"/>
        </w:rPr>
      </w:pPr>
    </w:p>
    <w:p>
      <w:pPr>
        <w:ind w:left="660" w:right="40" w:hanging="206"/>
        <w:spacing w:after="0" w:line="287"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Supply Chain. </w:t>
      </w:r>
      <w:r>
        <w:rPr>
          <w:rFonts w:ascii="Arial" w:cs="Arial" w:eastAsia="Arial" w:hAnsi="Arial"/>
          <w:sz w:val="16"/>
          <w:szCs w:val="16"/>
          <w:color w:val="auto"/>
        </w:rPr>
        <w:t>We are establishing a strong and diversified supply chain for our key products. For TechneLite, we have a strong,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durable position in the technetium generator market because of our balanced and diversified Moly supply and our favorable access to Moly derived from LEU. We believe we have the most balanced and diversified Moly supply chain in the industry. We receive finished Moly from four of the five main processing sites in the world. These processing sites are, in turn, supplied by seven of the eight main Moly-producing reactors in the world. We are also the leading and most consistent manufacturer of LEU generators in North America, and we believe that in 2014, up to 40% of our Moly supply will be derived from LEU. In addition, we continue to assess opportunities to further diversify and strengthen our supply chain with non-HEU Moly-producing technologies. We believe we are well-positioned with our current supply partners to have a secure supply of Moly, including LEU Moly, when the NRU reactor in Canada ceases commercial operations in 2016. For DEFINITY, we have already successfully completed a technology transfer from BVL, our former manufacturing partner, to JHS. We are also now in the process of another technology transfer to Pharmalucence as an additional manufacturing partner for DEFINITY, which, when completed, will give us further diversification and redundancy in our DEFINITY supply.</w:t>
      </w:r>
    </w:p>
    <w:p>
      <w:pPr>
        <w:spacing w:after="0" w:line="28" w:lineRule="exact"/>
        <w:rPr>
          <w:rFonts w:ascii="Arial" w:cs="Arial" w:eastAsia="Arial" w:hAnsi="Arial"/>
          <w:sz w:val="16"/>
          <w:szCs w:val="16"/>
          <w:color w:val="auto"/>
        </w:rPr>
      </w:pPr>
    </w:p>
    <w:p>
      <w:pPr>
        <w:ind w:left="660" w:right="40" w:hanging="206"/>
        <w:spacing w:after="0" w:line="290"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Established Global Distribution Network and Experienced Direct Sales Force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established global distribution network including long-term relationships with Cardinal and UPPI, who together distributed an estimated 71% of SPECT doses sold by radiopharmacies in the United States in 2013. In the United States, our radiopharmaceuticals (including technetium generators) are primarily distributed through radiopharmacies, the majority of which are controlled by or associated with Cardinal, UPPI, GE Healthcare and Triad. In the United States, we sell DEFINITY through our sales team of approximately 80 employees, which we believe is the largest dedicated sales force in the industry serving the echocardiography market. The majority of our sales team has over a decade of experience selling diagnostic imaging agents. In Canada, Puerto Rico and Australia, we own radiopharmacies and sell directly to end users. In Europe, Asia Pacific and Latin America, we utilize distributor relationships to market, sell and distribute our products.</w:t>
      </w:r>
    </w:p>
    <w:p>
      <w:pPr>
        <w:spacing w:after="0" w:line="23" w:lineRule="exact"/>
        <w:rPr>
          <w:rFonts w:ascii="Arial" w:cs="Arial" w:eastAsia="Arial" w:hAnsi="Arial"/>
          <w:sz w:val="16"/>
          <w:szCs w:val="16"/>
          <w:color w:val="auto"/>
        </w:rPr>
      </w:pPr>
    </w:p>
    <w:p>
      <w:pPr>
        <w:jc w:val="both"/>
        <w:ind w:left="660" w:right="40" w:hanging="206"/>
        <w:spacing w:after="0" w:line="347" w:lineRule="auto"/>
        <w:tabs>
          <w:tab w:leader="none" w:pos="66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Strategic Activities. </w:t>
      </w:r>
      <w:r>
        <w:rPr>
          <w:rFonts w:ascii="Arial" w:cs="Arial" w:eastAsia="Arial" w:hAnsi="Arial"/>
          <w:sz w:val="15"/>
          <w:szCs w:val="15"/>
          <w:color w:val="auto"/>
        </w:rPr>
        <w:t>As a leader in the diagnostic medical imaging space with a portfolio of commercial products and agents in development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a range of imaging modalities, we routinely evaluate opportunities to strengthen our other product offerings, and leverage our core competencies.</w:t>
      </w:r>
    </w:p>
    <w:p>
      <w:pPr>
        <w:ind w:left="660" w:hanging="206"/>
        <w:spacing w:after="0" w:line="370" w:lineRule="auto"/>
        <w:tabs>
          <w:tab w:leader="none" w:pos="66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Experienced Management Team</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senior management team has an average of more than 25 years of healthcare industry experience and consists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industry leaders with significant expertise in product development, operations and commercialization. We believe that the depth and experience of our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60"/>
        <w:spacing w:after="0" w:line="268" w:lineRule="auto"/>
        <w:rPr>
          <w:sz w:val="20"/>
          <w:szCs w:val="20"/>
          <w:color w:val="auto"/>
        </w:rPr>
      </w:pPr>
      <w:r>
        <w:rPr>
          <w:rFonts w:ascii="Arial" w:cs="Arial" w:eastAsia="Arial" w:hAnsi="Arial"/>
          <w:sz w:val="18"/>
          <w:szCs w:val="18"/>
          <w:color w:val="auto"/>
        </w:rPr>
        <w:t>management team demonstrates our expertise within the diagnostic medical imaging industry and our ability to operate successfully in a highly regulated environment.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objective is to enhance our position as a global leader in developing, manufacturing, selling and distributing innovative diagnostic medical imaging agents and products. The key elements of this strategy are to:</w:t>
      </w:r>
    </w:p>
    <w:p>
      <w:pPr>
        <w:spacing w:after="0" w:line="37" w:lineRule="exact"/>
        <w:rPr>
          <w:sz w:val="20"/>
          <w:szCs w:val="20"/>
          <w:color w:val="auto"/>
        </w:rPr>
      </w:pPr>
    </w:p>
    <w:p>
      <w:pPr>
        <w:ind w:left="660" w:hanging="206"/>
        <w:spacing w:after="0" w:line="256" w:lineRule="auto"/>
        <w:tabs>
          <w:tab w:leader="none" w:pos="6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Continue to grow U.S. sales of our existing commercial products, which are diversified across a range of imaging modalities</w:t>
      </w:r>
      <w:r>
        <w:rPr>
          <w:rFonts w:ascii="Arial" w:cs="Arial" w:eastAsia="Arial" w:hAnsi="Arial"/>
          <w:sz w:val="18"/>
          <w:szCs w:val="18"/>
          <w:color w:val="auto"/>
        </w:rPr>
        <w:t>. We will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 the sales of our fastest growing and highest margin product, DEFINITY, through the growth of the appropriate use of contrast in echocardiography. As a strong, reliable and durable supplier of technetium generators, we expect to continue to grow our leading position in LEU generators. We will also focus on driving the growth of our other diagnostic imaging products.</w:t>
      </w:r>
    </w:p>
    <w:p>
      <w:pPr>
        <w:spacing w:after="0" w:line="48" w:lineRule="exact"/>
        <w:rPr>
          <w:rFonts w:ascii="Arial" w:cs="Arial" w:eastAsia="Arial" w:hAnsi="Arial"/>
          <w:sz w:val="18"/>
          <w:szCs w:val="18"/>
          <w:b w:val="1"/>
          <w:bCs w:val="1"/>
          <w:i w:val="1"/>
          <w:iCs w:val="1"/>
          <w:color w:val="auto"/>
        </w:rPr>
      </w:pPr>
    </w:p>
    <w:p>
      <w:pPr>
        <w:ind w:left="660" w:right="40" w:hanging="206"/>
        <w:spacing w:after="0" w:line="254" w:lineRule="auto"/>
        <w:tabs>
          <w:tab w:leader="none" w:pos="6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Enhance the position of our portfolio of commercial products in international markets, obtaining additional regulatory approvals where necessary. </w:t>
      </w:r>
      <w:r>
        <w:rPr>
          <w:rFonts w:ascii="Arial" w:cs="Arial" w:eastAsia="Arial" w:hAnsi="Arial"/>
          <w:sz w:val="18"/>
          <w:szCs w:val="18"/>
          <w:color w:val="auto"/>
        </w:rPr>
        <w:t>Through our development and commercialization arrangement with Double-Crane in China, once regulatory approval is obtained,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 to drive contrast adoption and DEFINITY sales for both abdominal (liver and kidney) and cardiac indications in one of the largest and most important markets in the world. We will also seek to enhance and expand our distribution relationships for DEFINITY and our other products with other national and regional partners. We will also pursue regulatory approvals and commercialization opportunities for DEFINITY and our other products in other important international markets.</w:t>
      </w:r>
    </w:p>
    <w:p>
      <w:pPr>
        <w:spacing w:after="0" w:line="49" w:lineRule="exact"/>
        <w:rPr>
          <w:rFonts w:ascii="Arial" w:cs="Arial" w:eastAsia="Arial" w:hAnsi="Arial"/>
          <w:sz w:val="18"/>
          <w:szCs w:val="18"/>
          <w:b w:val="1"/>
          <w:bCs w:val="1"/>
          <w:i w:val="1"/>
          <w:iCs w:val="1"/>
          <w:color w:val="auto"/>
        </w:rPr>
      </w:pPr>
    </w:p>
    <w:p>
      <w:pPr>
        <w:ind w:left="660" w:right="200" w:hanging="206"/>
        <w:spacing w:after="0" w:line="255"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strategic partnerships to further advance our agents in development to maximize their value in potentially large domestic and international markets. </w:t>
      </w:r>
      <w:r>
        <w:rPr>
          <w:rFonts w:ascii="Arial" w:cs="Arial" w:eastAsia="Arial" w:hAnsi="Arial"/>
          <w:sz w:val="18"/>
          <w:szCs w:val="18"/>
          <w:color w:val="auto"/>
        </w:rPr>
        <w:t>We are determining next steps for our flurpiridaz F 18 Phase 3 development program and are continuing to seek to partner the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possible commercialization of the agent in potentially large domestic and international markets. We will seek to partner the further development and possible commercialization of our two earlier stage agents in development, 18F LMI 1195 and LMI 1174, both of which represent potential large market opportunities.</w:t>
      </w:r>
    </w:p>
    <w:p>
      <w:pPr>
        <w:spacing w:after="0" w:line="48" w:lineRule="exact"/>
        <w:rPr>
          <w:rFonts w:ascii="Arial" w:cs="Arial" w:eastAsia="Arial" w:hAnsi="Arial"/>
          <w:sz w:val="18"/>
          <w:szCs w:val="18"/>
          <w:color w:val="auto"/>
        </w:rPr>
      </w:pPr>
    </w:p>
    <w:p>
      <w:pPr>
        <w:ind w:left="660" w:right="20" w:hanging="206"/>
        <w:spacing w:after="0" w:line="30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select strategic licenses or acquisitions to further strengthen and diversify our portfolios of commercial products while leveraging core competencies. </w:t>
      </w:r>
      <w:r>
        <w:rPr>
          <w:rFonts w:ascii="Arial" w:cs="Arial" w:eastAsia="Arial" w:hAnsi="Arial"/>
          <w:sz w:val="16"/>
          <w:szCs w:val="16"/>
          <w:color w:val="auto"/>
        </w:rPr>
        <w:t>We will continue to evaluate, and where appropriate pursue, select opportunities to strengthen and diversify our portfolio of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whether those opportunities are tuck-in acquisitions, commercial stage in-licensing transactions or transformative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portfolio of 10 commercial products is diversified across a range of imaging modalities. Our products include medical radiopharmaceuticals (including technetium generators) and contrast agents. Radiopharmaceuticals, or nuclear imaging agents, are radiolabeled compounds that are used by clinicians to perform nuclear imaging procedures, such as SPECT or PET. Technetium generators are used to prepare the radioactive Technetium (Tc99m) isotope that is combined with organ-localizing pharmaceuticals to create the most commonly used radiopharmaceuticals in diagnostic medicine. Contrast agents are typically non-radiolabeled compounds used by physicians to improve the clarity of the diagnostic image in diagnostic procedures such as echocardiograms or MRIs.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DEFINITY</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DEFINITY is the leading ultrasound contrast imaging agent based on revenue and usage and, in the United States, is indicated for use in patients with suboptimal echocardiograms. Numerous patient conditions can decrease the quality of images of the left ventricle, the primary pumping chamber of the heart. Of the nearly 28 million echocardiograms performed each year in the United States, a third party source estimates that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approximately 20%, or approximately six million echocardiograms, produce suboptimal images. The use of DEFINITY during echocardiography allows physicians to significantly improve their assessment of the function of the left ventricle.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DEFINITY is a clear, colorless, sterile liquid, which, upon activation in the Vialmix apparatus, a medical device specifically designed for DEFINITY, becomes a homogenous, opaque, milky white injectable suspension of perflutren-containing lipid microspheres. After activation and intravenous injection, DEFINITY improves the ultrasound delineation of the left ventricular endocardial border, or innermost layer of tissue that lines the chamber of the left ventricle. Better visualization of the ventricle wall allows clinicians to see wall motion abnormalities, namely that the heart muscle is not expanding and contracting in a normal, consistent and predictable way. We believe this allows clinicians to make more informed decisions about disease status. DEFINITY offers flexible dosing and administration through an IV bolus injection or continuous IV infusion. We believe DEFINITY’s synthetic lipid-cased coating gives the compound a distinct competitive advantage, because it provides a strong ultrasound signal without using human albumin.</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its launch in 2001, DEFINITY has been used in imaging procedures in approximately five million patients throughout the world. In 2013, DEFINITY was the leading ultrasound imaging agent based on revenue and usage, used by echocardiologists and sonographers. We estimate that DEFINITY had approximately 75% share of the market for contrast agents in the United States in December 2013. DEFINITY currently competes with Optison, a GE Healthcare product, as well as other non-echocardiography imaging modalities. DEFINITY and Optison both carry an FDA-required boxed warning, which has been modified over time, to notify physicians and patients about potentially serious safety concerns or risks posed by the products. See “Risk Factors—Ultrasound contrast agents may cause side effects which could limit our ability to sell DEFINITY.”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recently transferred our manufacturing of DEFINITY from BVL to JHS at its facility in Spokane, WA. See “—Manufacturing—BVL and Technology Transfer.”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DEFINITY is currently patent protected in the United States until 2021 and in numerous foreign jurisdictions with patent or regulatory protection until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2019. DEFINITY generated revenues of $78.1 million, $51.4 million and $68.5 million for the years ended December 31, 2013, 2012 and 2011,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DEFINITY represented approximately 28%, 18% and 19% of our revenues in 2013, 2012 and 2011, respectively.</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TechneLite</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TechneLite is a self-contained system or generator of Technetium (Tc99m), a radioactive isotope with a six hour half-life, used by radiopharmacies to prepare various nuclear imaging agents. Technetium results from the radioactive decay of Moly, itself a radioisotope with a 66-hour half-life produced in nuclear research reactors around the world from enriched uranium. The TechneLite generator is a little larger than a coffee can in size and the self-contained system houses a vertical glass column at its core that contains Moly. During our manufacturing process, Moly is added to the column within the generator where it is adsorbed onto alumina powder. The column is sterilized, enclosed in a lead shield and further sealed in a cylindrical plastic container, which is then immediately shipped to our radiopharmacy customers. Because the short half-lives of Moly and technetium, radiopharmacies typically purchase TechneLite generators on a weekly basis pursuant to standing orders.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technetium produced by our TechneLite generator is the medical radioisotope that can be attached to a number of imaging agents, including our own Cardiolite products and Neurolite, during the labeling process. To radiolabel a technetium-based radiopharmaceutical, a vial of sterile saline and a vacuum vial are each affixed to the top of a TechneLite generator. The sterile saline is pulled through the generator where it attracts technetium resulting from the degrading of Moly within the generator column. The technetium-containing radioactive saline is then pulled into the vacuum vial and subsequently combined by a radiopharmacist with the applicable imaging agent, and individual patient-specific radiolabeled imaging agent doses are then prepared. When administered, the imaging agent binds to specific tissues or organs for a period of time, enabling the technetium to illustrate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functional health of the imaged tissues or organs in a diagnostic image. Our ability to produce and market TechneLite is highly dependent on our supply of Moly. See “—Raw Materials and Supply Relationships—Molybdenum-99.”</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TechneLite is produced in thirteen sizes and is currently marketed in North America, Latin America and Australia, largely to radiopharmacies that prepare unit doses of radiopharmaceutical imaging agents and that ship these preparations directly to hospitals for administration to patients. In the United States, we have supply arrangements with significant radiopharmacy chains, including Cardinal, UPPI and GE Healthcare. We believe TechneLite has approximately 40% of the U.S. generator market share, competing primarily with technetium-based generators produced by Mallinckrodt. In Canada and Puerto Rico, we also supply TechneLite to our Company-owned radiopharmacies to prepare radiopharmaceutical imaging agent unit doses.</w:t>
      </w:r>
    </w:p>
    <w:p>
      <w:pPr>
        <w:spacing w:after="0" w:line="102"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Moly used in our TechneLite generators can be produced using targets made of either HEU or LEU. LEU consists of uranium that contains less than 20% of the uranium-235 isotope. HEU is often considered weapons grade material, with 20% or more of uranium-235. On January 2, 2013, President Obama signed into law the American Medical Isotopes Production Act of 2011, or the AMIPA, as part of the 2013 National Defense Authorization Act. The AMIPA encourages the domestic production of LEU Moly and provides for the eventual prohibition of the export of HEU from the United States. Although Medicare generally does not provide separate payment to hospitals for the use of diagnostic radiopharmaceuticals administered in an outpatient setting, since January 1, 2013, CMS, the federal agency responsible for administering the Medicare program, has provided an add-on payment under the hospital outpatient prospective payment system for every technetium diagnostic dose produced from non-HEU sourced Moly, to cover the marginal cost for radioisotopes produced from non-HEU sources. Our LEU TechneLite generator satisfies the new reimbursement requirements under the applicable CMS rules.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TechneLite has patent protection in the United States and various foreign countries on certain component technology currently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TechneLite generated revenues of $92.2 million, $114.2 million and $131.2 million for the years ended December 31, 2013, 2012 and 2011, respectively. TechneLite represented approximately 33%, 40% and 37% of revenues in 2013, 2012 and 2011,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Commercial Products</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100" w:hanging="206"/>
        <w:spacing w:after="0" w:line="306"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Xenon Xe 133 Gas </w:t>
      </w:r>
      <w:r>
        <w:rPr>
          <w:rFonts w:ascii="Arial" w:cs="Arial" w:eastAsia="Arial" w:hAnsi="Arial"/>
          <w:sz w:val="16"/>
          <w:szCs w:val="16"/>
          <w:color w:val="auto"/>
        </w:rPr>
        <w:t>is a radiopharmaceutical gas that is inhaled and used to assess pulmonary function and also to image blood flow. Our Xenon is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manufactured by a third party as part of the Moly production process and packaged by us. We are currently the leading provider of Xenon in the United States. In 2013, 2012 and 2011, Xenon Xe 133 Gas represented approximately 11%, 10% and 8%, respectively, of our revenues.</w:t>
      </w:r>
    </w:p>
    <w:p>
      <w:pPr>
        <w:spacing w:after="0" w:line="12" w:lineRule="exact"/>
        <w:rPr>
          <w:rFonts w:ascii="Arial" w:cs="Arial" w:eastAsia="Arial" w:hAnsi="Arial"/>
          <w:sz w:val="16"/>
          <w:szCs w:val="16"/>
          <w:color w:val="auto"/>
        </w:rPr>
      </w:pPr>
    </w:p>
    <w:p>
      <w:pPr>
        <w:ind w:left="660" w:right="20" w:hanging="206"/>
        <w:spacing w:after="0" w:line="306"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Cardiolite, </w:t>
      </w:r>
      <w:r>
        <w:rPr>
          <w:rFonts w:ascii="Arial" w:cs="Arial" w:eastAsia="Arial" w:hAnsi="Arial"/>
          <w:sz w:val="16"/>
          <w:szCs w:val="16"/>
          <w:color w:val="auto"/>
        </w:rPr>
        <w:t>also known by its generic name sestamibi, is an injectable, technetium-labeled imaging agent used in MPI procedures to assess blood flow to</w:t>
      </w:r>
      <w:r>
        <w:rPr>
          <w:rFonts w:ascii="Arial" w:cs="Arial" w:eastAsia="Arial" w:hAnsi="Arial"/>
          <w:sz w:val="16"/>
          <w:szCs w:val="16"/>
          <w:i w:val="1"/>
          <w:iCs w:val="1"/>
          <w:color w:val="auto"/>
        </w:rPr>
        <w:t xml:space="preserve"> </w:t>
      </w:r>
      <w:r>
        <w:rPr>
          <w:rFonts w:ascii="Arial" w:cs="Arial" w:eastAsia="Arial" w:hAnsi="Arial"/>
          <w:sz w:val="16"/>
          <w:szCs w:val="16"/>
          <w:color w:val="auto"/>
        </w:rPr>
        <w:t>the muscle of the heart using SPECT. Cardiolite was approved by the FDA in 1990 and its market exclusivity expired in July 2008. With the advent of generic competition in September 2008, we have faced significant pricing and unit volume pressures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98" w:lineRule="auto"/>
        <w:rPr>
          <w:sz w:val="20"/>
          <w:szCs w:val="20"/>
          <w:color w:val="auto"/>
        </w:rPr>
      </w:pPr>
      <w:r>
        <w:rPr>
          <w:rFonts w:ascii="Arial" w:cs="Arial" w:eastAsia="Arial" w:hAnsi="Arial"/>
          <w:sz w:val="16"/>
          <w:szCs w:val="16"/>
          <w:color w:val="auto"/>
        </w:rPr>
        <w:t>Cardiolite. We also sell Cardiolite in the form of a generic sestamibi at a lower price than branded Cardiolite. Since its launch in 1991, Cardiolite products have been used to image approximately 52 million patients in the United States. Cardiolite represented approximately 9%, 12% and 19% of our revenues in 2013, 2012 and 2011, respectively. Included in Cardiolite revenues are branded Cardiolite and generic sestamibi revenues, some of which we produce and some of which we procure from third parties from time to time.</w:t>
      </w:r>
    </w:p>
    <w:p>
      <w:pPr>
        <w:spacing w:after="0" w:line="18" w:lineRule="exact"/>
        <w:rPr>
          <w:sz w:val="20"/>
          <w:szCs w:val="20"/>
          <w:color w:val="auto"/>
        </w:rPr>
      </w:pPr>
    </w:p>
    <w:p>
      <w:pPr>
        <w:ind w:left="660" w:right="160" w:hanging="206"/>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technetium-labeled imaging agent used with SPECT technology to identify the area within the brain where blood flow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blocked or reduced due to stroke. We launched Neurolite in 1995. In 2013, 2012 and 2011, Neurolite represented approximately 2%, 2% and 3%, respectively, of our revenues.</w:t>
      </w:r>
    </w:p>
    <w:p>
      <w:pPr>
        <w:spacing w:after="0" w:line="45"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We have marketed Thallium</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1977 and manufacture the agent using cyclotron technology. In 2013, 2012 and 2011, Thallium represented approximately 1%, 2% and 2%, respectively, of our revenues.</w:t>
      </w:r>
    </w:p>
    <w:p>
      <w:pPr>
        <w:spacing w:after="0" w:line="45" w:lineRule="exact"/>
        <w:rPr>
          <w:rFonts w:ascii="Arial" w:cs="Arial" w:eastAsia="Arial" w:hAnsi="Arial"/>
          <w:sz w:val="18"/>
          <w:szCs w:val="18"/>
          <w:color w:val="auto"/>
        </w:rPr>
      </w:pPr>
    </w:p>
    <w:p>
      <w:pPr>
        <w:ind w:left="660" w:right="340" w:hanging="206"/>
        <w:spacing w:after="0" w:line="325"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Gallium Ga67, </w:t>
      </w:r>
      <w:r>
        <w:rPr>
          <w:rFonts w:ascii="Arial" w:cs="Arial" w:eastAsia="Arial" w:hAnsi="Arial"/>
          <w:sz w:val="16"/>
          <w:szCs w:val="16"/>
          <w:color w:val="auto"/>
        </w:rPr>
        <w:t>is an injectable radiopharmaceutical imaging agent used to detect certain infections and cancerous tumors, especially lymphoma. We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Gallium using cyclotron technology. In each of 2013, 2012 and 2011, Gallium represented approximately 2% of our revenues.</w:t>
      </w:r>
    </w:p>
    <w:p>
      <w:pPr>
        <w:spacing w:after="0" w:line="1" w:lineRule="exact"/>
        <w:rPr>
          <w:rFonts w:ascii="Arial" w:cs="Arial" w:eastAsia="Arial" w:hAnsi="Arial"/>
          <w:sz w:val="16"/>
          <w:szCs w:val="16"/>
          <w:color w:val="auto"/>
        </w:rPr>
      </w:pPr>
    </w:p>
    <w:p>
      <w:pPr>
        <w:ind w:left="660" w:right="60" w:hanging="206"/>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fluorine-18-radiolabeled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fludeoxyglucose F 18 injection, or FDG. In 2013, 2012 and 2011, Gludef represented approximately 3%, 2% and 2%, respectively, of our revenues.</w:t>
      </w:r>
    </w:p>
    <w:p>
      <w:pPr>
        <w:spacing w:after="0" w:line="45"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Quadramet, </w:t>
      </w:r>
      <w:r>
        <w:rPr>
          <w:rFonts w:ascii="Arial" w:cs="Arial" w:eastAsia="Arial" w:hAnsi="Arial"/>
          <w:sz w:val="16"/>
          <w:szCs w:val="16"/>
          <w:color w:val="auto"/>
        </w:rPr>
        <w:t>our only therapeutic product, is an injectable radiopharmaceutical used to treat severe bone pain associated with certain kinds of cancer.</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we served as a contract manufacturer of Samarium 153, the radioisotope used to prepare Quadramet. Effective December 13, 2013, we purchased the rights to Quadramet in the United States and now serve as the direct manufacturer and supplier of Quadramet in the United States. In each of 2013, 2012 and 2011, Samarium 153 represented approximately 2% of our revenues.</w:t>
      </w:r>
    </w:p>
    <w:p>
      <w:pPr>
        <w:spacing w:after="0" w:line="18" w:lineRule="exact"/>
        <w:rPr>
          <w:rFonts w:ascii="Arial" w:cs="Arial" w:eastAsia="Arial" w:hAnsi="Arial"/>
          <w:sz w:val="16"/>
          <w:szCs w:val="16"/>
          <w:color w:val="auto"/>
        </w:rPr>
      </w:pPr>
    </w:p>
    <w:p>
      <w:pPr>
        <w:ind w:left="660" w:right="260" w:hanging="206"/>
        <w:spacing w:after="0" w:line="335" w:lineRule="auto"/>
        <w:tabs>
          <w:tab w:leader="none" w:pos="660"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Ablavar </w:t>
      </w:r>
      <w:r>
        <w:rPr>
          <w:rFonts w:ascii="Arial" w:cs="Arial" w:eastAsia="Arial" w:hAnsi="Arial"/>
          <w:sz w:val="15"/>
          <w:szCs w:val="15"/>
          <w:color w:val="auto"/>
        </w:rPr>
        <w:t>is an injectable, gadolinium-based contrast agent used with MRA, a type of MRI scan, to image the iliac arteries that start at the aorta and go</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the pelvis into the legs, in order to diagnose narrowing or blockage of these arteries in known or suspected peripheral vascular disease. We launched Ablavar in January 2010. In 2013, 2012 and 2011, Ablavar represented approximately 0.9%, 0.9% and 0.5%, respectively, of our revenues.</w:t>
      </w:r>
    </w:p>
    <w:p>
      <w:pPr>
        <w:spacing w:after="0" w:line="7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Marketing and Sales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key market information for each of our commercial products:</w:t>
      </w:r>
    </w:p>
    <w:p>
      <w:pPr>
        <w:spacing w:after="0" w:line="153" w:lineRule="exact"/>
        <w:rPr>
          <w:sz w:val="20"/>
          <w:szCs w:val="20"/>
          <w:color w:val="auto"/>
        </w:rPr>
      </w:pPr>
    </w:p>
    <w:p>
      <w:pPr>
        <w:ind w:left="9140"/>
        <w:spacing w:after="0"/>
        <w:rPr>
          <w:sz w:val="20"/>
          <w:szCs w:val="20"/>
          <w:color w:val="auto"/>
        </w:rPr>
      </w:pPr>
      <w:r>
        <w:rPr>
          <w:rFonts w:ascii="Arial" w:cs="Arial" w:eastAsia="Arial" w:hAnsi="Arial"/>
          <w:sz w:val="12"/>
          <w:szCs w:val="12"/>
          <w:b w:val="1"/>
          <w:bCs w:val="1"/>
          <w:color w:val="auto"/>
        </w:rPr>
        <w:t>Regulatory Approval,</w:t>
      </w:r>
    </w:p>
    <w:p>
      <w:pPr>
        <w:sectPr>
          <w:pgSz w:w="11900" w:h="16838" w:orient="portrait"/>
          <w:cols w:equalWidth="0" w:num="1">
            <w:col w:w="11340"/>
          </w:cols>
          <w:pgMar w:left="240" w:top="459" w:right="319" w:bottom="1440" w:gutter="0" w:footer="0" w:header="0"/>
        </w:sectPr>
      </w:pPr>
    </w:p>
    <w:p>
      <w:pPr>
        <w:spacing w:after="0" w:line="2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Product</w:t>
            </w:r>
          </w:p>
        </w:tc>
        <w:tc>
          <w:tcPr>
            <w:tcW w:w="166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2013 Sales</w:t>
            </w:r>
          </w:p>
        </w:tc>
      </w:tr>
      <w:tr>
        <w:trPr>
          <w:trHeight w:val="168"/>
        </w:trPr>
        <w:tc>
          <w:tcPr>
            <w:tcW w:w="500" w:type="dxa"/>
            <w:vAlign w:val="bottom"/>
            <w:tcBorders>
              <w:top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(in millions)</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12190" cy="3517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12190" cy="351790"/>
                    </a:xfrm>
                    <a:prstGeom prst="rect">
                      <a:avLst/>
                    </a:prstGeom>
                    <a:noFill/>
                  </pic:spPr>
                </pic:pic>
              </a:graphicData>
            </a:graphic>
          </wp:anchor>
        </w:drawing>
      </w:r>
    </w:p>
    <w:p>
      <w:pPr>
        <w:spacing w:after="0" w:line="27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$78.1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$92.2</w:t>
      </w:r>
    </w:p>
    <w:p>
      <w:pPr>
        <w:spacing w:after="0" w:line="200" w:lineRule="exact"/>
        <w:rPr>
          <w:sz w:val="20"/>
          <w:szCs w:val="20"/>
          <w:color w:val="auto"/>
        </w:rPr>
      </w:pPr>
    </w:p>
    <w:p>
      <w:pPr>
        <w:spacing w:after="0" w:line="22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157605"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5760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857885"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8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97790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779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00075"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582930" cy="420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54380"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5438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4"/>
          <w:szCs w:val="14"/>
          <w:b w:val="1"/>
          <w:bCs w:val="1"/>
          <w:u w:val="single" w:color="auto"/>
          <w:color w:val="auto"/>
        </w:rPr>
        <w:t>Currently Marketed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New Zealand,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Mexico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Caribbean Islands, Colombia,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 Rica, Taiwan</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United States, Taiwan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 Canada, Certain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 countries(2), Brazil, Costa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Rica, Israel, Japan, South Korea,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Lebanon, Mexico, Taiwan, Thailand, Japan,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Zealand</w:t>
      </w:r>
    </w:p>
    <w:p>
      <w:pPr>
        <w:spacing w:after="0" w:line="12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United States, Canada, Japan, Colombia, Costa Rica, Hong Kong, Lebanon, Mexico, Philippines, Taiwan, Thailand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South Korea,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Pakistan, Panama, Taiwan</w:t>
      </w:r>
    </w:p>
    <w:p>
      <w:pPr>
        <w:spacing w:after="0" w:line="124" w:lineRule="exact"/>
        <w:rPr>
          <w:sz w:val="20"/>
          <w:szCs w:val="20"/>
          <w:color w:val="auto"/>
        </w:rPr>
      </w:pPr>
    </w:p>
    <w:p>
      <w:pPr>
        <w:jc w:val="center"/>
        <w:ind w:left="440"/>
        <w:spacing w:after="0" w:line="256" w:lineRule="auto"/>
        <w:rPr>
          <w:sz w:val="20"/>
          <w:szCs w:val="20"/>
          <w:color w:val="auto"/>
        </w:rPr>
      </w:pPr>
      <w:r>
        <w:rPr>
          <w:rFonts w:ascii="Arial" w:cs="Arial" w:eastAsia="Arial" w:hAnsi="Arial"/>
          <w:sz w:val="18"/>
          <w:szCs w:val="18"/>
          <w:color w:val="auto"/>
        </w:rPr>
        <w:t>United States, Canada, Australia, Colombia, Costa Rica, South Korea, Panama, Taiwan, New Zealand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but Not Currently Marketed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-7620</wp:posOffset>
            </wp:positionV>
            <wp:extent cx="11061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EU, Israel, India, South Korea, Singapore(1)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Korea, Mexico, Panama</w:t>
      </w: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Mexico, New Zealand, Australia, Panama</w:t>
      </w:r>
    </w:p>
    <w:p>
      <w:pPr>
        <w:spacing w:after="0" w:line="200" w:lineRule="exact"/>
        <w:rPr>
          <w:sz w:val="20"/>
          <w:szCs w:val="20"/>
          <w:color w:val="auto"/>
        </w:rPr>
      </w:pPr>
    </w:p>
    <w:p>
      <w:pPr>
        <w:spacing w:after="0" w:line="264" w:lineRule="exact"/>
        <w:rPr>
          <w:sz w:val="20"/>
          <w:szCs w:val="20"/>
          <w:color w:val="auto"/>
        </w:rPr>
      </w:pPr>
    </w:p>
    <w:p>
      <w:pPr>
        <w:jc w:val="center"/>
        <w:ind w:right="20"/>
        <w:spacing w:after="0" w:line="306" w:lineRule="auto"/>
        <w:rPr>
          <w:sz w:val="20"/>
          <w:szCs w:val="20"/>
          <w:color w:val="auto"/>
        </w:rPr>
      </w:pPr>
      <w:r>
        <w:rPr>
          <w:rFonts w:ascii="Arial" w:cs="Arial" w:eastAsia="Arial" w:hAnsi="Arial"/>
          <w:sz w:val="16"/>
          <w:szCs w:val="16"/>
          <w:color w:val="auto"/>
        </w:rPr>
        <w:t>South Africa, India, Colombia, Denmark, Egypt, Hong Kong, Kuwait, Malta, Panama, Philippines, Slovenia, Thailand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South Korea,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Zealand(3)</w:t>
      </w: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Colombia, Mexico, New Zealand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Mexico</w:t>
      </w:r>
    </w:p>
    <w:p>
      <w:pPr>
        <w:spacing w:after="0" w:line="522" w:lineRule="exact"/>
        <w:rPr>
          <w:sz w:val="20"/>
          <w:szCs w:val="20"/>
          <w:color w:val="auto"/>
        </w:rPr>
      </w:pPr>
    </w:p>
    <w:p>
      <w:pPr>
        <w:sectPr>
          <w:pgSz w:w="11900" w:h="16838" w:orient="portrait"/>
          <w:cols w:equalWidth="0" w:num="3">
            <w:col w:w="3920" w:space="580"/>
            <w:col w:w="3480" w:space="220"/>
            <w:col w:w="3140"/>
          </w:cols>
          <w:pgMar w:left="240" w:top="459" w:right="319" w:bottom="1440" w:gutter="0" w:footer="0" w:header="0"/>
          <w:type w:val="continuous"/>
        </w:sectPr>
      </w:pPr>
    </w:p>
    <w:tbl>
      <w:tblPr>
        <w:tblLayout w:type="fixed"/>
        <w:tblInd w:w="3420" w:type="dxa"/>
        <w:tblCellMar>
          <w:top w:w="0" w:type="dxa"/>
          <w:left w:w="0" w:type="dxa"/>
          <w:bottom w:w="0" w:type="dxa"/>
          <w:right w:w="0" w:type="dxa"/>
        </w:tblCellMar>
      </w:tblPr>
      <w:tr>
        <w:trPr>
          <w:trHeight w:val="222"/>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$7.6</w:t>
            </w:r>
          </w:p>
        </w:tc>
        <w:tc>
          <w:tcPr>
            <w:tcW w:w="3640" w:type="dxa"/>
            <w:vAlign w:val="bottom"/>
          </w:tcPr>
          <w:p>
            <w:pPr>
              <w:jc w:val="center"/>
              <w:ind w:right="272"/>
              <w:spacing w:after="0"/>
              <w:rPr>
                <w:sz w:val="20"/>
                <w:szCs w:val="20"/>
                <w:color w:val="auto"/>
              </w:rPr>
            </w:pPr>
            <w:r>
              <w:rPr>
                <w:rFonts w:ascii="Arial" w:cs="Arial" w:eastAsia="Arial" w:hAnsi="Arial"/>
                <w:sz w:val="18"/>
                <w:szCs w:val="18"/>
                <w:color w:val="auto"/>
                <w:w w:val="86"/>
              </w:rPr>
              <w:t>Puerto Rico, Canada</w:t>
            </w:r>
          </w:p>
        </w:tc>
        <w:tc>
          <w:tcPr>
            <w:tcW w:w="1840" w:type="dxa"/>
            <w:vAlign w:val="bottom"/>
          </w:tcPr>
          <w:p>
            <w:pPr>
              <w:jc w:val="center"/>
              <w:ind w:left="1132"/>
              <w:spacing w:after="0"/>
              <w:rPr>
                <w:sz w:val="20"/>
                <w:szCs w:val="20"/>
                <w:color w:val="auto"/>
              </w:rPr>
            </w:pPr>
            <w:r>
              <w:rPr>
                <w:rFonts w:ascii="Arial" w:cs="Arial" w:eastAsia="Arial" w:hAnsi="Arial"/>
                <w:sz w:val="18"/>
                <w:szCs w:val="18"/>
                <w:color w:val="auto"/>
                <w:w w:val="88"/>
              </w:rPr>
              <w:t>None</w:t>
            </w:r>
          </w:p>
        </w:tc>
      </w:tr>
      <w:tr>
        <w:trPr>
          <w:trHeight w:val="473"/>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$6.5</w:t>
            </w:r>
          </w:p>
        </w:tc>
        <w:tc>
          <w:tcPr>
            <w:tcW w:w="3640" w:type="dxa"/>
            <w:vAlign w:val="bottom"/>
          </w:tcPr>
          <w:p>
            <w:pPr>
              <w:jc w:val="center"/>
              <w:ind w:right="252"/>
              <w:spacing w:after="0"/>
              <w:rPr>
                <w:sz w:val="20"/>
                <w:szCs w:val="20"/>
                <w:color w:val="auto"/>
              </w:rPr>
            </w:pPr>
            <w:r>
              <w:rPr>
                <w:rFonts w:ascii="Arial" w:cs="Arial" w:eastAsia="Arial" w:hAnsi="Arial"/>
                <w:sz w:val="18"/>
                <w:szCs w:val="18"/>
                <w:color w:val="auto"/>
                <w:w w:val="86"/>
              </w:rPr>
              <w:t>United States</w:t>
            </w:r>
          </w:p>
        </w:tc>
        <w:tc>
          <w:tcPr>
            <w:tcW w:w="1840" w:type="dxa"/>
            <w:vAlign w:val="bottom"/>
          </w:tcPr>
          <w:p>
            <w:pPr>
              <w:jc w:val="center"/>
              <w:ind w:left="1132"/>
              <w:spacing w:after="0"/>
              <w:rPr>
                <w:sz w:val="20"/>
                <w:szCs w:val="20"/>
                <w:color w:val="auto"/>
              </w:rPr>
            </w:pPr>
            <w:r>
              <w:rPr>
                <w:rFonts w:ascii="Arial" w:cs="Arial" w:eastAsia="Arial" w:hAnsi="Arial"/>
                <w:sz w:val="18"/>
                <w:szCs w:val="18"/>
                <w:color w:val="auto"/>
                <w:w w:val="88"/>
              </w:rPr>
              <w:t>None</w:t>
            </w:r>
          </w:p>
        </w:tc>
      </w:tr>
      <w:tr>
        <w:trPr>
          <w:trHeight w:val="500"/>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$2.5</w:t>
            </w:r>
          </w:p>
        </w:tc>
        <w:tc>
          <w:tcPr>
            <w:tcW w:w="3640" w:type="dxa"/>
            <w:vAlign w:val="bottom"/>
          </w:tcPr>
          <w:p>
            <w:pPr>
              <w:jc w:val="center"/>
              <w:ind w:right="272"/>
              <w:spacing w:after="0"/>
              <w:rPr>
                <w:sz w:val="20"/>
                <w:szCs w:val="20"/>
                <w:color w:val="auto"/>
              </w:rPr>
            </w:pPr>
            <w:r>
              <w:rPr>
                <w:rFonts w:ascii="Arial" w:cs="Arial" w:eastAsia="Arial" w:hAnsi="Arial"/>
                <w:sz w:val="18"/>
                <w:szCs w:val="18"/>
                <w:color w:val="auto"/>
                <w:w w:val="86"/>
              </w:rPr>
              <w:t>United States, Canada</w:t>
            </w:r>
          </w:p>
        </w:tc>
        <w:tc>
          <w:tcPr>
            <w:tcW w:w="1840" w:type="dxa"/>
            <w:vAlign w:val="bottom"/>
          </w:tcPr>
          <w:p>
            <w:pPr>
              <w:jc w:val="center"/>
              <w:ind w:left="1112"/>
              <w:spacing w:after="0"/>
              <w:rPr>
                <w:sz w:val="20"/>
                <w:szCs w:val="20"/>
                <w:color w:val="auto"/>
              </w:rPr>
            </w:pPr>
            <w:r>
              <w:rPr>
                <w:rFonts w:ascii="Arial" w:cs="Arial" w:eastAsia="Arial" w:hAnsi="Arial"/>
                <w:sz w:val="18"/>
                <w:szCs w:val="18"/>
                <w:color w:val="auto"/>
                <w:w w:val="91"/>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-504190</wp:posOffset>
            </wp:positionV>
            <wp:extent cx="1132205"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3220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917575" cy="257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17575" cy="257175"/>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we have applied for regulatory approval in China, and JHS is pending approval in India and South Korea.</w:t>
      </w:r>
    </w:p>
    <w:p>
      <w:pPr>
        <w:spacing w:after="0" w:line="76"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Cardiolite is currently marketed in Austria, Belgium, Finland, France, Germany, Italy, Luxembourg, Netherlands, Norway, Spain, Sweden and the United Kingdom.</w:t>
      </w:r>
    </w:p>
    <w:p>
      <w:pPr>
        <w:spacing w:after="0" w:line="37"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JHS has regulatory approval pending for Neurolite in Austria, Belgium, Czech Republic, Finland, France, Germany, Italy, Norway, Slovenia, Spain and Sweden.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United States, we sell DEFINITY through our sales team of approximately 80 employees that call on healthcare providers in the echocardiography space, as well as group purchasing organizations and integrated delivery networks. In 2013, we transitioned the sales and marketing efforts for Ablavar from our sales team to our customer service team, in order to allow our sales team to focus exclusively on driving our DEFINITY sales growth. For the year ended December 31, 2013, DEFINITY sales represented approximately 28% of our revenues.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radiopharmaceutical products are sold in the United States through a small nuclear products sales team, primarily to radiopharmacies. We sell a majority of our radiopharmaceutical products in the United States to radiopharmacies that are controlled by or associated with Cardinal, UPPI and GE Healthcare. Our contractual distribution arrangements with these radiopharmacy groups are as follows:</w:t>
      </w:r>
    </w:p>
    <w:p>
      <w:pPr>
        <w:spacing w:after="0" w:line="46" w:lineRule="exact"/>
        <w:rPr>
          <w:sz w:val="20"/>
          <w:szCs w:val="20"/>
          <w:color w:val="auto"/>
        </w:rPr>
      </w:pPr>
    </w:p>
    <w:p>
      <w:pPr>
        <w:ind w:left="660" w:right="60" w:hanging="206"/>
        <w:spacing w:after="0" w:line="288"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Cardinal maintains approximately 135 radiopharmacies that are typically located in large, densely populated urban areas in the United States. We estimate that Cardinal’s radiopharmacies distributed approximately 45% of the aggregate U.S. SPECT doses sold in the first half of 2013 (the latest information currently available to us). We currently have two agreements with Cardinal, one for TechneLite generators, Gallium, Xenon, Thallium and Neurolite (the TechneLite Agreement), and the other for Cardiolite products (the Cardiolite Agreement), both of which require Cardinal to purchase minimum amounts of each of the products from us. The agreements contain provisions allowing for early termination by either party. The TechneLite Agreement allows for termination upon the occurrence of specified events, including a material breach by either party and force majeure events. The Cardiolite Agreement allows for termination upon the occurrence of specified events, including a material breach by either party, Cardinal’s termination of its business operations in the nuclear medicine industry and force majeure events. The TechneLite and Cardiolite agreements both expire on December 31, 2014.</w:t>
      </w:r>
    </w:p>
    <w:p>
      <w:pPr>
        <w:spacing w:after="0" w:line="25" w:lineRule="exact"/>
        <w:rPr>
          <w:rFonts w:ascii="Arial" w:cs="Arial" w:eastAsia="Arial" w:hAnsi="Arial"/>
          <w:sz w:val="16"/>
          <w:szCs w:val="16"/>
          <w:color w:val="auto"/>
        </w:rPr>
      </w:pPr>
    </w:p>
    <w:p>
      <w:pPr>
        <w:ind w:left="660" w:hanging="206"/>
        <w:spacing w:after="0" w:line="290"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UPPI is a cooperative purchasing group (roughly analogous to a group purchasing organization) of over 80 independently owned or smaller chain radiopharmacies located in the United States. UPPI’s radiopharmacies are typically broadly dispersed geographically, with some urban presence and a substantial number of radiopharmacies located in suburban and rural areas of the country. We estimate that these independent radiopharmacies, together with an additional 41 unofficial, independent radiopharmacies, distributed more than 25% of the aggregate U.S. SPECT doses sold in the first half of 2013. We currently have an agreement with UPPI for the distribution of both Cardiolite and TechneLite products to radiopharmacies or families of radiopharmacies within the UPPI cooperative purchasing group. The agreement contains specified pricing levels based upon specified purchase amounts for UPPI. We are entitled to terminate the UPPI agreement upon 60 days’ written notice. The UPPI agreement expires on December 31, 2016.</w:t>
      </w:r>
    </w:p>
    <w:p>
      <w:pPr>
        <w:spacing w:after="0" w:line="23" w:lineRule="exact"/>
        <w:rPr>
          <w:rFonts w:ascii="Arial" w:cs="Arial" w:eastAsia="Arial" w:hAnsi="Arial"/>
          <w:sz w:val="16"/>
          <w:szCs w:val="16"/>
          <w:color w:val="auto"/>
        </w:rPr>
      </w:pPr>
    </w:p>
    <w:p>
      <w:pPr>
        <w:ind w:left="660" w:right="60" w:hanging="206"/>
        <w:spacing w:after="0" w:line="289"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GE Healthcare maintains 31 radiopharmacies in the United States that purchase our TechneLite generators. These radiopharmacies primarily distribute GE Healthcare’s Myoview, a technetium-labeled MPI agent. We estimate that GE Healthcare distributed approximately 11% of the aggregate U.S. SPECT doses sold in the first half of 2013. We currently have one agreement with GE Healthcare for the distribution of TechneLite and other products. The agreement provides that GE Healthcare will purchase a minimum percentage of TechneLite generators as well as certain other products in the United States or Canada from us. Our agreement, which expires on December 31, 2017, may be terminated by either party on (i) two years’ written notice relating to TechneLite on and after December 31, 2013 and (ii) six months’ written notice relating to the other products. Our agreement also allows for termination upon the occurrence of specified events including a material breach by either party, bankruptcy by either party and force majeure events.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the distribution arrangements for our radiopharmaceutical products described above, we also sell certain of our radiopharmaceutical products to Triad, independent radiopharmacies and directly to hospitals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and clinics that maintain in-house radiopharmaceutical capabilities and operations. In the latter case, this represents a small percentage of overall sales because the majority of hospitals and clinics do not maintain these in-house capabilities.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Europe, Asia Pacific and Latin America, we utilize third party distributor relationships to market, sell and distribute our products, either on a country-by-country basis or on a multicountry regional basis. In October 2013, we entered into a new supply and distribution agreement for Cardiolite and Neurolite in certain European countries with Mallinckrodt AG. In March 2012, we entered into a new development and distribution arrangement for DEFINITY in China, Hong Kong S.A.R. and Macau S.A.R. with Double-Crane. Double-Crane is currently pursuing the Chinese regulatory approval required to commence the necessary confirmatory clinical trials. There are three milestones in the regulatory approval process to commercialize DEFINITY in China:</w:t>
      </w:r>
    </w:p>
    <w:p>
      <w:pPr>
        <w:spacing w:after="0" w:line="21" w:lineRule="exact"/>
        <w:rPr>
          <w:sz w:val="20"/>
          <w:szCs w:val="20"/>
          <w:color w:val="auto"/>
        </w:rPr>
      </w:pPr>
    </w:p>
    <w:p>
      <w:pPr>
        <w:ind w:left="660" w:right="16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First, submission of a Clinical Trial Application which seeks Import Drug License approval. Double-Crane submitted the Clinical Trial Application to the China FDA, or CFDA, in June 2013. The CFDA accepted the Clinical Trial Application for review in July 2013.</w:t>
      </w:r>
    </w:p>
    <w:p>
      <w:pPr>
        <w:spacing w:after="0" w:line="37"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Second, approval of the Clinical Trial Application, at which point Double-Crane would conduct two small confirmatory clinical trials—one for abdominal (liver and kidney) and one for cardiac.</w:t>
      </w:r>
    </w:p>
    <w:p>
      <w:pPr>
        <w:spacing w:after="0" w:line="37" w:lineRule="exact"/>
        <w:rPr>
          <w:rFonts w:ascii="Arial" w:cs="Arial" w:eastAsia="Arial" w:hAnsi="Arial"/>
          <w:sz w:val="18"/>
          <w:szCs w:val="18"/>
          <w:color w:val="auto"/>
        </w:rPr>
      </w:pPr>
    </w:p>
    <w:p>
      <w:pPr>
        <w:ind w:left="660" w:right="128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Third, approval of the Import Drug License. If the regulatory and clinical trial processes are both successful, we currently estimate the commercialization of DEFINITY in China could begin in 2016 or 2017.</w:t>
      </w:r>
    </w:p>
    <w:p>
      <w:pPr>
        <w:spacing w:after="0" w:line="118"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We believe that international markets, particularly China, represent significant growth opportunities for our products. The Mallinckrodt and Double-Crane distribution agreements did not have a significant impact on our revenue during 2013.</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sell our products (and others) directly to end users through the five radiopharmacies we own in Canada, the two radiopharmacies we own in Australia and the two radiopharmacies we own in Puerto Rico. We also maintain our own direct sales forces in these markets so we can control the marketing, distribution and sale of our imaging agents in these regions.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year ended December 31, 2013, our largest customers were Cardinal, GE Healthcare and UPPI, accounting for approximately 19%, 10%, and 10%, respectively, of our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are important factors that distinguish us from our competitors.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that are more diversified than we are and that have substantial financial, manufacturing, sales and marketing, distribution and other resources. These competitors include Mallinckrodt, GE Healthcare, Bayer Schering Pharma AG, or Bayer, Bracco Diagnostics Inc., or Bracco, and DRAXIS Specialty Pharmaceuticals Inc. (an affiliate of JHS), or Draxis, as well as other competitors. We cannot anticipate their competitive actions, such as price reductions on products that are comparable to our own, development of new products that are more cost-effective or have superior performance than our current products or the introduction of generic versions after our proprietary products lose their current patent protection. Our current or future products could be rendered obsolete or uneconomical as a result of this competition.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Generic competition has substantially eroded our market share for Cardiolite, beginning in September 2008 when the first generic product was launched. We are currently aware of four separate, third party generic offerings of sestamibi. We also sell our own generic version of sestamibi. See “Risk Factors—Risks Relating to Our Business and Industry—Generic competition has significantly eroded our market share of the MPI segment for Cardiolite products and will continue to do so.”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Supply Relationships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Our most important and widely used raw material is Moly. For the year ended December 31, 2013, our largest supplier of raw materials and supplies was Nordion, accounting for approximately 19% of our total purchases.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Molybdenum-99</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TechneLite, Cardiolite and Neurolite products all rely on Moly, the radioisotope which is produced by bombarding Uranium-235 with neutrons in research reactors. Moly is the most common radioisotope used for medical diagnostic imaging purposes. With a 66-hour half-life, Moly degrades into technetium, another radioisotope with a half-life of six hours that is the isotope that is attached to radiopharmaceuticals, including our own Cardiolite and Neurolite, during the labeling process.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purchase finished Moly from four of the five main processing sites in the world, namely, Nordion, formerly known as MDS Nordion, in Canada; NTP Radioisotopes, or NTP, in South Africa; Institute for Radioelements, or IRE, in Belgium; and ANSTO in Australia. These processing sites are, in turn, supplied by seven of the eight main Moly-producing reactors in the world, namely, NRU located in Canada; SAFARI located in South Africa; OPAL located in Australia; BR2 located in Belgium; OSIRIS located in France; LVR-10 located in the Czech Republic; and High Flux Reactor, or HFR, located in The Netherlands.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Historically, our largest supplier of Moly has been Nordion, which relies on the NRU reactor for its supply of Moly. Our agreement with Nordion contains minimum percentage purchase requirements for Moly. The agreement allows for termination upon the occurrence of certain events. Nordion can terminate if we fail to purchase a minimum percentage of Moly or if Nordion incurs certain cost increases, but in the latter case termination can occur no earlier than October 1, 2014. Either party may terminate if the other party fails to comply with material obligations, is bankrupt or experiences a force majeure event subject to a waiting period. The agreement expires on December 31, 2015.</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agreement with NTP includes their consortium partner, ANSTO. The agreement contains minimum percentage volume requirements and provides for the increased supply of Moly derived from LEU targets from NTP and ANSTO. The agreement allows for termination upon the occurrence of certain events, including failure by NTP to provide our required amount of Moly, material breach of any provision by either party, bankruptcy by either party and force majeure events. Additionally, we have the ability to terminate the agreement with six months’ written notice prior to the expiration of the agreement. The agreement expires on December 31, 2017.</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March 2013, we entered into a similar agreement with IRE, or the IRE Agreement. IRE previously supplied us as a subcontractor under the agreement with NTP. Similar to the agreement with NTP, the IRE Agreement contains minimum percentage volume requirements. The IRE Agreement also requires IRE to provide certain increased quantities of Moly during periods of supply shortage or failure. The IRE Agreement also provides for an increased supply of Moly derived from LEU targets upon IRE’s completion of its ongoing conversion program to modify its facilities and processes in accordance with Belgian nuclear security commitments. The IRE Agreement allows for termination upon the occurrence of certain events, including failure by IRE to provide our required amount of Moly, material breach of any provision by either party, bankruptcy by either party and force majeure events. The IRE Agreement expires on December 31, 2017.</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 further augment and diversify our current supply, we are pursuing additional sources of Moly from potential new producers around the world that seek to produce Moly with existing or new reactors or technologies.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Xenon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Currently, Nordion is our sole supplier of Xenon, and we believe it is currently the principal supplier of Xenon in the world. Xenon is captured by the NRU reactor as a by-product of the Moly production process. Our agreement with Nordion is on a purchase order basis. Nordion recently announced that it has entered into a definitive agreement to be acquired by Sterigenics. As a result of this transaction, our supplier could change the terms on which we obtain Xenon. We are also currently pursuing additional sources of Xenon from potential new producers around the world that seek to produce Xenon with existing or new reactors and technologies. If we are not able to secure a new producer of Xenon prior to the expiration of the NRU reactor’s license in 2016 and obtain regulatory approval to sell Xenon from that new producer, we will no longer be able to offer Xenon in our portfolio of commercial products. See “Risk Factors—Risks Relating to our Business and Industry—We face potential supply and demand challenges for Xenon.”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Materials</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additional supply arrangements for APIs, excipients, packaging materials and other materials and components, none of which are exclusive, but a number of which are sole source, and all of which we believe are either in good standing or easily replaceable without any material disruption to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maintain manufacturing operations at our North Billerica, Massachusetts facility. We manufacture TechneLite on a highly automated production line and also manufacture Thallium and Gallium at this site using our cyclotron technology. We manufacture, finish and distribute our radiopharmaceutical products on a just-in-time basis, and supply our customers with these products either by next day delivery services or by either ground or air custom logistics.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 for us.</w:t>
      </w:r>
    </w:p>
    <w:p>
      <w:pPr>
        <w:spacing w:after="0" w:line="102"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In addition to our in-house manufacturing capabilities, a substantial portion of our products are manufactured by third party contract manufacturing organizations, and in certain instances, we rely on them for sole source manufacturing. To ensure the quality of the products that are manufactured by third parties, all raw materials used in those products are first sent to our North Billerica facility, where we test them prior to the third party manufacturing the final product. After the final products are manufactured, they are sent back to us for final quality control testing and then we ship them to our customers. We have expertise in the design, development and validation of complex manufacturing systems and processes, and our strong execution and quality control culture supports the just-in-time manufacturing model at our North Billerica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BVL and Technology Transfer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undertaken technology transfers in response to supply challenges at our primary third party contract manufacturer. Historically, we relied on BVL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our sole manufacturer of DEFINITY and Neurolite and as one of our two manufacturers of Cardiolite. Following extended operational and regulatory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challenges at BVL’s Bedford, Ohio facility, in March 2012, we entered into the Settlement Agreement, under which we and BVL agreed to a broad mutual waiver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release for all matters that occurred prior to the date of the Settlement Agreement, a covenant not to sue and a settlement payment to us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$30.0 million. We also entered into (i) the Transition Services Agreement, under which BVL manufactured for us certain products and made payments to us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$5.0 million; and (ii) the Manufacturing Agreement, under which BVL manufactured for us certain products following the initial supply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under the Transition Services Agreement. See “Management’s Discussion and Analysis of Financial Condition and Results of Operations—Key Factors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Affecting Our Results—Inventory Supply.”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BVL continued to face supply challenges and, in October 2013, it announced that it would cease to manufacture further new batches of our products in its Bedford, Ohio facility. On November 12, 2013, in connection with the termination of the Manufacturing Agreement, we and BVL entered into the Second Settlement Agreement. Pursuant to the Second Settlement Agreement, we and BVL agreed to a broad mutual waiver and release for all matters that occurred prior to the date of the Second Settlement Agreement, a covenant not to sue and settlement payments to us in the aggregate amount of $8.9 million. In addition, the Second Settlement Agreement provided that the Manufacturing Agreement terminated as of November 15, 2013, subject to BVL’s obligations to use commercially reasonable efforts to finalize specific batches of DEFINITY, Cardiolite and saline manufactured and not yet released by the BVL quality function for commercial distribution. BVL has since released for commercial distribution all of our remaining manufactured product that was awaiting quality approval.</w:t>
      </w:r>
    </w:p>
    <w:p>
      <w:pPr>
        <w:spacing w:after="0" w:line="10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Contemporaneous with the BVL supply challenges, we expedited a number of technology transfer programs to secure and qualify production of our BVL-manufactured products from alternate contract manufacturer sites.</w:t>
      </w:r>
    </w:p>
    <w:p>
      <w:pPr>
        <w:spacing w:after="0" w:line="37" w:lineRule="exact"/>
        <w:rPr>
          <w:sz w:val="20"/>
          <w:szCs w:val="20"/>
          <w:color w:val="auto"/>
        </w:rPr>
      </w:pPr>
    </w:p>
    <w:p>
      <w:pPr>
        <w:ind w:left="660" w:right="140" w:hanging="206"/>
        <w:spacing w:after="0" w:line="25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DEFINITY—</w:t>
      </w:r>
      <w:r>
        <w:rPr>
          <w:rFonts w:ascii="Arial" w:cs="Arial" w:eastAsia="Arial" w:hAnsi="Arial"/>
          <w:sz w:val="18"/>
          <w:szCs w:val="18"/>
          <w:color w:val="auto"/>
        </w:rPr>
        <w:t>We entered into a Manufacturing and Supply Agreement, effective as of February 1, 2012, with JHS, for the manufacture of DEFINITY.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agreement, JHS manufactures DEFINITY for us for an initial term of five years. We have the right to extend the agreement for an additional five-year period, with automatic renewals for additional one year periods thereafter. The agreement allows for termination upon the occurrence of certain events such as a material breach or default by either party, or bankruptcy by either party. The agreement also requires us to place orders for a minimum percentage of our requirements for DEFINITY with JHS.</w:t>
      </w:r>
    </w:p>
    <w:p>
      <w:pPr>
        <w:spacing w:after="0" w:line="48" w:lineRule="exact"/>
        <w:rPr>
          <w:sz w:val="20"/>
          <w:szCs w:val="20"/>
          <w:color w:val="auto"/>
        </w:rPr>
      </w:pPr>
    </w:p>
    <w:p>
      <w:pPr>
        <w:ind w:left="700" w:right="100"/>
        <w:spacing w:after="0" w:line="291" w:lineRule="auto"/>
        <w:rPr>
          <w:sz w:val="20"/>
          <w:szCs w:val="20"/>
          <w:color w:val="auto"/>
        </w:rPr>
      </w:pPr>
      <w:r>
        <w:rPr>
          <w:rFonts w:ascii="Arial" w:cs="Arial" w:eastAsia="Arial" w:hAnsi="Arial"/>
          <w:sz w:val="16"/>
          <w:szCs w:val="16"/>
          <w:color w:val="auto"/>
        </w:rPr>
        <w:t>On November 12, 2013, we entered into a Manufacturing and Supply Agreement with Pharmalucence, Inc., or Pharmalucence, to manufacture and supply DEFINITY and we are currently in the technology transfer process with Pharmalucence in order to diversify our supply. There are no minimum purchase requirements under this agreement, which has an initial term of five years from the effective date and is renewable at our option for an additional five years. The Manufacturing Agreement allows for termination upon the occurrence of certain events, including material breach or bankruptcy by either party. During the optional five year term, either party may terminate upon thirty months’ advance notice. Based on our current projections, we believe that we will have sufficient supply of DEFINITY from JHS to meet expected demand.</w:t>
      </w:r>
    </w:p>
    <w:p>
      <w:pPr>
        <w:spacing w:after="0" w:line="26" w:lineRule="exact"/>
        <w:rPr>
          <w:sz w:val="20"/>
          <w:szCs w:val="20"/>
          <w:color w:val="auto"/>
        </w:rPr>
      </w:pPr>
    </w:p>
    <w:p>
      <w:pPr>
        <w:ind w:left="660" w:right="60" w:hanging="206"/>
        <w:spacing w:after="0" w:line="290"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Cardiolite—</w:t>
      </w:r>
      <w:r>
        <w:rPr>
          <w:rFonts w:ascii="Arial" w:cs="Arial" w:eastAsia="Arial" w:hAnsi="Arial"/>
          <w:sz w:val="16"/>
          <w:szCs w:val="16"/>
          <w:color w:val="auto"/>
        </w:rPr>
        <w:t>We currently have one manufacturer for our Cardiolite supply. We also entered into a Manufacturing and Supply Agreement, effective as of</w:t>
      </w:r>
      <w:r>
        <w:rPr>
          <w:rFonts w:ascii="Arial" w:cs="Arial" w:eastAsia="Arial" w:hAnsi="Arial"/>
          <w:sz w:val="16"/>
          <w:szCs w:val="16"/>
          <w:i w:val="1"/>
          <w:iCs w:val="1"/>
          <w:color w:val="auto"/>
        </w:rPr>
        <w:t xml:space="preserve"> </w:t>
      </w:r>
      <w:r>
        <w:rPr>
          <w:rFonts w:ascii="Arial" w:cs="Arial" w:eastAsia="Arial" w:hAnsi="Arial"/>
          <w:sz w:val="16"/>
          <w:szCs w:val="16"/>
          <w:color w:val="auto"/>
        </w:rPr>
        <w:t>May 3, 2012, with JHS for the manufacture of Cardiolite products. Under the agreement, JHS has agreed to manufacture product for an initial term of five years. We have the right to extend the agreement for an additional five-year period, with automatic renewals for additional one year periods thereafter. The agreement allows for termination upon the occurrence of specified events, including material breach or bankruptcy by either party. The agreement requires us to place orders for a minimum percentage of our requirements for Cardiolite with JHS during such term. We are currently considering our product volume requirements and need for additional contract manufacturers for Cardiolite, including JHS. Based on our current projections, we believe that we will have sufficient Cardiolite product supply from our current supplier to meet expected demand.</w:t>
      </w:r>
    </w:p>
    <w:p>
      <w:pPr>
        <w:spacing w:after="0" w:line="23" w:lineRule="exact"/>
        <w:rPr>
          <w:rFonts w:ascii="Arial" w:cs="Arial" w:eastAsia="Arial" w:hAnsi="Arial"/>
          <w:sz w:val="16"/>
          <w:szCs w:val="16"/>
          <w:color w:val="auto"/>
        </w:rPr>
      </w:pPr>
    </w:p>
    <w:p>
      <w:pPr>
        <w:ind w:left="660" w:right="20" w:hanging="206"/>
        <w:spacing w:after="0" w:line="290"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Neurolite—</w:t>
      </w:r>
      <w:r>
        <w:rPr>
          <w:rFonts w:ascii="Arial" w:cs="Arial" w:eastAsia="Arial" w:hAnsi="Arial"/>
          <w:sz w:val="16"/>
          <w:szCs w:val="16"/>
          <w:color w:val="auto"/>
        </w:rPr>
        <w:t>We entered into a Manufacturing and Supply Agreement, effective as of May 3, 2012, with JHS for the manufacture of Neurolite, and we are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in the technology transfer process. Under the agreement, JHS has agreed to manufacture product for an initial term of five years. We have the right to extend the agreement for an additional five-year period, with automatic renewals for additional one year periods thereafter. The agreement allows for termination upon the occurrence of specified events, including material breach or bankruptcy by either party. The agreement also requires us to place orders for a minimum percentage of our requirements for Neurolite with JHS during such term. We are also considering additional contract manufacturers for Neurolite. We currently anticipate JHS-manufactured Neurolite to be available in the United States by the second half of 2014 when the technology transfer and regulatory approval at JHS are completed.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Although we are pursuing new manufacturing relationships to establish and secure additional long-term or alternative suppliers as described above, we are uncertain of the timing as to when these arrangements could provide meaningful quantities of product. See “Risk Factors—Risks Relating to Our Business and Industry—The global supply of Moly is fragile and not stable. Our dependence on a limited number of third party suppliers for Moly could prevent us from delivering some of our products to our customers in the required quantities, within the required timeframes, or at all, which could result in order cancellations and decreased revenues,” “Risk Factors—Risks Relating to Our Business and Industry—Challenges with product quality or product performance, including defects, caused by us or our suppliers could result in a decrease in customers and sales, unexpected expenses and loss of market share” and “Risk Factors—Risks Relating to Our Business and Industry—Our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Mallinckrodt</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rely on sole source manufacturing for Ablavar at Mallinckrodt. The agreement requires us to purchase a minimum amount of Ablavar and can be amended or terminated by mutual written agreement at any time. See “Risk Factors—Risks Relating to Our Business and Industry—Our business depends on our ability to successfully introduce new products and adapt to a changing technology and diagnostic landscape.” The agreement also allows for termination upon the occurrence of certain events such as a material breach or default by either party, or bankruptcy by either party. Currently, the agreement runs until September 30, 2014, although we do not foresee the need to order any additional API or finished drug product under this agreement other than our outstanding purchase commitment. As of December 31, 2013, the remaining purchase commitment under the amended agreement was approximately $1.8 million and should be satisfied by the second quarter of 2014. See “Risk Factors—Risks Relating to Our Business and Industry—The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PET Manufacturing Facilities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flurpiridaz F 18 is ultimately successful in clinical trials, a new manufacturing model will have to be implemented where chemical ingredients of the imaging agent are provided to PET radiopharmacies that have fluorine-18 radioisotope-producing cyclotrons on premises. The radiopharmacies will combine these chemical ingredients with fluorine-18 they manufactured in specially designed chemistry synthesis boxes to generate the final radiopharmaceutical imaging agent, flurpiridaz F 18. Radiopharmacists will be able to prepare and dispense patient-specific doses from the final product. However, because each of these PET radiopharmacies will be deemed by the FDA to be a separate manufacturing site for flurpiridaz F 18, each of the radiopharmacies will have to be included in the agent’s New Drug Application, or NDA, and subsequent FDA filings. As a result, there will be quality and oversight responsibilities of the PET radiopharmacies associated with the NDA, unlike the current relationship we have with our nuclear imaging agent distributors that operate radiopharmacies. See “—Research and Development—Flurpiridaz F 18 Phase 3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For the years ended December 31, 2013, 2012 and 2011, we invested $30.5 million, $40.6 million and $40.9 million, respectively, in research and development. Our research and development team includes our medical affairs and medical information functions, which educate physicians on the scientific aspects of our commercial products and the approved indications, labeling and the receipt of reports relating to product quality or adverse events. We have developed a pipeline of three potential cardiovascular imaging agents which were discovered and developed in-house and which are protected by patents and patent applications we own in the United States and numerous foreign jurisdictions.</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March 2013, we began to implement a strategic shift in how we will fund our important R&amp;D programs. We will reduce over time our internal R&amp;D resources while at the same time we seek to engage strategic partners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to assist us in the further development and commercialization of these agents, including flurpiridaz F 18, 18F LMI 1195 and LMI 1174. See “Risk Factors—Risks Relating to our Business and Industry—We will not be able to further develop or commercialize our agents in development without successful strategic partners.”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Flurpiridaz F 18—PET Perfusion Agent—Myocardial Perfusion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developed flurpiridaz F 18, an internally discovered small molecule radiolabeled with fluorine-18, as an imaging agent used in PET MPI to assess blood flow to the heart.</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Today, most MPI procedures use SPECT technology. Although this imaging provides substantial clinical value, there is growing interest in the medical community to utilize technology such as PET that can provide meaningful advantages. PET is an imaging technology that when used in combination with an appropriate radiopharmaceutical imaging agent can provide important insights into physiologic and metabolic processes in the body and be useful in evaluating a variety of conditions including neurological disease, heart disease and cancer. PET imaging has demonstrated broad utility for diagnosis, prognosis, disease staging and therapeutic response. Images generated with PET technology typically exhibit very high image resolution because of substantially higher signal-to-noise efficiency, a measure of the efficiency by which energy can be captured to create an image.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SPECT imaging used in conjunction with a radiopharmaceutical imaging agent, such as Cardiolite, is most commonly used for MPI studies, PET imaging has gained considerable support in the field of cardiovascular imaging as it offers many advantages to SPECT imaging, including: higher image quality, increased diagnostic certainty, more accurate risk stratification and reduced patient radiation exposure. In addition, PET MPI imaging could be particularly useful in difficult to image patients, including women and obese patients. The use of PET technology in MPI tests represents a broad emerging application for a technology more commonly associated with oncology and neurology. We anticipate that the adoption of PET technology in MPI tests will increase significantly in the future.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Clinical Overview</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submitted an Investigational New Drug Application, or IND, for flurpiridaz F 18 to the FDA in August 2006. Our clinical program to date has consisted of three Phase 1 studies, a Phase 2 clinical trial, conducted from 2007 to 2010, involving a total of 208 subjects who received PET MPI performed with flurpiridaz F 18 and a Phase 3 clinical trial conducted from 2011 to 2013 involving 920 subjects who received PET MPI procedures with flurpiridaz F 18.</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Phase 2 Trial</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evaluated flurpiridaz F 18 in a Phase 2 trial consisting of 176 subjects from 21 centers. These subjects underwent both SPECT and PET MPI with flurpiridaz at rest and at stress and were evaluated for safety. Of these subjects, 86 underwent coronary angiography, the current standard clinical method for diagnosing coronary artery disease. Coronary angiography is an invasive procedure using fluoroscopy performed in a cardiac catheterization lab while the subject is under mild sedation. These 86 subjects formed the population for evaluating diagnostic performance.</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PET MPI that was performed with flurpiridaz F 18 at stress utilized either pharmacological coronary vasodilation or treadmill exercise. Unlike currently available PET imaging agents for MPI with half-lives measured in seconds, flurpiridaz F 18 can be used in conjunction with treadmill exercise given its substantially longer 110 minute half-life.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Phase 2 trial results showed the following:</w:t>
      </w:r>
    </w:p>
    <w:p>
      <w:pPr>
        <w:spacing w:after="0" w:line="77" w:lineRule="exact"/>
        <w:rPr>
          <w:sz w:val="20"/>
          <w:szCs w:val="20"/>
          <w:color w:val="auto"/>
        </w:rPr>
      </w:pPr>
    </w:p>
    <w:p>
      <w:pPr>
        <w:ind w:left="660" w:right="340" w:hanging="20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significantly higher percentage of images were rated as either excellent or good quality with PET imaging, compared to SPECT imaging for stress images (98.8% vs. 84.9%, p&lt;0.01) and rest images (95.3% vs. 69.8%, p&lt;0.01);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4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diagnostic certainty of interpretation, the percentage of cases with definitely abnormal or definitely normal interpretation, was significantly higher for flurpiridaz F 18 compared to SPECT (90.7% vs. 75.6%, p&lt;0.01);</w:t>
      </w:r>
    </w:p>
    <w:p>
      <w:pPr>
        <w:spacing w:after="0" w:line="37" w:lineRule="exact"/>
        <w:rPr>
          <w:rFonts w:ascii="Arial" w:cs="Arial" w:eastAsia="Arial" w:hAnsi="Arial"/>
          <w:sz w:val="18"/>
          <w:szCs w:val="18"/>
          <w:color w:val="auto"/>
        </w:rPr>
      </w:pPr>
    </w:p>
    <w:p>
      <w:pPr>
        <w:ind w:left="660" w:right="28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area under the ROC curve (the relative operating characteristic curve comparing the true positive rate to the false positive rate for coronary artery disease diagnosis) was significantly higher for flurpiridaz F 18 than SPECT (0.82±0.05 vs. 0.70±0.05, p&lt;0.05), indicating higher diagnostic performance;</w:t>
      </w:r>
    </w:p>
    <w:p>
      <w:pPr>
        <w:spacing w:after="0" w:line="45"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superiority for sensitivity (that is, the ability to identify disease) with flurpiridaz F 18 imaging was significantly higher than SPECT (78.8% vs. 61.5%, p=0.02);</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trend toward higher specificity (that is, the ability to rule out disease) was noted, although the advantage was not statistically significant in the study;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 drug-related serious adverse events were observed, demonstrating a positive safety profile for PET MPI imaging with flurpiridaz F 18.</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Phase 3 Program</w:t>
      </w:r>
    </w:p>
    <w:p>
      <w:pPr>
        <w:spacing w:after="0" w:line="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Phase 3 program for flurpiridaz F 18 includes a 301 trial and a 302 trial, each of which is an open-label, multicenter trial to assess the diagnostic efficacy of flurpiridaz F 18 PET MPI, as compared with SPECT MPI, in the detection of significant coronary artery disease. Coronary angiography is the truth standard for all subjects. The clinical development program includes hypotheses for superiority for sensitivity (identifying disease) and non-inferiority for specificity (ruling out disease) with an adequate sample size to demonstrate superior specificity if present.</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March 2011, we obtained agreement from the FDA on a Special Protocol Assessment for our 301 trial and, in April 2012, we received a Special Protocol Assessment for our 302 trial.</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third quarter of 2013, we completed patient enrollment in the 301 trial. In the fourth quarter of 2013, we announced preliminary results from the 301 trial. Flurpiridaz F 18 appeared to be well-tolerated from a safety perspective and outperformed SPECT in a highly statistically significant manner (p&lt;.001) in the co-primary endpoint of sensitivity. In addition, flurpiridaz F 18 showed statistically significant improvements (p&lt;.001) in the secondary endpoints of image quality and diagnostic certainty in comparison to SPECT. However, flurpiridaz F 18 did not meet its other co-primary endpoint of non-inferiority for identifying subjects without disease.</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Because of our failure to meet the specificity endpoint, we are having discussions in connection with the development process with the FDA. At the same time, we are seeking strategic partners to further develop and, if approved, commercialize flurpiridaz F 18.</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18F LMI 1195—Cardiac Neuronal Activity Imaging Agent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developed 18F LMI 1195, also an internally discovered small molecule that is a fluorine-18-based radiopharmaceutical imaging agent, designed to assess cardiac sympathetic nerve function with PET. Sympathetic nerve activation increases the heart rate, constricts blood vessels and raises blood pressure by releasing a neurotransmitter called norepinephrine throughout the heart. Changes in the cardiac sympathetic nervous system have been associated with heart failure progression and fatal arrhythmias.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Heart failure is a major public health problem in North America, associated with high morbidity and mortality, frequent hospitalizations and a major cost burden on the community. In the United States alone, there are over five million patients living with congestive heart failure, and over a half million new diagnoses each year. Mortality for this condition is around 50% within five years of diagnosis. Expensive therapies for heart failure are often utilized without effective predictors of patient response. Costly device therapies (for example, implantable cardiac defibrillators, or ICDs, and cardiac resynchronization therapy) are often used, although they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sometimes do not provide any benefits or are activated in only a minority of recipients. Conversely, heart failure clinical practice guidelines currently preclude the use of device therapy in many patients who might benefit. Thus, a key opportunity is to better match patients to treatment based on the identification of the underlying molecular status of disease progression.</w:t>
      </w:r>
    </w:p>
    <w:p>
      <w:pPr>
        <w:spacing w:after="0" w:line="12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18F LMI 1195 is taken up by the transporter that regulates norepinephrine released by the sympathetic nervous system at multiple nerve endings of the heart. PET imaging using 18F LMI 1195 could allow for the identification of patients at risk of sudden death, potentially improving clinical decision-making, including identifying which patients could benefit from certain drug therapies or the implantation of certain anti-arrhythmia devices such as ICDs.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completed a Phase 1 study of 18F LMI 1195 using PET imaging. 12 normal subjects were injected intravenously with approximately six millicuries of 18F LMI 1195, imaged sequentially for a period of approximately five hours and monitored closely to observe any potential adverse events. Excellent quality images were obtained, and the radiation dose to the subjects was found to be well within acceptable limits. Blood radioactivity cleared quickly and lung activity was low throughout the study. The agent appeared to have a favorable safety profile. We are seeking to engage strategic partners to assist us with the ongoing development activities relating to this agent.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LMI 1174—Vascular Remodeling Imaging Agent</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developed LMI 1174, an internally discovered gadolinium-based MRI agent targeted to elastin in the arterial walls and atherosclerotic plaque. We believe that this agent could allow assessment of plaque location, burden, type of arterial wall remodeling and, as a result, the potential for a vascular event, which, in turn, could lead to heart attack or stroke.</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Atherosclerosis is the leading cause of heart attacks, strokes and peripheral vascular disease. Elastin plays a key role in the structure of the arterial wall and in biological signaling functions. Several pathological stimuli may be responsible for triggering elastogenesis in atherosclerosis, leading to a marked increase in elastin content during plaque development. In addition to the increase in elastin seen in autopsy samples from patients with carotid atherosclerosis, there is also an increase of elastin in aortic aneurysm samples. As a result, an elastin-specific imaging agent may facilitate detection of remodeling of the arterial walls.</w:t>
      </w:r>
    </w:p>
    <w:p>
      <w:pPr>
        <w:spacing w:after="0" w:line="9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majority of the assessments of atherosclerosis are currently obtained using angiography or MPI. MRI using LMI 1174 could allow for the identification, on a minimally-invasive basis without radiation exposure, of the presence and characteristics of atherosclerosis, potentially improving clinical decision-making to reduce the risks of cardiovascular events.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preclinical work, we have identified a series of low molecular weight molecules that bind to elastin and final optimization is ongoing. Our lead molecule, LMI 1174, has been used to demonstrate utility in a number of different animal models. We are seeking to engage strategic partners to assist us with the ongoing development activities relating to this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Patents, trademarks and other intellectual property rights, both in the United States and foreign countries, are very important to our business. We also rely on trade secrets, manufacturing know-how, technological innovations and licensing agreements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 Our ability to enforce and protect our intellectual property rights may be limited in certain countries outside the United States, which could make it easier for competitors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capture market position in those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 Service Marks and Trade Names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various trademarks, service marks and trade names, including DEFINITY, TechneLite, Cardiolite, Neurolite, Ablavar, Vialmix, Quadramet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only) and Lantheus Medical Imaging. We have registered these trademarks, as well as others, in the United States and numerous foreign jurisdictions.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actively seek to protect the proprietary technology that we consider important to our business, including chemical species, compositions and formulations, their methods of use and processes for their manufacture, as new intellectual property is developed. In addition to seeking patent protection in the United States, we file patent applications in numerous foreign countries in order to further protect the inventions that we consider important to the development of our international business. We also rely upon trade secrets and contracts to protect our proprietary information. As of February 28, 2014, our patent portfolio included a total of 42 issued U.S. patents, 256 issued foreign patents, 27 pending patent applications in the United States and 144 pending foreign applications. Some of these patents include claims covering the composition of matter and methods of use for all of our preclinical and clinical stage agents.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patents cover many of our commercial products, and our current patent protection is generally in the United States, Canada, Mexico, most of Western Europe and Scandinavia (including Austria, Belgium, Denmark, Finland, France, Germany, Great Britain, Italy, Luxembourg, Netherlands, Norway, Spain, Switzerland and Sweden), and markets in Asia (including China, Hong Kong, Japan, Singapore and South Korea) and Latin America (including Chile and Brazil). For DEFINITY, we hold a number of different compositions of matter, use, formulation and manufacturing patents, with U.S. patent protection until 2021 and patent or regulatory extension protection in Canada, Europe and parts of Asia until 2019. For Ablavar, we hold a number of different compositions of matter, use, formulation and manufacturing patents, with the last U.S. patent not expiring until 2020 with regulatory extension and a manufacturing patent application, which if granted, will expire in 2034 in the absence of any patent term adjustment or regulatory extension. Neither Cardiolite nor Neurolite is covered any longer by patent protection in either the United States or the rest of the world, and we are not currently aware of any proposed generic competitors to Neurolite. TechneLite currently has patent protection in the United States and various foreign countries on certain component technology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Thallium, Gallium and Xenon are all generic radiopharmaceuticals.</w:t>
      </w:r>
    </w:p>
    <w:p>
      <w:pPr>
        <w:spacing w:after="0" w:line="11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numerous patents and patent applications relating to our clinical development pipeline. We have patents in numerous jurisdictions covering composition, use, formulation and manufacturing of flurpiridaz F 18, including in the United States a composition patent expiring in 2026 and a method of use patent expiring in 2028 in the absence of any regulatory extension, and various patent applications, one of which, if granted, will expire in 2033. We also have patents and patent applications in numerous jurisdictions covering composition, use, and synthesis of 18F LMI 1195, our cardiac neuronal imaging agent, some of which, if granted, will expire in 2027 and some in 2031 in the absence of any patent term adjustment or regulatory extensions, in the United States a composition patent expiring in 2030 in the absence of any regulatory extension, and in Europe a composition patent expiring in 2027 in the absence of any regulatory extension. Additionally, we have patent applications in numerous jurisdictions covering composition, use and synthesis of LMI 1174</w:t>
      </w:r>
      <w:r>
        <w:rPr>
          <w:rFonts w:ascii="Arial" w:cs="Arial" w:eastAsia="Arial" w:hAnsi="Arial"/>
          <w:sz w:val="15"/>
          <w:szCs w:val="15"/>
          <w:i w:val="1"/>
          <w:iCs w:val="1"/>
          <w:color w:val="auto"/>
        </w:rPr>
        <w:t>,</w:t>
      </w:r>
      <w:r>
        <w:rPr>
          <w:rFonts w:ascii="Arial" w:cs="Arial" w:eastAsia="Arial" w:hAnsi="Arial"/>
          <w:sz w:val="15"/>
          <w:szCs w:val="15"/>
          <w:color w:val="auto"/>
        </w:rPr>
        <w:t xml:space="preserve"> our vascular remodeling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imaging agent, some of which if granted, will expire in 2029 and some in 2030 in the absence of any patent term adjustment or regulatory extensions and in the United States a composition and method of use patent expiring in 2031 in the absence of any regulatory extension.</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 These confidentiality agreements may not prevent unauthorized disclosure of trade secrets and other proprietary information, and we cannot assure you that an employee or an outside party will not make an unauthorized disclosure of our trade secrets, other technical know-how or proprietary information. We may not have adequate monitoring abilities to discover, or adequate remedies for, any unauthorized disclosure. This might happen intentionally or inadvertently. It is possible that a competitor will make use of such information, and that our competitive position will be compromised, in spite of any legal action we might take against persons making such unauthorized disclosures.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0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we license a limited number of third party technologies and other intellectual property rights that are incorporated into some elements of our drug discovery and development efforts. These licenses are not material to our business, and the technologies can be obtained from multiple sources. We are currently party to separate royalty-free, non-exclusive, cross-licenses with each of Bracco, GE Healthcare and Imcor Pharmaceutical Company. These cross-licenses give us freedom to operate in connection with contrast enhanced ultrasound imaging technology. We also in-license certain freedom to operate rights for Ablavar from, among others, Bayer.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Food and Drug Laws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development, manufacture, sale and distribution of our products are subject to comprehensive governmental regulation both within and outside the United States.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investigations, manufacturing, marketing,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10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Our activities in the development, manufacture, packaging or repackaging of our pharmaceutical and medical device products subjects us to a wide variety of laws and regulations. We are required to register for permits and/or licenses with, seek approvals from and comply with operating and security standards of the FDA, the NRC, the HHS, Health Canada, the EMA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United States. Prior to marketing a pharmaceutical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product, we must first receive FDA approval. Specifically, in the United States, the FDA regulates drugs under the Federal Food, Drug, and Cosmetic Act, or FDCA, and the Public Health Service Act, and implementing regulations. The process of obtaining regulatory approvals and compliance with appropriate federal, state, local, and foreign statutes and regulations require the expenditure of substantial time and financial resources. The process required by the FDA before a drug product may be marketed in the United States generally involves the following:</w:t>
      </w:r>
    </w:p>
    <w:p>
      <w:pPr>
        <w:spacing w:after="0" w:line="49" w:lineRule="exact"/>
        <w:rPr>
          <w:sz w:val="20"/>
          <w:szCs w:val="20"/>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Good Laboratory Practices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Good Clinical Practices and other requirements, to establish the safety and efficacy of the proposed drug product for its intended use;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submission to the FDA of a NDA, for a new drug;</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product is produced to assess compliance with current cGMPs regulations;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agents in development will be granted on a timely basis, if at all. Once a pharmaceutical agent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Once the IND becomes effective, the clinical trial program may begin. Each new clinical trial protocol must be submitted to the FDA before the study may begin. Human clinical studies are typically conducted in three sequential phases that may overlap or be combined:</w:t>
      </w:r>
    </w:p>
    <w:p>
      <w:pPr>
        <w:spacing w:after="0" w:line="3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Phase 1. The agent is initially introduced into healthy human subjects and tested for safety, dosage tolerance, absorption, metabolism, distribution and excretion. In the case of some products for severe or life-threatening diseases, especially when the agent may be too inherently toxic to ethically administer to healthy volunteers, the initial human testing is often conducted in patients with those diseases.</w:t>
      </w:r>
    </w:p>
    <w:p>
      <w:pPr>
        <w:spacing w:after="0" w:line="4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Phase 2. Involves studies in a limited patient population to identify possible adverse effects and safety risks, to evaluate preliminarily the efficacy of the agent for specific targeted diseases and to determine dosage tolerance and optimal dosage and schedule.</w:t>
      </w:r>
    </w:p>
    <w:p>
      <w:pPr>
        <w:spacing w:after="0" w:line="37" w:lineRule="exact"/>
        <w:rPr>
          <w:sz w:val="20"/>
          <w:szCs w:val="20"/>
          <w:color w:val="auto"/>
        </w:rPr>
      </w:pPr>
    </w:p>
    <w:p>
      <w:pPr>
        <w:ind w:left="460" w:right="600"/>
        <w:spacing w:after="0" w:line="370" w:lineRule="auto"/>
        <w:rPr>
          <w:sz w:val="20"/>
          <w:szCs w:val="20"/>
          <w:color w:val="auto"/>
        </w:rPr>
      </w:pPr>
      <w:r>
        <w:rPr>
          <w:rFonts w:ascii="Arial" w:cs="Arial" w:eastAsia="Arial" w:hAnsi="Arial"/>
          <w:sz w:val="15"/>
          <w:szCs w:val="15"/>
          <w:color w:val="auto"/>
        </w:rPr>
        <w:t>Phase 3. Clinical studies are undertaken to further evaluate dosage, clinical efficacy and safety in an expanded patient population at geographically dispersed clinical study sites. These studies are intended to collect sufficient safety and effectiveness data to support the NDA for FDA approval.</w:t>
      </w:r>
    </w:p>
    <w:p>
      <w:pPr>
        <w:spacing w:after="0" w:line="4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Clinical trial sponsors may request a special protocol assessment from the FDA. The FDA’s special protocol assessment process creates a written agreement between the sponsoring company and the FDA regarding the clinical trial design and other clinical trial issues that can be used to support approval of an agent. The special protocol assessment is intended to provide assurance that, if the agreed-upon clinical trial protocols are followed and the trial endpoints are achieved, then the data may serve as the primary basis for an efficacy claim in support of an NDA. However, the special protocol assessment agreement is not a guarantee of an approval of an agent or any permissible claims about the agent. In particular, the special protocol assessment is not binding on the FDA if public health concerns become evident that are unrecognized at the time that the special protocol assessment agreement is entered into, other new scientific concerns regarding product safety or efficacy arise, or if the clinical trial sponsor fails to comply with the agreed upon clinical trial protocols.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Progress reports detailing the results of the clinical studies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testing may not be completed successfully within any specified period, if at all. The FDA or the clinical trial sponsor may suspend or terminate a clinical study at any time on various grounds, including a finding that the research subjects or patients are being exposed to an unacceptable health risk. Similarly, any institutional review board, or IRB, at any of the institutions participating in the clinical trial can suspend or terminate approval of a clinical study at its institution if the clinical study is not being conducted in accordance with the IRB’s requirements or if the agent has been associated with unexpected serious harm to patients. Failure to register a clinical trial or disclose study results within the required time periods could result in penalties, including civil monetary penalties.</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agent and, among other things, the manufacturer must develop methods for testing the identity, strength, quality and purity of the final product. Additionally, appropriate packaging must be selected and tested and stability studies must be conducted to demonstrate that the agent does not undergo unacceptable deterioration over its shelf life.</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results of product development, preclinical studies and clinical studies, along with descriptions of the manufacturing process, analytical tests conducted on the drug product, proposed labeling, and other relevant information, are submitted to the FDA as part of an NDA for a new drug, requesting approval to market the agent. The submission of an NDA is subject to the payment of a substantial user fee, pursuant to the Prescription Drug User Fee Act, or PDUFA, which was first enacted in 1992 to provide the FDA with additional resources to speed the review of important new medicines. A waiver of that fee may be obtained under certain limited circumstances. PDUFA expires every five years and must be reauthorized by Congress. PDUFA IV expired on September 30, 2012, and was renewed as Title I of the FDA Safety and Innovation Act. PDUFA V reauthorization reflected an agreement reached after months of discussion between FDA, industry and other stakeholders. The current PDUFA V agreement focuses on improving the efficiency and predictability of the review process, strengthening the agency regulatory science base and enhancing benefit-risk assessment and post-approval safety surveillance.</w:t>
      </w:r>
    </w:p>
    <w:p>
      <w:pPr>
        <w:spacing w:after="0" w:line="10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approval process is lengthy and difficult and the FDA may refuse to approve an NDA if the applicable regulatory criteria are not satisfied. The FDA has substantial discretion in the product approval process, and it is impossible to predict with any certainty whether and when the FDA will grant marketing approval. The FDA may on occasion require the sponsor of an NDA to conduct additional clinical studies or to provide other scientific or technical information about the product, and these additional requirements may lead to unanticipated delay or expense. Even if such data and information is submitted, the FDA may ultimately decide that the NDA does not satisfy the criteria for approval. Data obtained from clinical studies are not always conclusive, and the FDA may interpret data differently than we interpret the same data.</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studies designed to further assess a drug product’s safety and effectiveness after NDA approval. The FDA also may impose a risk evaluation and mitigation strategy, or REMS,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0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including radiopharmacies, hospitals and academic medical centers, are required to submit either an NDA or Abbreviated New Drug Application, or ANDA, in order to produce PET drugs for clinical use, or produce the drugs under an IND.</w:t>
      </w:r>
    </w:p>
    <w:p>
      <w:pPr>
        <w:spacing w:after="0" w:line="10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two medical devices, both of which are manufactured by third parties which hold the product clearances, comprise only a small portion of our revenues.</w:t>
      </w:r>
    </w:p>
    <w:p>
      <w:pPr>
        <w:spacing w:after="0" w:line="13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FDA may withdraw a pharmaceutical or medical device product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warning letters, holds on clinical studies, product recalls or seizures, product detention or refusal to permit the import or export of products or medical devices, refusal to approve pending applications or supplements, restrictions on marketing or manufacturing, injunctions, or civil or criminal penalties.</w:t>
      </w:r>
    </w:p>
    <w:p>
      <w:pPr>
        <w:spacing w:after="0" w:line="13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Because our operations include nuclear pharmacies and related businesses, such as cyclotron facilities used to produce PET products used in diagnostic medical imaging, we are subject to regulation by the NRC or the departments of health of each state in which we operate and the applicable state boards of pharmacy. In addition, the FDA is also involved in the regulation of cyclotron facilities where PET products are produced and compliance with cGMP requirements and United States Pharmacopeia requirements for PET drug compounding.</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Drug laws also are in effect in many of the non-U.S. markets in which we conduct business. These laws range from comprehensive drug approval requirements to requests for product data or certifications. In addition, inspection of and controls over manufacturing, as well as monitoring of adverse events, are components of most of these regulatory systems. Most of our business is subject to varying degrees of governmental regulation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countries in which we operate, and the general trend is toward increasingly stringent regulation. The exercise of broad regulatory powers by the FDA continues to result in increases in the amount of testing and documentation required for approval or clearance of new drugs and devices, all of which add to the expense of product introduction. Similar trends also are evident in major non-U.S. markets, including Canada, the European Union, Australia and Japan.</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Price Competition and Patent Term Restoration Act of 1984</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Drug Price Competition and Patent Term Restoration Act of 1984, known as the Hatch-Waxman Act, added two additional routes to approval of new drugs, in addition to the full NDA, known as the Section 505(b)(1) NDA. Specifically, the Hatch-Waxman Act permits the FDA to approve ANDAs for generic versions of drugs if the ANDA applicant demonstrates that its product is bioequivalent to the innovator product and provides relevant chemistry, manufacturing and product data. The Hatch Waxman Act also instituted a third type of drug application that requires the same information as a full NDA, including full reports of clinical and preclinical studies, except that some of the information from the reports required for marketing approval comes from studies which the applicant does not own or have a legal right of reference. This type of application, a Section 505(b)(2) NDA, permits a manufacturer to obtain marketing approval for a drug without needing to conduct or obtain a right of reference for all of the required studies. 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 Patent and Trademark Office in conjunction with the FDA.</w:t>
      </w:r>
    </w:p>
    <w:p>
      <w:pPr>
        <w:spacing w:after="0" w:line="102"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The Hatch-Waxman Act also provides for a period of statutory protection for new drugs that receive NDA approval from the FDA. If the FDA approves a Section 505(b)(1) NDA for a new drug that is a new chemical entity, meaning that the FDA has not previously approved any other new drug containing the same active moiety, then the Hatch-Waxman Act prohibits the submission or approval of an abbreviated application by a generic competitor or a Section 505(b)(2)</w:t>
      </w:r>
    </w:p>
    <w:p>
      <w:pPr>
        <w:spacing w:after="0" w:line="1"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NDA, for a period of five years from the date of approval of the NDA, except that in some cases the FDA may accept an application for review after four years. The Hatch-Waxman Act will not prevent the filing or approval of a full NDA, as opposed to an abbreviated application or Section 505(b)(2) NDA, for any drug, but the competitor would be required to conduct its own clinical trials, and any use of the drug for which marketing approval is sought could not violate another NDA holder’s patent claims. If FDA approves an NDA for a new drug containing an active ingredient that was previously approved by the FDA, but the NDA is for a drug that includes new clinical data (other than bioavailability and bioequivalence studies)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support an innovation over the previously approved drug and those studies were conducted or sponsored by the applicant and were essential to approval of the application, then the Hatch-Waxman statutory exclusivity period is only three years from the date of the NDA approval that covers the innovation. This three year exclusivity period does not prohibit the FDA from accepting an application from a third party for that same innovation, but it does prohibit the FDA from approving that application for the three year period. The three year exclusivity does not prohibit the FDA, with limited exceptions, from approving generic drugs containing the same active ingredient but without the new innovation.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Reform Act and Related Laws</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Healthcare Reform Act substantially changes the way in which healthcare is financed by both governmental and private insurers and has a significant impact on the pharmaceutical industry. The Healthcare Reform Act contains a number of provisions that affect coverage and reimbursement of drug products and the medical imaging procedures in which our drug products are used. Key provisions, include the following:</w:t>
      </w:r>
    </w:p>
    <w:p>
      <w:pPr>
        <w:spacing w:after="0" w:line="12" w:lineRule="exact"/>
        <w:rPr>
          <w:sz w:val="20"/>
          <w:szCs w:val="20"/>
          <w:color w:val="auto"/>
        </w:rPr>
      </w:pPr>
    </w:p>
    <w:p>
      <w:pPr>
        <w:jc w:val="both"/>
        <w:ind w:left="660" w:hanging="206"/>
        <w:spacing w:after="0" w:line="306"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increasing the presumed utilization rate 50% to 75% for imaging equipment costing $1 million or more in the physician office and free-standing imaging facility setting for dates of service on or after January 1, 2011. Under the American Taxpayer Relief Act of 2012, or ATRA, the presumed utilization rate was further increased to 90%, effective January 1, 2014, which reduces the Medicare per procedure medical imaging reimbursement;</w:t>
      </w:r>
    </w:p>
    <w:p>
      <w:pPr>
        <w:spacing w:after="0" w:line="12" w:lineRule="exact"/>
        <w:rPr>
          <w:rFonts w:ascii="Arial" w:cs="Arial" w:eastAsia="Arial" w:hAnsi="Arial"/>
          <w:sz w:val="16"/>
          <w:szCs w:val="16"/>
          <w:color w:val="auto"/>
        </w:rPr>
      </w:pPr>
    </w:p>
    <w:p>
      <w:pPr>
        <w:jc w:val="both"/>
        <w:ind w:left="660" w:right="60" w:hanging="206"/>
        <w:spacing w:after="0" w:line="347" w:lineRule="auto"/>
        <w:tabs>
          <w:tab w:leader="none" w:pos="6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increasing the minimum rebate percentage of the average manufacturer price for Medicaid rebates payable by manufacturers of brand-name drugs (such as us) from 15.1% to the higher of 23.1% of the average manufacturer price or the difference between the average manufacturer price and the best price;</w:t>
      </w: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extending Medicaid rebates payable by manufacturers of brand-name drugs to drugs paid by Medicaid managed care organizations;</w:t>
      </w:r>
    </w:p>
    <w:p>
      <w:pPr>
        <w:spacing w:after="0" w:line="103"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expanding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expanding access to commercial health insurance coverage through new state-based health insurance marketplaces, or exchanges;</w:t>
      </w:r>
    </w:p>
    <w:p>
      <w:pPr>
        <w:spacing w:after="0" w:line="103"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imposing a non-deductible annual fee on pharmaceutical manufacturers or importers who sell brand name prescription drugs to specified federal government programs;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imposing an annual excise tax on an entity that manufactures or imports medical devices offered for sale in the United States.</w:t>
      </w:r>
    </w:p>
    <w:p>
      <w:pPr>
        <w:spacing w:after="0" w:line="1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Healthcare Reform Act also establishes an Independent Payment Advisory Board, or IPAB, to reduce the per capita rate of growth in Medicare spending. The IPAB is mandated to propose changes in Medicare payments if it is determined that the rate of growth of Medicare expenditures exceeds target growth rates or the projected percentage increase for the medical expenditures portion of the Consumer Price Index is greater than the projected percentage increase in the Consumer Price Index for all items. A proposal made by the IPAB must be implemented by CMS, unless Congress adopts a proposal that achieves the necessary savings. Although under the Healthcare Reform Act, the IPAB proposals may impact payments for physician and free-standing imaging services beginning in 2015 and for hospital services beginning in 2020, the threshold for triggering IPAB proposals was not reached for 2015 so no adjustments will be made under the IPAB in 2015.</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Healthcare Reform Act also amended the federal self-referral laws, requiring referring physicians to inform patients under certain circumstances that the patients may obtain services, including MRI, computed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tomography, PET, and certain other diagnostic imaging services, from a provider other than that physician, his or her group practice, another physician in his or her group practice, or another individual under direct supervision of the physician or another physician in the group practice. The referring physician must provide each patient with a written list of other suppliers who furnish those services in the area in which the patient resides. These new requirements could have the effect of shifting where certain diagnostic medical imaging procedures are performed.</w:t>
      </w:r>
    </w:p>
    <w:p>
      <w:pPr>
        <w:spacing w:after="0" w:line="99"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In addition, the Budget Control Act of 2011, as amended by the ATRA imposed across-the-board cuts, or sequestrations, to mandatory and discretionary spending. Medicare (but not Medicaid) reimbursement rates were reduced by 2% beginning in April 2013 and will stay in effect through 2024 unless additional Congressional action is taken. As a result of the Bipartisan Budget Act of 2013, reductions now apply to Medicare reimbursement rates an additional two years through 2023. The ATRA also, among other things, further reduced Medicare payments to several providers, including hospitals and imaging centers.</w:t>
      </w:r>
    </w:p>
    <w:p>
      <w:pPr>
        <w:spacing w:after="0" w:line="8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Healthcare Reform Act has been subject to political and judicial challenges. In 2012, the Supreme Court considered the constitutionality of certain provisions of the law. The Court upheld as constitutional the mandate for individuals to obtain health insurance, but held the provision allowing the federal government to withhold certain Medicaid funds to states that do not expand state Medicaid programs unconstitutional. Therefore, not all states have expanded their Medicaid programs under the Healthcare Reform Act. Political and judicial challenges to the law may continue in the wake of the Court’s ruling.</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The Federal Anti-Kickback Statute prohibits persons from knowingly and willfully soliciting, offering, receiving or providing essentially anything of value, directly or indirectly, in order to generate business, including the purchase or prescription of a drug, that is reimbursable by federal healthcare programs such as Medicare or Medicaid. The scope of the Federal Anti-Kickback Statute is broad. Regulatory “safe harbors” protect certain arrangements within the scope of the statute that meet the specific requirements of the safe harbor. Arrangements outside of the safe harbor may be subject to scrutiny by government enforcement agencies and prosecuted if the arrangement is considered abusive. Moreover, recent healthcare reform legislation has strengthened these laws. For example, the Healthcare Reform Act, among other things, amended the intent requirement of the Federal Anti-Kickback and criminal healthcare fraud statutes that prohibit executing a scheme to defraud any healthcare benefit program or making false statements relating to healthcare matters. A person or entity no longer needs to have actual knowledge of these statutes or specific intent to violate them. In addition, the Healthcare Reform Act provides that the government may assert that a claim including items or services resulting from a violation of the Federal Anti-Kickback Statute constitutes a false or fraudulent claim for purposes of the False Claims Act. Many states have adopted laws similar to the Federal Anti-Kickback Statute. The scope of these state prohibitions vary and may prohibit proposed or actual financial interactions involving business reimbursed under private health insurance as well as under government healthcare programs. At the federal and state level, there may not be regulations, guidance or court decisions that apply the laws to specific industry practices. There is therefore a possibility that our practices might be challenged under the anti-kickback laws.</w:t>
      </w:r>
    </w:p>
    <w:p>
      <w:pPr>
        <w:spacing w:after="0" w:line="11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Federal and state false claims laws generally prohibit anyone from knowingly and willingly submitting, or causing the submission of, false or fraudulent claims for payment to third party payors (including Medicare and Medicaid). The Federal Civil False Claims Act, or False Claims Act, applies to false claims involving federal healthcare programs and permits a private individual acting as a “whistleblower” to bring actions on behalf of the federal government alleging violations of the False Claims Act and to share in any monetary recovery. State false claims acts may apply where a claim is submitted to any third party payor (whether private health insurance or a government healthcare program). Government enforcement agencies and private whistleblowers have asserted liability under false claims acts for claims submitted involving improper promotion of off-label uses (i.e., uses not expressly approved by the FDA in a drug’s label), mis-reporting of drug prices to federal agencies, medically unnecessary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services or misrepresentations of services rendered. The Healthcare Reform Act revised the False Claims Act to provide that a claim arising from a violation of the Federal Anti-Kickback Statute constitutes a false or fraudulent claim for purposes of the False Claims Act. Our future activities may be subject to scrutiny under these laws, including activities related to the reporting of discount and rebate information and other information affecting federal, state and private third party reimbursement of our products and to the sale and marketing of our products.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healthcare providers or require disclosure to the government and public of those interactions. The laws include federal “sunshine” provisions enacted in 2010 as part of the Healthcare Reform Act. The federal sunshine provisions apply to certain manufacturers, such as us, with prescription drug, biologic or medical device products reimbursed under Medicare, Medicaid, and the Children’s Health Insurance Program. Manufacturers subject to the provisions must disclose annually to CMS (for re-disclosure to the public) certain payments or transfers of value made to teaching hospitals, physicians and their immediate family members, and ownership and investment held by physicians and their immediate family members. Manufacturers must report data for the period from August to December 2013 in the first half of 2014, and CMS will then release the data later in the year. Separately, the Healthcare Reform Act requires manufacturers to submit information on the identity and quantity of drug samples requested and distributed during each year. The first report (for 2011) was to be submitted by April 1, 2012. The FDA indicated its intent to exercise enforcement discretion through October 1, 2012, and stated that the agency would issue notice to industry prior to beginning enforcement of this section. At this time, no such notice has been issued, and the FDA anticipates issuing additional guidance to the industry in calendar year 2014.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Federal and state authorities are paying increased attention to enforcement of fraud and abuse laws within the pharmaceutical industry and private individuals have been active in alleging violations of the laws and bringing suits on behalf of the government under the False Claims Act. We are unable to predict whether we would be subject to actions under fraud and abuse laws or the impact of those actions. If we were subject to allegations concerning, or were convicted of violating, these laws, our business could be harmed. Violations of federal and state laws related to fraud and abuse are punishable by criminal or civil sanctions, including substantial fines, imprisonment and exclusion from participation in healthcare programs such as Medicare and Medicaid. Even the costs of defending those claims could adversely affect our financial performance. Violations of international fraud and abuse laws could result in similar penalties, including exclusion from participation in health programs outside the United States.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operations may be affected by the Health Insurance Portability and Accountability Act of 1996, or HIPAA, and its implementing regulations, which established standards for certain “covered entities” (healthcare providers, health plans and healthcare clearinghouses) governing the conduct of certain electronic healthcare transactions and protecting the security and privacy of protected health information. The Health Information Technology for Economic and Clinical Health Act, or HITECH, enacted in 2009, expands HIPAA’s privacy and security standards. HITECH became effective on February 17, 2010, and implementing regulations generally became effective in September 2013. Among other things, HITECH makes certain HIPAA privacy and security standards directly applicable to “business associates,” independent contractors of covered entities that receive or obtain protected health information in connection with providing a service on behalf of covered entities. HITECH also increased the civil and criminal penalties that may be imposed and gave state attorneys general new authority to file civil actions for damages or injunctions in federal courts to enforce the federal HIPAA laws and seek attorney fees and costs associated with pursuing federal civil actions. Although we believe that we are neither a “covered entity” nor a “business associate” under the legislation, a business associate relationship may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be imputed from facts and circumstances even in the absence of an actual business associate agreement. In addition, HIPAA and HITECH may affect our interactions with customers who are covered entities or their business associates.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Laws Relating to Foreign Trade</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U.S. Foreign Corrupt Practices Act, or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3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Those laws also include the U.K. Bribery Act of 2010, or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3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Our policies mandate compliance with these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 Laws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also subject to various federal, state and local laws, regulations and recommendations, both in the United States and abroad, relating to safe working conditions, laboratory and manufacturing practices and the use, transportation and disposal of hazardous or potentially hazardous substances.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subject to various federal, state and local laws and regulations relating to the protection of the environment, human health and safety in the United States and in other jurisdictions in which we operate. Our operations, like those of other medical product companies, involve the transport, use, handling, storage, exposure to and disposal of materials and wastes regulated under environmental laws, including hazardous and radioactive materials and wastes. We cannot assure you that we have been or will be in compliance with environmental and health and safety laws at all times. If we violate these laws and regulations, we could be fined, criminally charged or otherwise sanctioned by regulators. We believe that our operations currently comply in all material respects with applicable environmental laws and regulations.</w:t>
      </w:r>
    </w:p>
    <w:p>
      <w:pPr>
        <w:spacing w:after="0" w:line="13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contamination at any of our facilities.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required to maintain a number of environmental permits and nuclear licenses for our North Billerica facility, which is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or D&amp;D, the Billerica site at the end of its use as a nuclear facility. We currently estimate the D&amp;D cost at the Billerica site to be approximately $24.3 million. As of December 31, 2013 and 2012, we have a liability recorded associated with the fair value of the asset retirement obligations of approximately $6.4 million and $5.4 million, respectively. We have recorded accretion expense of $0.6 million, $0.6 million and $0.5 million during the years ended December 31, 2013, 2012 and 2011, respectively. We currently provide this financial assurance in the form of surety bonds. We generally contract with third parties for the disposal of wastes generated by our operations. Prior to disposal, we store any low level radioactive waste at our facilities until the materials are no longer considered radioactive, as allowed by our licenses and permits.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reasonably probable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of December 31, 2013, we had 519 employees, of which 396 were located in the United States and 123 were located internationally, and approximately 82 contractors. None of our employees are represented by a collective bargaining unit, and we believe that our relationship with our employees is good.</w:t>
      </w:r>
    </w:p>
    <w:p>
      <w:pPr>
        <w:spacing w:after="0" w:line="49" w:lineRule="exact"/>
        <w:rPr>
          <w:sz w:val="20"/>
          <w:szCs w:val="20"/>
          <w:color w:val="auto"/>
        </w:rPr>
      </w:pPr>
    </w:p>
    <w:p>
      <w:pPr>
        <w:ind w:right="1080" w:firstLine="456"/>
        <w:spacing w:after="0" w:line="375" w:lineRule="auto"/>
        <w:rPr>
          <w:sz w:val="20"/>
          <w:szCs w:val="20"/>
          <w:color w:val="auto"/>
        </w:rPr>
      </w:pPr>
      <w:r>
        <w:rPr>
          <w:rFonts w:ascii="Arial" w:cs="Arial" w:eastAsia="Arial" w:hAnsi="Arial"/>
          <w:sz w:val="18"/>
          <w:szCs w:val="18"/>
          <w:color w:val="auto"/>
        </w:rPr>
        <w:t xml:space="preserve">In 2013, we initiated a reduction in the number of our employees and contractors in connection with the strategic shift in our R&amp;D program. </w:t>
      </w:r>
      <w:r>
        <w:rPr>
          <w:rFonts w:ascii="Arial" w:cs="Arial" w:eastAsia="Arial" w:hAnsi="Arial"/>
          <w:sz w:val="18"/>
          <w:szCs w:val="18"/>
          <w:b w:val="1"/>
          <w:bCs w:val="1"/>
          <w:color w:val="auto"/>
        </w:rPr>
        <w:t>Corporate History</w:t>
      </w:r>
    </w:p>
    <w:p>
      <w:pPr>
        <w:spacing w:after="0" w:line="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Founded in 1956 as New England Nuclear Corporation, our medical imaging diagnostic business was purchased by DuPont in 1981. BMS subsequently acquired our diagnostic medical imaging business as part of its acquisition of DuPont Pharmaceuticals in 2001. Avista acquired our medical imaging business from BMS in January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executive offices and primary manufacturing facilities are located at our North Billerica, Massachusetts facility, which we own. In addition, as of December 31, 2013, we lease seven facilities in Canada, two in Australia and two in Puerto Rico. Our owned facilities consist of approximately 578,000 square feet of manufacturing, laboratory, mixed use and office space, and our leased facilities consist of approximately 67,766 square feet of manufacturing, laboratory, mixed use and office space. We believe all of these facilities are well-maintained and suitable for the office, radiopharmacy, manufacturing or warehouse operations conducted in them.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December 31, 2013: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8740" w:type="dxa"/>
            <w:vAlign w:val="bottom"/>
            <w:vMerge w:val="restart"/>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Square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8740" w:type="dxa"/>
            <w:vAlign w:val="bottom"/>
            <w:vMerge w:val="continue"/>
          </w:tcPr>
          <w:p>
            <w:pPr>
              <w:spacing w:after="0"/>
              <w:rPr>
                <w:sz w:val="14"/>
                <w:szCs w:val="14"/>
                <w:color w:val="auto"/>
              </w:rPr>
            </w:pPr>
          </w:p>
        </w:tc>
        <w:tc>
          <w:tcPr>
            <w:tcW w:w="118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footage</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4"/>
              </w:rPr>
              <w:t>Owned/Leased</w:t>
            </w:r>
          </w:p>
        </w:tc>
        <w:tc>
          <w:tcPr>
            <w:tcW w:w="0" w:type="dxa"/>
            <w:vAlign w:val="bottom"/>
          </w:tcPr>
          <w:p>
            <w:pPr>
              <w:spacing w:after="0"/>
              <w:rPr>
                <w:sz w:val="1"/>
                <w:szCs w:val="1"/>
                <w:color w:val="auto"/>
              </w:rPr>
            </w:pPr>
          </w:p>
        </w:tc>
      </w:tr>
      <w:tr>
        <w:trPr>
          <w:trHeight w:val="190"/>
        </w:trPr>
        <w:tc>
          <w:tcPr>
            <w:tcW w:w="9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North Billerica, Massachusetts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578,000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Montreal</w:t>
            </w:r>
          </w:p>
        </w:tc>
        <w:tc>
          <w:tcPr>
            <w:tcW w:w="640" w:type="dxa"/>
            <w:vAlign w:val="bottom"/>
          </w:tcPr>
          <w:p>
            <w:pPr>
              <w:jc w:val="right"/>
              <w:spacing w:after="0"/>
              <w:rPr>
                <w:sz w:val="20"/>
                <w:szCs w:val="20"/>
                <w:color w:val="auto"/>
              </w:rPr>
            </w:pPr>
            <w:r>
              <w:rPr>
                <w:rFonts w:ascii="Arial" w:cs="Arial" w:eastAsia="Arial" w:hAnsi="Arial"/>
                <w:sz w:val="18"/>
                <w:szCs w:val="18"/>
                <w:color w:val="auto"/>
              </w:rPr>
              <w:t>8,729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Mississauga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Dorval</w:t>
            </w:r>
          </w:p>
        </w:tc>
        <w:tc>
          <w:tcPr>
            <w:tcW w:w="640" w:type="dxa"/>
            <w:vAlign w:val="bottom"/>
          </w:tcPr>
          <w:p>
            <w:pPr>
              <w:jc w:val="right"/>
              <w:spacing w:after="0"/>
              <w:rPr>
                <w:sz w:val="20"/>
                <w:szCs w:val="20"/>
                <w:color w:val="auto"/>
              </w:rPr>
            </w:pPr>
            <w:r>
              <w:rPr>
                <w:rFonts w:ascii="Arial" w:cs="Arial" w:eastAsia="Arial" w:hAnsi="Arial"/>
                <w:sz w:val="18"/>
                <w:szCs w:val="18"/>
                <w:color w:val="auto"/>
              </w:rPr>
              <w:t>13,079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Quebec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Hamilton</w:t>
            </w:r>
          </w:p>
        </w:tc>
        <w:tc>
          <w:tcPr>
            <w:tcW w:w="640" w:type="dxa"/>
            <w:vAlign w:val="bottom"/>
          </w:tcPr>
          <w:p>
            <w:pPr>
              <w:jc w:val="right"/>
              <w:spacing w:after="0"/>
              <w:rPr>
                <w:sz w:val="20"/>
                <w:szCs w:val="20"/>
                <w:color w:val="auto"/>
              </w:rPr>
            </w:pPr>
            <w:r>
              <w:rPr>
                <w:rFonts w:ascii="Arial" w:cs="Arial" w:eastAsia="Arial" w:hAnsi="Arial"/>
                <w:sz w:val="18"/>
                <w:szCs w:val="18"/>
                <w:color w:val="auto"/>
              </w:rPr>
              <w:t>5,300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Vancouver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Melbourne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Adelaide</w:t>
            </w:r>
          </w:p>
        </w:tc>
        <w:tc>
          <w:tcPr>
            <w:tcW w:w="640" w:type="dxa"/>
            <w:vAlign w:val="bottom"/>
          </w:tcPr>
          <w:p>
            <w:pPr>
              <w:jc w:val="right"/>
              <w:spacing w:after="0"/>
              <w:rPr>
                <w:sz w:val="20"/>
                <w:szCs w:val="20"/>
                <w:color w:val="auto"/>
              </w:rPr>
            </w:pPr>
            <w:r>
              <w:rPr>
                <w:rFonts w:ascii="Arial" w:cs="Arial" w:eastAsia="Arial" w:hAnsi="Arial"/>
                <w:sz w:val="18"/>
                <w:szCs w:val="18"/>
                <w:color w:val="auto"/>
              </w:rPr>
              <w:t>4,306</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Puerto Rico</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San Juan</w:t>
            </w:r>
          </w:p>
        </w:tc>
        <w:tc>
          <w:tcPr>
            <w:tcW w:w="640" w:type="dxa"/>
            <w:vAlign w:val="bottom"/>
          </w:tcPr>
          <w:p>
            <w:pPr>
              <w:jc w:val="right"/>
              <w:spacing w:after="0"/>
              <w:rPr>
                <w:sz w:val="20"/>
                <w:szCs w:val="20"/>
                <w:color w:val="auto"/>
              </w:rPr>
            </w:pPr>
            <w:r>
              <w:rPr>
                <w:rFonts w:ascii="Arial" w:cs="Arial" w:eastAsia="Arial" w:hAnsi="Arial"/>
                <w:sz w:val="18"/>
                <w:szCs w:val="18"/>
                <w:color w:val="auto"/>
              </w:rPr>
              <w:t>9,550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From time to time, we are a party to various legal proceedings arising in the ordinary course of business. In addition, we have in the past been, and may in the future be, subject to investigations by governmental and regulatory authorities which exposes us to greater risks associated with litigation, regulatory or other proceedings, as a result of which we could be required to pay significant fines or penalties. The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16, 2010, we filed suit against one of our insurance carriers seeking to recover business interruption losses associated with the NRU reactor shutdown and the ensuing global Moly supply shortage (</w:t>
      </w:r>
      <w:r>
        <w:rPr>
          <w:rFonts w:ascii="Arial" w:cs="Arial" w:eastAsia="Arial" w:hAnsi="Arial"/>
          <w:sz w:val="16"/>
          <w:szCs w:val="16"/>
          <w:i w:val="1"/>
          <w:iCs w:val="1"/>
          <w:color w:val="auto"/>
        </w:rPr>
        <w:t>Lantheus Medical Imaging, Inc., Plaintiff v. Zurich American Insurance Company, Defendant,</w:t>
      </w:r>
      <w:r>
        <w:rPr>
          <w:rFonts w:ascii="Arial" w:cs="Arial" w:eastAsia="Arial" w:hAnsi="Arial"/>
          <w:sz w:val="16"/>
          <w:szCs w:val="16"/>
          <w:color w:val="auto"/>
        </w:rPr>
        <w:t xml:space="preserve"> United States District Court, Southern District of New York, Case No. 10 Civ 9371).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Discovery has commenced and is continuing. At a hearing held on March 28, 2014, the court granted the defendant leave to file a summary judgment motion on June 30, 2014, and the court granted us until August 4, 2014 to respond to that motion. We cannot be certain what amount, if any, or when, if ever, we will be able to recover for business interruption losses related to this matter.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names, ages and positions of our executive officers, key employees and directors as of April 28,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36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820" w:type="dxa"/>
            <w:vAlign w:val="bottom"/>
          </w:tcPr>
          <w:p>
            <w:pPr>
              <w:spacing w:after="0"/>
              <w:rPr>
                <w:sz w:val="15"/>
                <w:szCs w:val="15"/>
                <w:color w:val="auto"/>
              </w:rPr>
            </w:pPr>
          </w:p>
        </w:tc>
      </w:tr>
      <w:tr>
        <w:trPr>
          <w:trHeight w:val="181"/>
        </w:trPr>
        <w:tc>
          <w:tcPr>
            <w:tcW w:w="430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Executive Officers and Key Employees</w:t>
            </w:r>
          </w:p>
        </w:tc>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Jeffrey Bailey</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John Golubieski</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William Dawes</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Manufacturing and Operations</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Michael Duffy</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General Counsel and Secretary</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Chief Commercial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Michael Heslop</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87"/>
              </w:rPr>
              <w:t>Vice President, Business Development and Strategic Planning</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Chief Medical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Simon Robinson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90"/>
              </w:rPr>
              <w:t>Vice President, Research and Pharmaceutical Development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Cyrille Villeneuve</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International</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Nigel Williams</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Quality</w:t>
            </w:r>
          </w:p>
        </w:tc>
      </w:tr>
      <w:tr>
        <w:trPr>
          <w:trHeight w:val="318"/>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Brian Markison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 and Non-Executive Chairman of the Board</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David Burgstahler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Samuel Leno</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Patrick O’Neill</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Sriram Venkataraman</w:t>
            </w:r>
          </w:p>
        </w:tc>
        <w:tc>
          <w:tcPr>
            <w:tcW w:w="240" w:type="dxa"/>
            <w:vAlign w:val="bottom"/>
          </w:tcPr>
          <w:p>
            <w:pPr>
              <w:jc w:val="right"/>
              <w:spacing w:after="0"/>
              <w:rPr>
                <w:sz w:val="20"/>
                <w:szCs w:val="20"/>
                <w:color w:val="auto"/>
              </w:rPr>
            </w:pPr>
            <w:r>
              <w:rPr>
                <w:rFonts w:ascii="Arial" w:cs="Arial" w:eastAsia="Arial" w:hAnsi="Arial"/>
                <w:sz w:val="18"/>
                <w:szCs w:val="18"/>
                <w:color w:val="auto"/>
              </w:rPr>
              <w:t>41</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business experience of the foregoing persons.</w:t>
      </w:r>
    </w:p>
    <w:p>
      <w:pPr>
        <w:spacing w:after="0" w:line="15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Jeffrey Bailey </w:t>
      </w:r>
      <w:r>
        <w:rPr>
          <w:rFonts w:ascii="Arial" w:cs="Arial" w:eastAsia="Arial" w:hAnsi="Arial"/>
          <w:sz w:val="16"/>
          <w:szCs w:val="16"/>
          <w:color w:val="auto"/>
        </w:rPr>
        <w:t>is our President and Chief Executive Officer since January 2013 and is a director. Mr. Bailey has more than 26 years of diverse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leadership experience across multiple functions, including sales, marketing, manufacturing, supply chain and operations. Prior to joining Lantheus, Mr. Bailey served from July 2011 to July 2012 as Chief Operating Officer and a member of the Executive Committee of Fougera Pharmaceuticals, Inc. prior to its sale to Sandoz. Before joining Fougera, from April 2010 to June 2011, Mr. Bailey served as the Chief Commercial Officer of King-Pfizer Pharmaceuticals. From January 2008 to April 2010, he worked with Novartis Pharmaceuticals as President and General Manager of the Northwest Operating Unit, and from June 1984 to June 2006 he served in several roles with increasing responsibilities across manufacturing operations, commercial operations and general management at the Johnson &amp; Johnson Family of Companies. Mr. Bailey holds a Bachelor of Arts in Business from Rutgers University. Mr. Bailey was chosen to serve as a Director because of his extensive experience in the healthcare industry in senior commercial and operating positions. As our President and Chief Executive Officer and the only management representative on our Board of Directors, Mr. Bailey has significant knowledge of the pharmaceutical industry and provides valuable insight into a variety of business issues and challenges we face.</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John Golubieski </w:t>
      </w:r>
      <w:r>
        <w:rPr>
          <w:rFonts w:ascii="Arial" w:cs="Arial" w:eastAsia="Arial" w:hAnsi="Arial"/>
          <w:sz w:val="16"/>
          <w:szCs w:val="16"/>
          <w:color w:val="auto"/>
        </w:rPr>
        <w:t>is serving as our Interim Chief Financial Officer since August 2013. Mr. Golubieski has more than 25 years of diverse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pharmaceutical industry. Prior to joining us, Mr. Golubieski, served from July 2011 to October 2012 as Chief Financial Officer and a member of the Executive Committee of Fougera Pharmaceuticals, Inc. prior to its sale to Sandoz. Before joining Fougera, from October 2005 to June 2011, Mr. Golubieski held the role of Senior Vice President—Financial Planning and Analysis at King-Pfizer Pharmaceuticals. From September 2000 to October 2005, he worked with Bristol Myers Squibb as Senior Director—Strategic Analysis of the Worldwide Medicines Group after serving in several roles with increasing responsibilities in finance from August 1989 to September 2000. Mr. Golubieski began his career with Price Waterhouse. Mr. Golubieski holds a Bachelor’s degree in Commerce and a Masters of Business Administration from Rider University. He is also a Certified Public Accountant in the State of New Jersey (inactive).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William Dawes </w:t>
      </w:r>
      <w:r>
        <w:rPr>
          <w:rFonts w:ascii="Arial" w:cs="Arial" w:eastAsia="Arial" w:hAnsi="Arial"/>
          <w:sz w:val="16"/>
          <w:szCs w:val="16"/>
          <w:color w:val="auto"/>
        </w:rPr>
        <w:t>is our Vice President, Manufacturing and Operations since November 2010. Mr. Dawes held the position of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&amp; Supply Chain from January 2008 to November 2010. From 2005 to 2008, Mr. Dawes served as General Manager, Medical Imaging Technical Operations, Interim General Manager, Medical Imaging Technical Operations, and Director, Engineering and Maintenance for BMSMI. Mr. Dawes began his career with DuPont Merck Pharmaceuticals. He holds a Bachelor’s degree in Engineering from Hofstra University.</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Michael Duffy </w:t>
      </w:r>
      <w:r>
        <w:rPr>
          <w:rFonts w:ascii="Arial" w:cs="Arial" w:eastAsia="Arial" w:hAnsi="Arial"/>
          <w:sz w:val="16"/>
          <w:szCs w:val="16"/>
          <w:color w:val="auto"/>
        </w:rPr>
        <w:t>is our Vice President, General Counsel and Secretary, a position he has held since January 2008. From 2002 to 2008, he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General Counsel and Secretary of Point Therapeutics, Inc., a Boston-based biopharmaceutical company. Between 1999 and 2001, Mr. Duffy served as Senior Vice President, General Counsel and Secretary of Digital Broadband Communications, Inc., a competitive local exchange carrier which filed for protection under Chapter 11 of the United States Bankruptcy Code in December 2000. After the filing, Mr. Duffy served as the court-appointed liquidating trustee of the bankruptcy estate. From 1996 to 1999, Mr. Duffy served as Senior Vice President, General Counsel and Secretary of ETC w/tci, a sub-portfolio of TCI Ventures, Inc./Liberty Media Corporation. Mr. Duffy began his legal career with the law firm Ropes &amp; Gray and holds law degrees from the University of Pennsylvania and Oxford University and a Bachelor’s degree in History of Science from Harvard College. Mr. Duffy is also the current Chairman of the Board of Directors of CORAR, the Council on Radionuclides and Radiopharmaceuticals, a national trade association for the radiopharmaceutical industry.</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Mary Anne Heino </w:t>
      </w:r>
      <w:r>
        <w:rPr>
          <w:rFonts w:ascii="Arial" w:cs="Arial" w:eastAsia="Arial" w:hAnsi="Arial"/>
          <w:sz w:val="16"/>
          <w:szCs w:val="16"/>
          <w:color w:val="auto"/>
        </w:rPr>
        <w:t>joined Lantheus in April 2013 as Chief Commercial Officer. Ms. Heino brings more than 25 years of diverse 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Prior to joining Lantheus, Ms. Heino led Angelini Labopharm LLC and Labopharm USA in the roles of President and Senior Vice President of World Wide Sales and Marketing from February 2007 to March 2012. From May 2000 until February 2007, Ms. Heino served in numerous capacities at Centocor, Inc., a Johnson &amp; Johnson Company, including Vice President Strategic Planning and Competitive Intelligence, Vice President Sales, Executive Director Customer Relationship Management and Senior Director Immunology Marketing. Ms. Heino began her professional career with Janssen Pharmaceutical as a Sales Representative in June 1989 and worked her way up to the role of Field Sales Director in 1999. Ms. Heino received her Master’s in Business Administration from New York University. She earned a Bachelor’s of Science in Nursing from the City University of New York and a Bachelor’s of Science in Biology from the State University of New York at Stony Brook.</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Michael Heslop </w:t>
      </w:r>
      <w:r>
        <w:rPr>
          <w:rFonts w:ascii="Arial" w:cs="Arial" w:eastAsia="Arial" w:hAnsi="Arial"/>
          <w:sz w:val="16"/>
          <w:szCs w:val="16"/>
          <w:color w:val="auto"/>
        </w:rPr>
        <w:t>joined Lantheus in June 2012 as our Vice President, International and became our Vice President, Business Development and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in April 2013. Mr. Heslop possesses more than 25 years of general management and commercial experience. Prior to joining Lantheus, Mr. Heslop was General Manager and Senior Vice President, Biosurgical Specialties at Genzyme Corporation from 2009 to 2011. While at Genzyme, Mr. Heslop also held the positions of General Manager and Senior Vice President, Endocrinology from 2003 to 2009, and Vice President, Global Marketing, PGH Business from 2000 to 2003. Previously Mr. Heslop held the positions of Vice President, Business Development at Sciptgen Pharmaceuticals from 1998 to 2000 and Director, Marketing Anti-Infectives at Glaxo Welcome USA from 1996 to 1998. Mr. Heslop received a B.S. degree in Biology from McGill University and an M.B.A. from Concordia University.</w:t>
      </w:r>
    </w:p>
    <w:p>
      <w:pPr>
        <w:spacing w:after="0" w:line="105" w:lineRule="exact"/>
        <w:rPr>
          <w:sz w:val="20"/>
          <w:szCs w:val="20"/>
          <w:color w:val="auto"/>
        </w:rPr>
      </w:pPr>
    </w:p>
    <w:p>
      <w:pPr>
        <w:ind w:right="340" w:firstLine="456"/>
        <w:spacing w:after="0" w:line="284" w:lineRule="auto"/>
        <w:rPr>
          <w:sz w:val="20"/>
          <w:szCs w:val="20"/>
          <w:color w:val="auto"/>
        </w:rPr>
      </w:pPr>
      <w:r>
        <w:rPr>
          <w:rFonts w:ascii="Arial" w:cs="Arial" w:eastAsia="Arial" w:hAnsi="Arial"/>
          <w:sz w:val="16"/>
          <w:szCs w:val="16"/>
          <w:i w:val="1"/>
          <w:iCs w:val="1"/>
          <w:color w:val="auto"/>
        </w:rPr>
        <w:t xml:space="preserve">Dr. Cesare Orlandi </w:t>
      </w:r>
      <w:r>
        <w:rPr>
          <w:rFonts w:ascii="Arial" w:cs="Arial" w:eastAsia="Arial" w:hAnsi="Arial"/>
          <w:sz w:val="16"/>
          <w:szCs w:val="16"/>
          <w:color w:val="auto"/>
        </w:rPr>
        <w:t>joined Lantheus in March 2013 as Chief Medical Officer. Dr. Orlandi brings more than 20 years of diverse 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Prior to joining Lantheus, Dr. Orlandi served from January 2012 until February 2013 as Senior Vice President and Chief Medical Officer of TransTech Pharma, Inc., a clinical stage pharmaceutical company focused on discovery and development of human therapeutics. From 2007 until 2011,</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Dr. Orlandi served as Senior Vice President and Chief Medical Officer of Cardiokine, Inc., a specialty pharmaceutical company developing hospital products for cardiovascular indications. From 1998 until 2007, Dr. Orlandi served, in among other positions, as Vice President, Global Clinical Development of Otsuka Pharmaceuticals, a large Japanese pharmaceutical company. Earlier in his career, Dr. Orlandi served in increasing roles of clinical research responsibility at Medco Research, Inc. and the Radiopharmaceutical Division of The DuPont Merck Pharmaceutical Company, a predecessor organization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Lantheus, and The Upjohn Company. Dr. Orlandi received his medical degree from the University of Pavia Medical School in Pavia, Italy. He is currently an Adjunct Assistant Professor of Medicine at Tufts University School of Medicine in Boston, Massachusetts, and he is a founding member of the American Society of Nuclear Cardiology, and a Fellow of the American College of Cardiology, the European Society of Cardiology and the American College of Angiology.</w:t>
      </w:r>
    </w:p>
    <w:p>
      <w:pPr>
        <w:spacing w:after="0" w:line="9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i w:val="1"/>
          <w:iCs w:val="1"/>
          <w:color w:val="auto"/>
        </w:rPr>
        <w:t xml:space="preserve">Dr. Simon Robinson </w:t>
      </w:r>
      <w:r>
        <w:rPr>
          <w:rFonts w:ascii="Arial" w:cs="Arial" w:eastAsia="Arial" w:hAnsi="Arial"/>
          <w:sz w:val="16"/>
          <w:szCs w:val="16"/>
          <w:color w:val="auto"/>
        </w:rPr>
        <w:t>is our Vice President, Research and Pharmaceutical Development, a position he has held since February 2010. Dr. Robinson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Director Discovery Research from 2008 to 2010 and our Director Discovery Biology and Veterinary Sciences from 2001 to 2008. Prior to joining us, he held research positions at BMS, Sphinx Pharmaceuticals, BASF and Dupont Pharmaceuticals. He holds a Ph.D. and B.Sc. in Pharmacology from the University of Leeds, England and did post-doctoral training at the University of Wisconsin Clinical Cancer Center.</w:t>
      </w:r>
    </w:p>
    <w:p>
      <w:pPr>
        <w:spacing w:after="0" w:line="9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Cyrille Villeneuve </w:t>
      </w:r>
      <w:r>
        <w:rPr>
          <w:rFonts w:ascii="Arial" w:cs="Arial" w:eastAsia="Arial" w:hAnsi="Arial"/>
          <w:sz w:val="16"/>
          <w:szCs w:val="16"/>
          <w:color w:val="auto"/>
        </w:rPr>
        <w:t>is our Vice President, International and previously served as Chief Commercial Officer from October 2011 to April 2013,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sales and marketing. Previously Mr. Villeneuve was our Vice President and General Manager, International, a position he held since November 2008. Prior to joining us in 1985, Mr. Villeneuve held positions at the Montreal Heart Institute and Hospital Hotel-Dieu Montreal. He holds a Bachelor of Arts from Montreal University and a Master of Public Administration from the Ecole Nationale Administration Publique.</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Nigel Williams </w:t>
      </w:r>
      <w:r>
        <w:rPr>
          <w:rFonts w:ascii="Arial" w:cs="Arial" w:eastAsia="Arial" w:hAnsi="Arial"/>
          <w:sz w:val="16"/>
          <w:szCs w:val="16"/>
          <w:color w:val="auto"/>
        </w:rPr>
        <w:t>joined Lantheus Medical Imaging in April 2012 as Vice President, Quality. Mr. Williams brings more than 30 years of industry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in manufacturing, quality and supply of a wide range of healthcare and diagnostic products. Prior to joining Lantheus, Mr. Williams served as Head of Quality for Merck KGaA Chemicals Operations from 2011 to 2012, Vice President, Quality Management at EMD Millipore from 2009 to 2011 and Director of Manufacturing for Millipore Corporation from 2006 to 2009. He held the roles of Site General Manager from 2005 to 2006 and Director of operations from 2004 to 2005 for Celliance Limited. Mr. Williams received a B.S. honors degree in Applied Biology from Brunel University.</w:t>
      </w:r>
    </w:p>
    <w:p>
      <w:pPr>
        <w:spacing w:after="0" w:line="10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 xml:space="preserve">Brian Markison </w:t>
      </w:r>
      <w:r>
        <w:rPr>
          <w:rFonts w:ascii="Arial" w:cs="Arial" w:eastAsia="Arial" w:hAnsi="Arial"/>
          <w:sz w:val="16"/>
          <w:szCs w:val="16"/>
          <w:color w:val="auto"/>
        </w:rPr>
        <w:t>is our Non-Executive Chairman of the Board of Directors. Mr. Markison joined the Board in September 2012 and was elevated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in January 2013. Mr. Markison has been a Healthcare Industry Executive for Avista since September 2012. Mr. Markison is a seasoned executive with more than 30 years of operational, marketing, commercial development and sales experience with international pharmaceutical companies. He most recently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CEO later that year, and elected Chairman in 2007. Prior to joining King, Mr. Markison held various senior leadership positions at Bristol-Myers Squibb, including President of Oncology, Virology and Oncology Therapeutics Network; President of Neuroscience, Infectious Disease and Dermatology; and Senior Vice President, Operational Excellence and Productivity. Mr. Markison also serves on the Board of Directors of Immunomedics, Inc. and PharmAthene, Inc. He also serves as Board Chairman for Rosetta Genomics, Ltd. and Executive Chairman of Vertical/Trigen Holdings, LLC. He is also a Director of the Komen Foundation for South</w:t>
      </w:r>
    </w:p>
    <w:p>
      <w:pPr>
        <w:spacing w:after="0" w:line="5" w:lineRule="exact"/>
        <w:rPr>
          <w:sz w:val="20"/>
          <w:szCs w:val="20"/>
          <w:color w:val="auto"/>
        </w:rPr>
      </w:pPr>
    </w:p>
    <w:p>
      <w:pPr>
        <w:ind w:right="120" w:firstLine="8"/>
        <w:spacing w:after="0" w:line="323" w:lineRule="auto"/>
        <w:tabs>
          <w:tab w:leader="none" w:pos="93" w:val="left"/>
        </w:tabs>
        <w:numPr>
          <w:ilvl w:val="0"/>
          <w:numId w:val="84"/>
        </w:numPr>
        <w:rPr>
          <w:rFonts w:ascii="Arial" w:cs="Arial" w:eastAsia="Arial" w:hAnsi="Arial"/>
          <w:sz w:val="16"/>
          <w:szCs w:val="16"/>
          <w:color w:val="auto"/>
        </w:rPr>
      </w:pPr>
      <w:r>
        <w:rPr>
          <w:rFonts w:ascii="Arial" w:cs="Arial" w:eastAsia="Arial" w:hAnsi="Arial"/>
          <w:sz w:val="16"/>
          <w:szCs w:val="16"/>
          <w:color w:val="auto"/>
        </w:rPr>
        <w:t>Central New Jersey, the College of New Jersey and the Pennington School. Mr. Markison holds a BS degree from Iona College. Mr. Markison was chosen as a Director because of his strong commercial and operational management background and extensive experience in the pharmaceutical industry.</w:t>
      </w:r>
    </w:p>
    <w:p>
      <w:pPr>
        <w:spacing w:after="0" w:line="7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David Burgstahler </w:t>
      </w:r>
      <w:r>
        <w:rPr>
          <w:rFonts w:ascii="Arial" w:cs="Arial" w:eastAsia="Arial" w:hAnsi="Arial"/>
          <w:sz w:val="18"/>
          <w:szCs w:val="18"/>
          <w:color w:val="auto"/>
        </w:rPr>
        <w:t>is a Director and the Chairman of our Compensation Committee, serving on our Board of Directors since January 2008.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partner of Avista since 2005 and since 2009, has been President of Avista. Prior to forming Avista, he was a partner of DLJMB. He was at DLJ Investment Banking from 1995 to 1997 and at DLJMB from 1997 through 2005. Prior to that, he worked at Andersen Consulting (now known as Accenture) and McDonnell Douglas (now known as Boeing). He holds a Bachelor of Science in Aerospace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Engineering from the University of Kansas and a Master of Business Administration from Harvard Business School. He currently serves as a Director of AngioDynamics Inc., Armored AutoGroup Inc., ConvaTec Inc., INC Research Holdings, Inc., Strategic Partners, Inc., Vertical/Trigen Holdings, LLC, Visant Corporation and WideOpenWest, LLC. He previously served as a Director of Warner Chilcott plc and BioReliance Holdings, Inc. Mr. Burgstahler was chosen as a Director because of his strong finance and management background, with over 18 years in banking and private equity finance. He has extensive experience serving as a director for a diverse group of private and public companies.</w:t>
      </w:r>
    </w:p>
    <w:p>
      <w:pPr>
        <w:spacing w:after="0" w:line="1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 xml:space="preserve">Samuel Leno </w:t>
      </w:r>
      <w:r>
        <w:rPr>
          <w:rFonts w:ascii="Arial" w:cs="Arial" w:eastAsia="Arial" w:hAnsi="Arial"/>
          <w:sz w:val="16"/>
          <w:szCs w:val="16"/>
          <w:color w:val="auto"/>
        </w:rPr>
        <w:t>is a Director and the Chairman of our Audit Committee, serving on the Board of Directors since May 2012. Mr. Leno is a strategic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is a member of the Board of Directors and the Audit Committee of Omnicare, is the Chairman of the Board of Zest Anchors, Inc. and serves as a Director of Endotronix Inc. He is also a member of the Advisory Board of the Harvard Business School Healthcare Initiative. He previously served on the Board and Audit Committee of Tomotherapy, Inc. Mr. Leno served as a Lieutenant in the United States Navy and is a Vietnam veteran. He holds a Bachelor of Science in Accounting from Northern Illinois University and an MBA from Roosevelt University. Mr. Leno was chosen as a Director because of his financial expertise and industry background.</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Dr. Patrick O’Neill </w:t>
      </w:r>
      <w:r>
        <w:rPr>
          <w:rFonts w:ascii="Arial" w:cs="Arial" w:eastAsia="Arial" w:hAnsi="Arial"/>
          <w:sz w:val="16"/>
          <w:szCs w:val="16"/>
          <w:color w:val="auto"/>
        </w:rPr>
        <w:t>is a Director, serving on the Board of Directors since February 2008. He is also an industry advisor for Avista, a position he has held</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2008. Dr. O’Neill was at Johnson &amp; Johnson from 1976 to 2006, holding Research and Development and New Business Development leadership positions in Johnson &amp; Johnson’s pharmaceutical business, their Medical Devices and Diagnostics Group, and the surgical and interventional cardiology/radiology business units until he retired in February 2006. He served as Executive in Residence at New Enterprise Associates from March 2006 through 2007. Dr. O’Neill holds a Bachelor of Science in Pharmacy and Ph.D. in Pharmacology from The Ohio State University. He currently serves as Director of OptiNose US Inc. and Zest Anchors, Inc. Dr. O’Neill was chosen as a Director because of his experience in the pharmaceutical industry. Dr. O’Neill has participated directly in the development of pharmaceutical products for other companies, which provides valuable insight into strategic business decisions.</w:t>
      </w:r>
    </w:p>
    <w:p>
      <w:pPr>
        <w:spacing w:after="0" w:line="10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Sriram Venkataraman </w:t>
      </w:r>
      <w:r>
        <w:rPr>
          <w:rFonts w:ascii="Arial" w:cs="Arial" w:eastAsia="Arial" w:hAnsi="Arial"/>
          <w:sz w:val="18"/>
          <w:szCs w:val="18"/>
          <w:color w:val="auto"/>
        </w:rPr>
        <w:t>is a Director, serving on the Board of Directors since November 2010. He is also a Partner of Avista, having joined in May 2007.</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Avista, Mr. Venkataraman was a Vice President in the Healthcare Investment Banking group at Credit Suisse Group AG from 2001 to 2007. Previously, he worked at GE Healthcare (formerly known as GE Medical Systems) from 1996 to 1999. Mr. Venkataraman holds a Master of Science in Electrical Engineering from the University of Illinois, Urbana-Champaign and a Master of Business Administration with Honors from The Wharton School. He currently serves as a Director of AngioDynamics, Inc., OptiNose Inc., Zest Anchors, Inc. and Vertical/Trigen Holdings, LLC. Mr. Venkataraman was chosen as a Director because of his experience in the healthcare industry and his strong finance and management background. He also has experience serving as a director of private and public companies.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is responsible for the management of our business and is comprised of six directors who are elected to serve in their position until their next election and until their successors are elected and qualified. Pursuant to the management and employee Shareholders Agreements described in “Certain Relationships and Related Person Transactions—Shareholders Agreements,” Avista has designation rights with respect to the composition of our Board of Directors and Avista is entitled to majority representation on any committee that the board creates.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Upon the consummation of this offering, we intend to amend and restate our certificate of incorporation and bylaws to, among other things, comply with SEC and NYSE or NASDAQ guidelines. The full composition of the Board of Directors will be determined at that time.</w:t>
      </w:r>
    </w:p>
    <w:p>
      <w:pPr>
        <w:spacing w:after="0" w:line="118"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Our amended and restated certificate of incorporation will provide that our Board will be divided into three classes, with one class being elected at each annual meeting of stockholders. Each director will serve a three-year term, with termination staggered according to class. The Class I directors, whose terms will</w:t>
      </w:r>
    </w:p>
    <w:p>
      <w:pPr>
        <w:spacing w:after="0" w:line="253" w:lineRule="auto"/>
        <w:rPr>
          <w:sz w:val="20"/>
          <w:szCs w:val="20"/>
          <w:color w:val="auto"/>
        </w:rPr>
      </w:pPr>
      <w:r>
        <w:rPr>
          <w:rFonts w:ascii="Arial" w:cs="Arial" w:eastAsia="Arial" w:hAnsi="Arial"/>
          <w:sz w:val="18"/>
          <w:szCs w:val="18"/>
          <w:color w:val="auto"/>
        </w:rPr>
        <w:t>expire at the first annual meeting of our stockholders following the filing of our amended and restated certificate of incorporation, will be . The Class II directors, whose terms will expire at the second annual meeting of our stockholders following the filing of our amended and restated certificate of incorporation, will be . The Class III directors, whose terms will expire at the third annual meeting of our stockholders following the filing of our amended and restated certificate of incorporation, will be . See “Description of Capital Stock—Anti-Takeover Effects of our Amended and Restated Certificate of Incorporation and Bylaws.”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After completion of this offering, Avista will continue to control a majority of our outstanding common stock. As a result, we are a “controlled company” within the meaning of NYSE or NASDAQ corporate governance standards. Under these rules, a “controlled company” may elect not to comply with certain NYSE or NASDAQ corporate governance standards, including:</w:t>
      </w:r>
    </w:p>
    <w:p>
      <w:pPr>
        <w:spacing w:after="0" w:line="46" w:lineRule="exact"/>
        <w:rPr>
          <w:sz w:val="20"/>
          <w:szCs w:val="20"/>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requirement for an annual performance evaluation of the nominating and corporate governance committee and compensation committee.</w:t>
      </w:r>
    </w:p>
    <w:p>
      <w:pPr>
        <w:spacing w:after="0" w:line="20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Following this offering, we intend to utilize these exemptions. As a result, we will not have a majority of independent directors, our nominating and corporate governance committee and compensation committee will not consist entirely of independent directors, and those committees will not be subject to annual performance evaluations. Accordingly, our stockholders will not have the same protections afforded to stockholders of companies that are subject to all NYSE or NASDAQ corporate governance requirements.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However, the SEC rules and NYSE or NASDAQ rules require us to have at least one independent audit committee member upon the listing of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Upon the consummation of this offering, our Board of Directors will have three committees: the audit committee, the compensation committee and the nominating and corporate governance committee.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the audit committee is to assist the board’s oversight of:</w:t>
      </w:r>
    </w:p>
    <w:p>
      <w:pPr>
        <w:spacing w:after="0" w:line="77" w:lineRule="exact"/>
        <w:rPr>
          <w:sz w:val="20"/>
          <w:szCs w:val="20"/>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systems of control over financial reporting and disclosure controls and procedures;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independent auditors’ qualifications and independence;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performance of our independent auditors and our internal audit function;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related person transactions for potential conflict of interest situations on an ongoing basis;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preparation of the report required to be prepared by the committee pursuant to Securities and Exchange Commission rules.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Audit Committee is currently composed of Messrs. Leno and Venkataraman. Mr. Leno, the Chairman of the Audit Committee, has been designated by</w:t>
      </w:r>
    </w:p>
    <w:p>
      <w:pPr>
        <w:spacing w:after="0" w:line="5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Board of Directors of Holdings as our “audit committee financial expert.” After this offering, Messrs. , and will serve on the audit committee. will serve as chairman of the audit committee and also qualifies as an “audit committee financial expert” as that term has been defined by the Securities and Exchange Commission in Item 407(d)(5) of Regulation S-K. Our Board of Directors has affirmatively determined that meets the definition</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 “independent director” for the purposes of serving on the audit committee under the Securities and Exchange Commission and NYSE or NASDAQ rules. 90 days following the completion of this offering, we will have an additional member of the Audit Committee who will also meet this definition of “independent director.”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our compensation committee is to:</w:t>
      </w:r>
    </w:p>
    <w:p>
      <w:pPr>
        <w:spacing w:after="0" w:line="77" w:lineRule="exact"/>
        <w:rPr>
          <w:sz w:val="20"/>
          <w:szCs w:val="20"/>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recommend to our Board of Directors for consideration, the compensation and benefits of our executive officers and key employees;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monitor and review our compensation and benefit plans;</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administer our stock and other incentive compensation plans and programs and prepare recommendations and periodic reports to the Board of Directors concerning those matters;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prepare the compensation committee report required by Securities and Exchange Commission rules to be included in our annual report;</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prepare recommendations and periodic reports to the Board of Directors as appropriate;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handle such other matters that are specifically delegated to the compensation committee by our Board of Directors from time to time.</w:t>
      </w:r>
    </w:p>
    <w:p>
      <w:pPr>
        <w:sectPr>
          <w:pgSz w:w="11900" w:h="16838" w:orient="portrait"/>
          <w:cols w:equalWidth="0" w:num="1">
            <w:col w:w="11400"/>
          </w:cols>
          <w:pgMar w:left="240" w:top="459" w:right="259" w:bottom="1440" w:gutter="0" w:footer="0" w:header="0"/>
        </w:sectPr>
      </w:pP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Messrs. Burgstahler and Markison currently serve on our compensation committee. After this offering,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will serve on the</w:t>
      </w:r>
    </w:p>
    <w:p>
      <w:pPr>
        <w:spacing w:after="0" w:line="38" w:lineRule="exact"/>
        <w:rPr>
          <w:sz w:val="20"/>
          <w:szCs w:val="20"/>
          <w:color w:val="auto"/>
        </w:rPr>
      </w:pPr>
    </w:p>
    <w:p>
      <w:pPr>
        <w:sectPr>
          <w:pgSz w:w="11900" w:h="16838" w:orient="portrait"/>
          <w:cols w:equalWidth="0" w:num="4">
            <w:col w:w="7880" w:space="720"/>
            <w:col w:w="40" w:space="580"/>
            <w:col w:w="240" w:space="620"/>
            <w:col w:w="1320"/>
          </w:cols>
          <w:pgMar w:left="240" w:top="459" w:right="259" w:bottom="1440" w:gutter="0" w:footer="0" w:header="0"/>
          <w:type w:val="continuous"/>
        </w:sectPr>
      </w:pPr>
    </w:p>
    <w:p>
      <w:pPr>
        <w:spacing w:after="0"/>
        <w:tabs>
          <w:tab w:leader="none" w:pos="2660" w:val="left"/>
        </w:tabs>
        <w:rPr>
          <w:sz w:val="20"/>
          <w:szCs w:val="20"/>
          <w:color w:val="auto"/>
        </w:rPr>
      </w:pPr>
      <w:r>
        <w:rPr>
          <w:rFonts w:ascii="Arial" w:cs="Arial" w:eastAsia="Arial" w:hAnsi="Arial"/>
          <w:sz w:val="18"/>
          <w:szCs w:val="18"/>
          <w:color w:val="auto"/>
        </w:rPr>
        <w:t>compensation committee, and</w:t>
      </w:r>
      <w:r>
        <w:rPr>
          <w:sz w:val="20"/>
          <w:szCs w:val="20"/>
          <w:color w:val="auto"/>
        </w:rPr>
        <w:tab/>
      </w:r>
      <w:r>
        <w:rPr>
          <w:rFonts w:ascii="Arial" w:cs="Arial" w:eastAsia="Arial" w:hAnsi="Arial"/>
          <w:sz w:val="15"/>
          <w:szCs w:val="15"/>
          <w:color w:val="auto"/>
        </w:rPr>
        <w:t>will serve as the chairman.</w:t>
      </w:r>
    </w:p>
    <w:p>
      <w:pPr>
        <w:sectPr>
          <w:pgSz w:w="11900" w:h="16838" w:orient="portrait"/>
          <w:cols w:equalWidth="0" w:num="1">
            <w:col w:w="11400"/>
          </w:cols>
          <w:pgMar w:left="240" w:top="459" w:right="259" w:bottom="1440" w:gutter="0" w:footer="0" w:header="0"/>
          <w:type w:val="continuous"/>
        </w:sectPr>
      </w:pP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the nominating and corporate governance committee is to:</w:t>
      </w:r>
    </w:p>
    <w:p>
      <w:pPr>
        <w:spacing w:after="0" w:line="77" w:lineRule="exact"/>
        <w:rPr>
          <w:sz w:val="20"/>
          <w:szCs w:val="20"/>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identify and recommend to the board individuals qualified to serve as directors of our company and on committees of the board;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advise the board with respect to the board composition, procedures and committees;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 and recommend to the board a set of corporate governance guidelines and principles applicable to us;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the overall corporate governance of our company and recommend improvements when necessary.</w:t>
      </w:r>
    </w:p>
    <w:p>
      <w:pPr>
        <w:spacing w:after="0" w:line="185" w:lineRule="exact"/>
        <w:rPr>
          <w:sz w:val="20"/>
          <w:szCs w:val="20"/>
          <w:color w:val="auto"/>
        </w:rPr>
      </w:pPr>
    </w:p>
    <w:p>
      <w:pPr>
        <w:ind w:left="460"/>
        <w:spacing w:after="0"/>
        <w:tabs>
          <w:tab w:leader="none" w:pos="2380" w:val="left"/>
          <w:tab w:leader="none" w:pos="3040" w:val="left"/>
          <w:tab w:leader="none" w:pos="3900" w:val="left"/>
          <w:tab w:leader="none" w:pos="9520" w:val="left"/>
        </w:tabs>
        <w:rPr>
          <w:sz w:val="20"/>
          <w:szCs w:val="20"/>
          <w:color w:val="auto"/>
        </w:rPr>
      </w:pPr>
      <w:r>
        <w:rPr>
          <w:rFonts w:ascii="Arial" w:cs="Arial" w:eastAsia="Arial" w:hAnsi="Arial"/>
          <w:sz w:val="18"/>
          <w:szCs w:val="18"/>
          <w:color w:val="auto"/>
        </w:rPr>
        <w:t>After this offering,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serve on the nominating and corporate governance committee, and</w:t>
      </w:r>
      <w:r>
        <w:rPr>
          <w:sz w:val="20"/>
          <w:szCs w:val="20"/>
          <w:color w:val="auto"/>
        </w:rPr>
        <w:tab/>
      </w:r>
      <w:r>
        <w:rPr>
          <w:rFonts w:ascii="Arial" w:cs="Arial" w:eastAsia="Arial" w:hAnsi="Arial"/>
          <w:sz w:val="15"/>
          <w:szCs w:val="15"/>
          <w:color w:val="auto"/>
        </w:rPr>
        <w:t>will serve as the chairman.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 code of conduct and ethics for all of our employees, including our principal executive, financial and accounting officers and our controller, or persons performing similar functions, and each of the non-employee directors on our Board of Directors. Our Company Code of Conduct is currently available on our website, www.lantheus.com. The information on our web site is not part of, and is not incorporated by reference into, this prospectus. We intend to provide any required disclosure of any amendment to or waiver from that code that applies to our principal executive officer, principal financial officer, principal accounting officer or controller, or persons performing similar functions, in a Current Report on Form 8-K filed with the Commission.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During 2013, the members of our compensation committee were Messrs. Burgstahler and Markison. Mr. Burgstahler is the President of Avista. Avista provides us with advisory services pursuant to an advisory services and monitoring agreement and has entered into other transactions with us. See “Certain Relationships and Related Person Transactions—Advisory and Monitoring Services Agreement.”</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Upon the completion of this offering, none of our executive officers will serve on the compensation committee or Board of Directors of any other company of which any of the members of our compensation committee or any of our directors is an executive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2013, our named executive officers were:</w:t>
      </w:r>
    </w:p>
    <w:p>
      <w:pPr>
        <w:spacing w:after="0" w:line="77" w:lineRule="exact"/>
        <w:rPr>
          <w:sz w:val="20"/>
          <w:szCs w:val="20"/>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Jeffrey Bailey, President and Chief Executive Officer;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Mary Anne Heino, Chief Commercial Officer;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Cesare Orlandi, Chief Medical Officer;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Donald Kiepert, (former) President and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compensation for the year ended December 31, 2013 earned by or paid to our named executive officers.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Non-Equity</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58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1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9"/>
              </w:rPr>
              <w:t>Salary</w:t>
            </w:r>
          </w:p>
        </w:tc>
        <w:tc>
          <w:tcPr>
            <w:tcW w:w="2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Bonus(1)</w:t>
            </w:r>
          </w:p>
        </w:tc>
        <w:tc>
          <w:tcPr>
            <w:tcW w:w="3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Awards(2)(3)</w:t>
            </w:r>
          </w:p>
        </w:tc>
        <w:tc>
          <w:tcPr>
            <w:tcW w:w="300" w:type="dxa"/>
            <w:vAlign w:val="bottom"/>
          </w:tcPr>
          <w:p>
            <w:pPr>
              <w:spacing w:after="0"/>
              <w:rPr>
                <w:sz w:val="12"/>
                <w:szCs w:val="12"/>
                <w:color w:val="auto"/>
              </w:rPr>
            </w:pPr>
          </w:p>
        </w:tc>
        <w:tc>
          <w:tcPr>
            <w:tcW w:w="12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Compensation(4)</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Compensatio(5)(6)(7)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40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39"/>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660" w:type="dxa"/>
            <w:vAlign w:val="bottom"/>
          </w:tcPr>
          <w:p>
            <w:pPr>
              <w:ind w:left="540"/>
              <w:spacing w:after="0" w:line="148" w:lineRule="exact"/>
              <w:rPr>
                <w:sz w:val="20"/>
                <w:szCs w:val="20"/>
                <w:color w:val="auto"/>
              </w:rPr>
            </w:pPr>
            <w:r>
              <w:rPr>
                <w:rFonts w:ascii="Arial" w:cs="Arial" w:eastAsia="Arial" w:hAnsi="Arial"/>
                <w:sz w:val="14"/>
                <w:szCs w:val="14"/>
                <w:b w:val="1"/>
                <w:bCs w:val="1"/>
                <w:color w:val="auto"/>
                <w:w w:val="79"/>
              </w:rPr>
              <w:t>($</w:t>
            </w:r>
          </w:p>
        </w:tc>
        <w:tc>
          <w:tcPr>
            <w:tcW w:w="58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9"/>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Jeffrey Bailey</w:t>
            </w:r>
          </w:p>
        </w:tc>
        <w:tc>
          <w:tcPr>
            <w:tcW w:w="40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79"/>
              </w:rPr>
              <w:t>2013</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401,538</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2,440,000</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500,000</w:t>
            </w: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79,281</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3,420,819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228,846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112,000</w:t>
            </w:r>
          </w:p>
        </w:tc>
        <w:tc>
          <w:tcPr>
            <w:tcW w:w="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150,432</w:t>
            </w:r>
          </w:p>
        </w:tc>
        <w:tc>
          <w:tcPr>
            <w:tcW w:w="3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803,778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Commercial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287,787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3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Medical Officer</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2"/>
          </w:tcPr>
          <w:p>
            <w:pPr>
              <w:spacing w:after="0"/>
              <w:rPr>
                <w:sz w:val="20"/>
                <w:szCs w:val="20"/>
                <w:color w:val="auto"/>
              </w:rPr>
            </w:pPr>
            <w:r>
              <w:rPr>
                <w:rFonts w:ascii="Arial" w:cs="Arial" w:eastAsia="Arial" w:hAnsi="Arial"/>
                <w:sz w:val="18"/>
                <w:szCs w:val="18"/>
                <w:color w:val="auto"/>
              </w:rPr>
              <w:t>Donald Kiepert</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492,371(8)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(Former) President and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Orlandi was granted a $30,000 sign-on bonus to offset certain reimbursements required of his previous employer.</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Bailey, Ms. Heino and Dr. Orlandi received initial stock option grants in conjunction with their employment offer in 2013. Dr. Orlandi was granted supplemental grants in August 2013 in recognition of his performance and to improve our competitive position.</w:t>
      </w:r>
    </w:p>
    <w:p>
      <w:pPr>
        <w:spacing w:after="0" w:line="37"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the grant date fair value of the stock option awards granted during the fiscal year ended December 31, 2013 in accordance with ASC 718 with respect to options to purchase shares of our common stock awarded to the named executive officers in 2013 under our 2008 and 2013 Equity Plans. See Note 12 to our consolidated financial statements, which are included elsewhere in this Prospectus, for a description of the assumptions used in valuing the awards.</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2013, the Compensation Committee awarded bonuses to Mr. Bailey, Ms. Heino and Dr. Orlandi under the Bonus Plan.</w:t>
      </w:r>
    </w:p>
    <w:p>
      <w:pPr>
        <w:spacing w:after="0" w:line="76"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Messrs. Bailey, Kiepert, Ms. Heino and Dr. Orlandi, the amounts reflect matching contributions to our defined contribution retirement plans in 2013 of $7,057, $1,722, $2,887 and $4,853, respectively.</w:t>
      </w:r>
    </w:p>
    <w:p>
      <w:pPr>
        <w:spacing w:after="0" w:line="37"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Messrs. Bailey, Kiepert, Ms. Heino and Dr. Orlandi, the amounts reflect employer contributions to our long term disability insurance premiums in 2013 of $1,159, $151, $907 and $1,058, respectively.</w:t>
      </w:r>
    </w:p>
    <w:p>
      <w:pPr>
        <w:spacing w:after="0" w:line="37" w:lineRule="exact"/>
        <w:rPr>
          <w:rFonts w:ascii="Arial" w:cs="Arial" w:eastAsia="Arial" w:hAnsi="Arial"/>
          <w:sz w:val="18"/>
          <w:szCs w:val="18"/>
          <w:color w:val="auto"/>
        </w:rPr>
      </w:pPr>
    </w:p>
    <w:p>
      <w:pPr>
        <w:ind w:left="460" w:right="200" w:hanging="452"/>
        <w:spacing w:after="0" w:line="306"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 part of Mr. Bailey’s agreement he is compensated for his commuting expenses from the New Jersey area and temporary housing expenses in Massachusetts. This reimbursement arrangement terminated on March 31, 2014. Included in his “All Other Compensation” is $71,065 for these expenses which included a tax gross up on aggregate basis of one and a half times the amount of the reimbursed commuting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housing expenses. As part of Ms. Heino’s agreement she was reimbursed for certain relocation expenses from the New Jersey area to Massachusetts. Included in her “All Other Compensation” is $146,639 for taxable expenses associated with her home sales, temporary housing and physical move which includes the associated tax gross up on an aggregate basis. As part of Dr. Orlandi’s agreement he was reimbursed for certain relocation expenses. Included in her “All Other Compensation” is $3,261 for taxable expenses associated with the physical move which includes the associated tax gross up on an aggregate basis.</w:t>
      </w:r>
    </w:p>
    <w:p>
      <w:pPr>
        <w:spacing w:after="0" w:line="48" w:lineRule="exact"/>
        <w:rPr>
          <w:sz w:val="20"/>
          <w:szCs w:val="20"/>
          <w:color w:val="auto"/>
        </w:rPr>
      </w:pPr>
    </w:p>
    <w:p>
      <w:pPr>
        <w:ind w:left="460" w:right="2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 Kiepert received severance payments totaling $380,498 during 2013. To have a smooth leadership transition, Mr. Kiepert received $110,000 under a consulting agreement with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and other benefits consist of the following elements:</w:t>
      </w:r>
    </w:p>
    <w:p>
      <w:pPr>
        <w:spacing w:after="0" w:line="77" w:lineRule="exact"/>
        <w:rPr>
          <w:sz w:val="20"/>
          <w:szCs w:val="20"/>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annual non-equity incentive compensation;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long-term equity incentives in the form of stock options.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do not offer a defined benefit pension plan. The Compensation Committee supports a competitive employee benefit package, but generally does not support executive perquisites or other supplemental programs targeted to executives.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base salaries of Messrs. Bailey, Ms. Heino and Dr. Orlandi were negotiated as part of their employment offers. Mr. Kiepert did not receive a salary increase in 2013.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base salaries of our named executive officers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8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380" w:type="dxa"/>
            <w:vAlign w:val="bottom"/>
            <w:vMerge w:val="continue"/>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Salary</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Bailey</w:t>
            </w:r>
          </w:p>
        </w:tc>
        <w:tc>
          <w:tcPr>
            <w:tcW w:w="3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340,000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365,000</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Don Kiepert (former President and CEO)</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2013 Executive Leadership Team Incentive Bonus Plan, or the Bonus Plan, rewards executive officers, including our named executive officers for annual financial performance, performance of other corporate goals that may be long-term in nature and meeting or exceeding certain short-term objectives.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connection with the Acquisition, the Board of Directors approved and adopted our 2008 Equity Incentive Plan and the subsequently adopted our 2013 Equity Incentive Plan, or the Equity Plans, which allow grants of equity awards and options for shares of Holdings.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options have an exercise price equal to fair market value on the date of grant. Since our common stock was not traded on a national securities exchange prior to the completion of this offering, fair market value has historically been determined reasonably and in good faith by the Board of Directors. These options have a ten-year term. Options are generally issued either as time based options, or the Time Vesting Options, or EBITDA-based performance options, or the Performance Vesting Options.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2013, the options granted to Mr. Bailey in conjunction with his employment offer are 50% Time Vesting Options and 50% EBITDA-based performance options. Mr. Bailey’s Time Vesting Options vest ratably each month over a four year period from his date of hire; the options granted to Ms. Heino and</w:t>
      </w:r>
    </w:p>
    <w:p>
      <w:pPr>
        <w:ind w:right="100"/>
        <w:spacing w:after="0" w:line="261" w:lineRule="auto"/>
        <w:rPr>
          <w:sz w:val="20"/>
          <w:szCs w:val="20"/>
          <w:color w:val="auto"/>
        </w:rPr>
      </w:pPr>
      <w:r>
        <w:rPr>
          <w:rFonts w:ascii="Arial" w:cs="Arial" w:eastAsia="Arial" w:hAnsi="Arial"/>
          <w:sz w:val="18"/>
          <w:szCs w:val="18"/>
          <w:color w:val="auto"/>
        </w:rPr>
        <w:t>Dr. Orlandi in conjunction with their employment offers vest ratably on the anniversary of grant date over a four year period; 50% are Time Vesting Options and 50% are EBITDA-based performance options.</w:t>
      </w:r>
    </w:p>
    <w:p>
      <w:pPr>
        <w:spacing w:after="0" w:line="12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2013, the supplemental options granted to Dr. Orlandi were 100% Time Vesting Options which will vest ratably on the anniversary of grant date over a four year period.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target EBITDA for purposes of our equity incentive plans relative to performance vesting of options in 2013 was $49.5 million. EBITDA for purposes of our equity incentive plans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as presented in “Prospectus Summary—Summary Consolidated Financial and Other Data” differs from EBITDA relative to the performance vesting of our awards granted as part of our long-term equity incentive awards. Run– rate savings and non-executive recruiting and severance, which are permitted in calculating Adjusted EBITDA under the indenture governing our notes, are not permitted in calculating EBITDA for purposes of our equity incentive plans. In the fiscal year ended December 31, 2013, our actual EBITDA relative to performance vesting of options in 2013 was $46.4 million. As a result, 94% of the Performance Vesting Options vested in 2013.</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concerning the options awarded in 2011, 2012 and 2013, see “—Outstanding Equity Awards at 2013 Fiscal Year-End.”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Benefits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Plans</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offer a 401(k) qualified defined contribution retirement plan for U.S.-based employees, including named executive officers, with a 4.5% company match of the contributor’s base salary. The company match was temporarily suspended from April 2012 to December 2012 and reinstated in January 2013.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Benefits</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Except as otherwise discussed herein, other welfare and employee-benefit programs are the same for all of our eligible employees, including our named executive officers. Our other named executive officers do not receive additional benefits outside of those offered to our other employees.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Ownership Guidelines</w:t>
      </w:r>
    </w:p>
    <w:p>
      <w:pPr>
        <w:spacing w:after="0" w:line="77"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In the event of exercise of an option grant, the resulting shares are subject to the provisions of the Employee Shareholder Agreement which restricts transfer and voting rights to ensure alignment with the initial investors. For example, Employee Shareholders (as defined in the Employee Shareholder Agreement) are restricted from transferring any of our securities, subject to certain exceptions outlined in the Employee Shareholder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January 2008, we entered into an employment agreement with Don Kiepert, our former President and Chief Executive Officer, which detailed, among other things, his rights upon a termination of employment in exchange for non-competition, non-solicitation and confidentiality covenants. See “—Potential Payment Upon Termination or Change in Control.”</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Mr. Bailey’s employment agreement provides for 12 months of salary, target bonus and health benefit subsidies in the event of termination by the company without cause or by Mr. Bailey with good reason. If his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termination under these provisions is within 12 months following a change of control, the agreement provides for 12 months of two times his salary, two times his target bonus and 18 months of certain benefit subsidies. See “—Potential Payment Upon Termination or Change in Control.”</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of our other current named executive officers are covered by employment agreements which provide for 12 months of salary, prorated target bonus and certain benefit subsidies in the event of termination by the company without cause. If their termination is by the company without cause or by the executive for good reason within 12 months following a change of control, the agreements provides for 12 months salary, target bonus and 12 months of certain benefit subsidies. See “—Potential Payment Upon Termination or Change in Control.”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and Accounting Implications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a privately held company, we were not subject to Section 162(m) of the Internal Revenue Code. For 2013 and beyond, the Compensation Committee will consider the impact of Section 162(m) in the design of its compensation strategies. Under Section 162(m), compensation paid to certain executive officers in excess of $1,000,000 cannot be taken by us as a tax deduction unless the compensation qualifies as performance-based compensation. We have determined, however, that we will not necessarily seek to limit executive compensation to amounts deductible under Section 162(m) if that limitation is not in the best interests of our stockholders. While considering the tax implications of its compensation decisions, the Compensation Committee believes its primary focus should be to attract, retain and motivate executives and to align the executives’ interests with those of our stockholders.</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Compensation Committee operates its compensation programs with the good faith intention of complying with Section 409A of the Internal Revenue Code. We account for stock based payments with respect to our long-term equity incentive award programs in accordance with the requirements of ASC 718.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certain information with respect to options held by the named executive officers as of December 31,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40" w:type="dxa"/>
            <w:vAlign w:val="bottom"/>
            <w:vMerge w:val="restart"/>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40" w:type="dxa"/>
            <w:vAlign w:val="bottom"/>
            <w:vMerge w:val="continue"/>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280" w:type="dxa"/>
            <w:vAlign w:val="bottom"/>
            <w:gridSpan w:val="2"/>
          </w:tcPr>
          <w:p>
            <w:pPr>
              <w:jc w:val="center"/>
              <w:ind w:left="240"/>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7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1"/>
        </w:trPr>
        <w:tc>
          <w:tcPr>
            <w:tcW w:w="5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Jeffrey Bailey</w:t>
            </w: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114,583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385,417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5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05/08/23</w:t>
            </w:r>
          </w:p>
        </w:tc>
        <w:tc>
          <w:tcPr>
            <w:tcW w:w="0" w:type="dxa"/>
            <w:vAlign w:val="bottom"/>
          </w:tcPr>
          <w:p>
            <w:pPr>
              <w:spacing w:after="0"/>
              <w:rPr>
                <w:sz w:val="1"/>
                <w:szCs w:val="1"/>
                <w:color w:val="auto"/>
              </w:rPr>
            </w:pPr>
          </w:p>
        </w:tc>
      </w:tr>
      <w:tr>
        <w:trPr>
          <w:trHeight w:val="208"/>
        </w:trPr>
        <w:tc>
          <w:tcPr>
            <w:tcW w:w="562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6.80</w:t>
            </w:r>
          </w:p>
        </w:tc>
        <w:tc>
          <w:tcPr>
            <w:tcW w:w="5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04/14/23</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7.51</w:t>
            </w:r>
          </w:p>
        </w:tc>
        <w:tc>
          <w:tcPr>
            <w:tcW w:w="5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03/03/23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Options(2)</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$ 6.64</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08/04/23</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Don Kiepert (former President &amp; CEO)(3)</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98"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options granted to Mr. Bailey in conjunction with his employment offer are 50% Time Vesting Options and 50% EBITDA-based performance options. Mr. Bailey’s Time Vesting Options vest ratably each month over a four year period from his date of hire; the options granted to Ms. Heino and Dr. Orlandi in conjunction with their employment offers vest ratably on the anniversary of grant date over a four year period; 50% are Time Vesting and Options and 50% are EBITDA-based performance options. See “—Elements of Compensation—Long-Term Equity Incentive Awards.”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2013, the supplemental options granted Dr. Orlandi were 100% Time Vesting Option which will vest ratably on the anniversary of grant date over a four year period. See “—Elements of Compensation—Long-Term Equity Incentive Awards.”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a former employee, Mr. Kiepert did not hold any Lantheus option awards as of December 31, 2013.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Compensation Committee determined that it was appropriate to enter into employment agreements with each of our named executive officers. Among other things, these agreements set the executives’ compensation terms, their rights upon a termination of employment, and restrictive covenants relating to non-competition, non-solicitation, and confidentiality. See “—Potential Payment Upon Termination or Change of Control—Employment Agreements and Arrangements” for the material terms of these employment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Pension Benefits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do not offer our executives or others a pension plan. Retirement benefits are limited to participation in our 401(k) plan with a 4.5% employer match of the contributor’s salary and a corresponding international plan. In 2012, the employer match was suspended from April through December and reinstated in January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our executives any nonqualified deferred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information below describes and quantifies certain compensation that would become payable under certain named executive officer’s employment agreements if, as of December 31, 2013, his or her employment had terminated or there was a change in control. Due to the number of factors that affect the nature and amount of any benefits provided upon the events discussed below, any actual amounts paid or distributed may be different. Factors that could affect these amounts include the timing during the year of any such event.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Jeffrey Bailey</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Mr. Bailey’s employment agreement provides for 12 months of salary of $450,000, a bonus of $450,000 and health benefit subsidies of $20,080 in the event of termination by the company without cause or by Mr. Bailey with good reason totaling to $920,080. If his termination under these provisions is within 12 months following a change of control, the agreement provides for 12 months of two times his salary in the amount of $900,000, two times in bonus payment of $900,000 and 18 months of certain benefit subsidies of $30,120 totaling to $1,830,120.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Active Named Executive Officers</w:t>
      </w:r>
    </w:p>
    <w:p>
      <w:pPr>
        <w:spacing w:after="0" w:line="7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 sets forth certain information with respect to agreements for Ms. Heino and Dr. Orlandi who are covered by employment agreements which provide for 12 months of salary, prorated target bonus and 12 months of certain benefit subsidies in the event of termination by the company without cause.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Benefits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03"/>
        </w:trPr>
        <w:tc>
          <w:tcPr>
            <w:tcW w:w="3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 Anne Heino</w:t>
            </w:r>
          </w:p>
        </w:tc>
        <w:tc>
          <w:tcPr>
            <w:tcW w:w="4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$108,986</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$ 20,080</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$ 469,066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5140" w:type="dxa"/>
            <w:vAlign w:val="bottom"/>
            <w:gridSpan w:val="3"/>
          </w:tcPr>
          <w:p>
            <w:pPr>
              <w:jc w:val="center"/>
              <w:ind w:left="4052"/>
              <w:spacing w:after="0"/>
              <w:rPr>
                <w:sz w:val="20"/>
                <w:szCs w:val="20"/>
                <w:color w:val="auto"/>
              </w:rPr>
            </w:pPr>
            <w:r>
              <w:rPr>
                <w:rFonts w:ascii="Arial" w:cs="Arial" w:eastAsia="Arial" w:hAnsi="Arial"/>
                <w:sz w:val="18"/>
                <w:szCs w:val="18"/>
                <w:color w:val="auto"/>
                <w:w w:val="90"/>
              </w:rPr>
              <w:t>$365,000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$120,800</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5"/>
              </w:rPr>
              <w:t>$ 14,052</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$ 499,852</w:t>
            </w:r>
          </w:p>
        </w:tc>
      </w:tr>
      <w:tr>
        <w:trPr>
          <w:trHeight w:val="356"/>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300" w:type="dxa"/>
            <w:vAlign w:val="bottom"/>
          </w:tcPr>
          <w:p>
            <w:pPr>
              <w:jc w:val="right"/>
              <w:ind w:right="1812"/>
              <w:spacing w:after="0"/>
              <w:rPr>
                <w:sz w:val="20"/>
                <w:szCs w:val="20"/>
                <w:color w:val="auto"/>
              </w:rPr>
            </w:pPr>
            <w:r>
              <w:rPr>
                <w:rFonts w:ascii="Arial" w:cs="Arial" w:eastAsia="Arial" w:hAnsi="Arial"/>
                <w:sz w:val="18"/>
                <w:szCs w:val="18"/>
                <w:color w:val="auto"/>
              </w:rPr>
              <w:t>129</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their termination is by the company without cause or by the executive for good reason within 12 months following a change of control, the agreements provides for 12 months salary target bonus and 12 months of certain benefit subsidies.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Benefits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03"/>
        </w:trPr>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 Anne Heino</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$153,000</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$ 20,080</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$ 513,080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$365,000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5"/>
              </w:rPr>
              <w:t>$ 14,052</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$ 525,052</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Donald Kiepert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19, 2013, we entered into a separation agreement with Don Kiepert, our former President and Chief Executive Officer. Pursuant to his separation agreement, Mr. Kiepert received 12 months of severance payments totaling $426,000, and continuation of life insurance and subsidized COBRA health benefits at the active employee rate for 12 months totaling $12,305. Mr. Kiepert will be paid a pro rata bonus for 2013 in the amount of $26,844 in early 2014. To effect a smooth leadership transition, Mr. Kiepert has also agreed to a consulting arrangement with us at a rate of $10,000 per month for 12 months. Mr. Kiepert also reaffirmed his non-competition, non-solicitation and confidentiality obligations to the Company under his original employment agreement.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Equity Plans</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Equity Plans and each individual Stock Option Agreement provides for accelerated vesting of both Time Vesting Options and Performance Vesting Options granted under the 2008 and 2013 Equity Plans upon a change of control if net cumulative cash proceeds received by our investors exceed certain multiples of their initial investment. If such a change in control occurred on December 31, 2013, each named executive officer’s unvested Time Vesting Options and Performance Vesting Options would immediately vest and become exercisable. The aggregate dollar value of unvested stock options held by each named executive officer on December 31, 2013 is zero.</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adopt an equity incentive plan, or the 2014 Equity Incentive Plan, in connection with this offering. The 2014 Equity Incentive Plan will</w:t>
      </w:r>
    </w:p>
    <w:p>
      <w:pPr>
        <w:spacing w:after="0" w:line="38"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become effective prior to the consummation of this offering and a total of shares of our common stock will be reserved for sale. We intend to file a registration statement on Form S-8 covering the shares issuable under the 2014 Equity Incentive Plan. The plan will consist of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The compensation paid in 2013 to Mr. Bailey, our President and CEO and Director, is reported in the Summary Plan Compensation Table as he does not receive compensation for services as a director and was paid only as an employee during 2013. In 2013, we did not compensate our board members with per meeting fees. Our directors were reimbursed for any expenses incurred in connection with their services and as detailed in the table and notes below. Following</w:t>
      </w:r>
    </w:p>
    <w:p>
      <w:pPr>
        <w:spacing w:after="0" w:line="1" w:lineRule="exact"/>
        <w:rPr>
          <w:sz w:val="20"/>
          <w:szCs w:val="20"/>
          <w:color w:val="auto"/>
        </w:rPr>
      </w:pPr>
    </w:p>
    <w:p>
      <w:pPr>
        <w:spacing w:after="0"/>
        <w:tabs>
          <w:tab w:leader="none" w:pos="10780" w:val="left"/>
        </w:tabs>
        <w:rPr>
          <w:sz w:val="20"/>
          <w:szCs w:val="20"/>
          <w:color w:val="auto"/>
        </w:rPr>
      </w:pPr>
      <w:r>
        <w:rPr>
          <w:rFonts w:ascii="Arial" w:cs="Arial" w:eastAsia="Arial" w:hAnsi="Arial"/>
          <w:sz w:val="16"/>
          <w:szCs w:val="16"/>
          <w:color w:val="auto"/>
        </w:rPr>
        <w:t>the consummation of this offering, the members of the board of directors will be compensated for their services as directors, through board fees of $</w:t>
      </w:r>
      <w:r>
        <w:rPr>
          <w:sz w:val="20"/>
          <w:szCs w:val="20"/>
          <w:color w:val="auto"/>
        </w:rPr>
        <w:tab/>
      </w:r>
      <w:r>
        <w:rPr>
          <w:rFonts w:ascii="Arial" w:cs="Arial" w:eastAsia="Arial" w:hAnsi="Arial"/>
          <w:sz w:val="15"/>
          <w:szCs w:val="15"/>
          <w:color w:val="auto"/>
        </w:rPr>
        <w:t>per</w:t>
      </w:r>
    </w:p>
    <w:p>
      <w:pPr>
        <w:spacing w:after="0" w:line="32" w:lineRule="exact"/>
        <w:rPr>
          <w:sz w:val="20"/>
          <w:szCs w:val="20"/>
          <w:color w:val="auto"/>
        </w:rPr>
      </w:pPr>
    </w:p>
    <w:p>
      <w:pPr>
        <w:ind w:right="20" w:firstLine="535"/>
        <w:spacing w:after="0" w:line="261" w:lineRule="auto"/>
        <w:tabs>
          <w:tab w:leader="none" w:pos="6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annual stock grants with a value of $ , and reimbursement for out-of-pocket expenses incurred in connection with rendering such services for so long as they serve as directors. The chairman of the audit committee will receive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fee of $ in cash and the chairman of the compensation committee will receive a fee of $ in cash. In addition, certain non-employee members of the board of directors may also participate in the future in our 2014 Equity Incentive Plan as described under “Executive and Director Compensation —The Equity Plans.”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76"/>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Markison(1)</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126,056</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3"/>
              </w:rPr>
              <w:t>80,829</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206,885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David Burgstahler(2)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Leno(3)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81,250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45,324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Patrick O’Neill(4)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62,500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33,824</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Sriram Venkataraman(2)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89"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On January 23, 2013, Mr. Markison was appointed Non-Executive Chairman of the Board. For 2013, Mr. Markison was compensated with an annual retainer for his services on the Board of Directors of $100,000, paid in quarterly increments. In addition, Mr. Markison receives $10,000, paid in quarterly increments for his service on the Compensation Committee. In connection with that appointment, (i) his annual director compensation was increased to $100,000 effective as of January 23, 2013, (ii) 4,760 shares of his previous 12,500 option grant were deemed to be vested with the balance of 7,740 shares terminated as forfeitures, (iii) he received a new grant of 35,765 time vesting option shares that have a ten-year term and vest monthly over a 12-month basis, and (iv) on each anniversary date of his appointment, in consideration of his services as Chairman and for so long as he serves in that capacity, he will be granted a stock option to purchase $200,000 worth of common stock, calculated as the multiple of the then fair market value times the number of shares necessary to equal $200,000.</w:t>
      </w:r>
    </w:p>
    <w:p>
      <w:pPr>
        <w:spacing w:after="0" w:line="23" w:lineRule="exact"/>
        <w:rPr>
          <w:rFonts w:ascii="Arial" w:cs="Arial" w:eastAsia="Arial" w:hAnsi="Arial"/>
          <w:sz w:val="16"/>
          <w:szCs w:val="16"/>
          <w:color w:val="auto"/>
        </w:rPr>
      </w:pPr>
    </w:p>
    <w:p>
      <w:pPr>
        <w:ind w:left="460" w:right="240" w:hanging="452"/>
        <w:spacing w:after="0" w:line="306"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Messrs. Burgstahler and Venkataraman are Partners of Avista and do not receive any direct compensation for their services as Directors. We pay Avista a management fee of $1,000,000 annually pursuant to the Advisory Services and Management Agreement, dated as of January 8, 2008. See “Certain Relationships and Related Person Transactions—Advisory and Monitoring Services Agreement.”</w:t>
      </w:r>
    </w:p>
    <w:p>
      <w:pPr>
        <w:spacing w:after="0" w:line="12" w:lineRule="exact"/>
        <w:rPr>
          <w:rFonts w:ascii="Arial" w:cs="Arial" w:eastAsia="Arial" w:hAnsi="Arial"/>
          <w:sz w:val="16"/>
          <w:szCs w:val="16"/>
          <w:color w:val="auto"/>
        </w:rPr>
      </w:pPr>
    </w:p>
    <w:p>
      <w:pPr>
        <w:ind w:left="460" w:right="60" w:hanging="452"/>
        <w:spacing w:after="0" w:line="25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Samuel Leno is compensated with an annual retainer for his services on the Board of Directors of $50,000, paid in quarterly increments. In addition, Mr. Leno receives $15,000, paid in quarterly increments for his role as Chairman of the Audit Committee. Mr. Leno received a grant of 19,706 stock options in Holdings in 2013. These options have a ten-year term and are Time Vesting Options vesting in full on the first anniversary of grant. On each anniversary date of his appointment, in consideration of his services as a Director and for so long as he serves in that capacity, he will be granted a stock option to purchase $100,000 worth of common stock, calculated as the multiple of the then fair market value times the number of shares necessary to equal $100,000.</w:t>
      </w:r>
    </w:p>
    <w:p>
      <w:pPr>
        <w:spacing w:after="0" w:line="49" w:lineRule="exact"/>
        <w:rPr>
          <w:rFonts w:ascii="Arial" w:cs="Arial" w:eastAsia="Arial" w:hAnsi="Arial"/>
          <w:sz w:val="18"/>
          <w:szCs w:val="18"/>
          <w:color w:val="auto"/>
        </w:rPr>
      </w:pPr>
    </w:p>
    <w:p>
      <w:pPr>
        <w:ind w:left="460" w:right="100" w:hanging="452"/>
        <w:spacing w:after="0" w:line="290"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Dr. Patrick O’Neill is compensated with an annual retainer for his services on the Board of Directors of $50,000, paid in quarterly increments. Dr. O’Neill received a grant of 50,000 stock options in Holdings in 2008. These options have a ten-year term and are Time Vesting Options. 20% of the shares subject to the Time Vesting Options vested on each anniversary of the grant in 2008 - 2012. The remaining shares subject to the Time Vesting Options were vested in full on January 8, 2013. Dr. O’Neill received a grant of 14,706 stock options in Holdings in 2013. These options have a ten-year term and are Time Vesting Options vesting in full on the first anniversary of grant. On each anniversary date of his appointment, in consideration of his services as a Director and for so long as he serves in that capacity, he will be granted a stock option to purchase $100,000 worth of common stock, calculated as the multiple of the then fair market value times the number of shares necessary to equal $100,000.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Set forth below is a description of certain relationships and related person transactions between us or our subsidiaries, and our directors, executive officers and holders of more than 5% of our voting securities since January 1, 2011. We believe that all of the following transactions were entered into with terms as favorable as could have been obtained from unaffiliated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Agreements</w:t>
      </w:r>
    </w:p>
    <w:p>
      <w:pPr>
        <w:spacing w:after="0" w:line="8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connection with the Acquisition, Holdings entered into (i) a Shareholders Agreement with the Avista Entities and Don Kiepert, as Management Shareholder, dated January 8, 2008 and subsequently amended on February 26, 2008, or the Initial Shareholders Agreement, and (ii) an Employee Shareholders Agreement with the Avista Entities and certain employee shareholders named therein, dated as of May 30, 2008, or the Employee Shareholders Agreement and, collectively with the Initial Shareholders Agreement, the Shareholders Agreements. Messrs. Markison, Bailey and Leno and Dr. O’Neill joined as parties to the Initial Shareholders Agreement. The Shareholders Agreements govern the parties’ respective rights, duties and obligations with respect to the ownership of Holdings securities. The Initial Shareholders Agreement includes provisions regarding tag-along rights in favor of the Management Shareholders (which terminate upon an initial public offering of Holdings), demand registration rights in favor of the Avista Entities and piggy-back registration rights in favor of the Avista Entities and the Management Shareholders. Both Shareholders Agreements contain provisions for drag-along rights in favor of the Avista Entities (which terminate upon an initial public offering of Holdings), and regarding the right of Holdings to repurchase shares held by Management Shareholders or employee shareholders who cease to be employed by Holdings, the Company or any of their subsidiaries (which terminate one year after an initial public offering of Holdings). The Shareholders Agreements contain restrictions on the ability of the Management Shareholders and employee shareholders to transfer shares of Holdings that they own, including provisions that only allow Management Shareholders and employee shareholders to transfer shares of Holdings following an initial public offering of Holdings in proportion with any transfers by the Avista Entities. Pursuant to the Shareholders Agreements, Avista has designation rights with respect to the composition of the Holdings board of directors and Avista is entitled to majority representation on any committee that the board creates. In addition, the Management Shareholder and the employee shareholders must vote their shares in such a manner that is consistent with the composition of the board designed by the Avista Entities. Pursuant to the option award agreements between Holdings and its options holders, as a condition to a valid exercise of any such options, the optionee is obligated to join either the Initial Shareholders Agreement or the Employee Shareholders Agreement, as applicable, with respect to the shares of Holdings it is to receive upon exercise of any such option.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and Monitoring Services Agreement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closing of the Acquisition, LMI entered into an advisory services and monitoring agreement with Avista Capital Holdings, L.P., or Avista Capital Holdings, dated as of January 8, 2008, or the Advisory Services and Monitoring Agreement, pursuant to which ACP Lantern Acquisition, Inc. (a corporation which was merged into us as part of the Acquisition), paid Avista Capital Holdings a one-time fee equal to $10 million for the consulting and advisory and monitoring services to us, our subsidiaries and our parent companies, in connection with the Acquisition. In addition, the agreement provides for the payment of an annual fee equal to $1 million as consideration for ongoing advisory services. Under the Agreement, to the extent of any future transaction entered into by us or our affiliates, Avista Capital Holdings will receive an additional fee that is reasonable and customary for the services it provides in connection with such a future transaction. In addition, we will pay directly, or reimburse Avista Capital Holdings for, its out-of- pocket expenses in connection with its performance of services under the Advisory Services and Monitoring Agreement. The Advisory Services and Monitoring Agreement has a seven-year term and automatically renews on each anniversary of its execution date such that it has a seven-year term from the date of each such renewal. The Advisory Services and Monitoring Agreement will be terminated in connection with this offering. In connection with that termination, upon the consummation of this offering, we will pay Avista an aggregate termination fee of $6.5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 Research Master Services Agreement</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2012, we entered into a Master Contract Research Organization Services Agreement with INC Research, LLC, or INC, to provide clinical development services in connection with the flurpiridaz F 18 Phase 3 program. The agreement has a term of five years, and we incurred costs associated with this agreement of approximately $0.5 million and $0.9 million in the years ended December 31, 2013 and 2012, respectively. Avista Capital Partners and its affiliates are principal owners of both INC and the Company.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VWR Scientific Purchases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purchase inventory supplies from VWR Scientific, VWR. Avista Capital Partners and certain affiliates, our principal stockholder, is a minority owner of VWR. We made purchases of approximately $0.3 million during each of the years ended December 31, 2013, 2012 and 2011.</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Marsh</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retain Marsh for insurance brokering and risk management. In November 2013, Donald Bailey, brother of our President and Chief Executive Officer, Jeffrey Bailey, was appointed head of sales for Marsh’s U.S. and Canada division. In 2014, we expect to pay Marsh approximately $0.3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March 21, 2011, we redeemed 248,828, 96,766 and 553 shares of Series A Preferred Stock held by Avista Capital Partners, Avista Co-Invest and Mr. Kiepert, respectively, for approximately $31,537,000, $12,264,300 and $70,100, respectively, representing the liquidation value of the remaining Series A Preferred Stock held by Avista Capital Partners, Avista Co-Invest and Mr. Kiepert plus accrued but unpaid dividends through that date. Following this redemption of our remaining Series A Preferred Stock, there were no more amounts outstanding of our Series A Preferred Stock.</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granted stock options to our executive officers and certain of our directors. For a description of these options, see “Executive and Director Compensation—Elements of Compensation—Long-Term Equity Incentive Awards,” “Executive and Director Compensation—Outstanding Equity Awards at 2013 Fiscal Year-End” and “Executive and Director Compensation—Director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February 19, 2013, we entered into a separation agreement with Don Kiepert, our former President and Chief Executive Officer. Pursuant to his employment agreement, Mr. Kiepert received 12 months of severance payments totaling $426,000, continuation of life insurance and subsidized COBRA health benefits at the active employee rate for 12 months totaling $12,305. To effect a smooth leadership transition, Mr. Kiepert also agreed to a consulting arrangement with us at a rate of $10,000 per month for 12 months. Mr. Kiepert was paid a pro rata bonus for 2013 in the amount of $26,844 in early 2014.</w:t>
      </w:r>
    </w:p>
    <w:p>
      <w:pPr>
        <w:spacing w:after="0" w:line="9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September 30, 2012, we entered into a retirement and resignation agreement with Larry Pickering, our former Chairman. Pursuant to this agreement, Mr. Pickering received any accrued but unpaid salary and vacation. He was not entitled to any severance or bonus payments.</w:t>
      </w:r>
    </w:p>
    <w:p>
      <w:pPr>
        <w:spacing w:after="0" w:line="7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January 3, 2012, we entered into a retirement agreement with Robert Gaffey, our former Chief Financial Officer. Under the terms of the agreement, Mr. Gaffey continued to provide limited consulting services at a rate of $200 per hour for up to 24 hours per week through March 30, 2012. After March 31, 2012, Mr. Gaffey was paid at an hourly rate of $150 per hour on an independent consultant basis as required by us. Mr. Gaffey’s existing stock options were modified to allow for continued vesting, continued eligibility for payment of DERs and exercisability of his existing options for up to the full original term expiring in 2018. Mr. Gaffey was not eligible for any company benefits or other severance payments. During 2012, Mr. Gaffey’s fees for his post-employment independent consulting to us totaled $125,437.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8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Prior to the closing of this offering, we and LMI will enter into indemnification agreements with each of our and LMI’s directors and executive officers. These agreements, among other things,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At present, we are not aware of any pending or threatened litigation or proceeding involving any of our directors, executive officers, employees, or agents in which indemnification would be required or permitted. We believe these indemnification agreements are necessary to attract and retain qualified persons as directors and 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connection with this offering, we will adopt a written policy relating to the approval of related person transactions. Our audit committee will review and approve or ratify all relationships and related person transactions between us and (1) our directors, director nominees, executive officers or their immediate family members, (2) any 5% record or beneficial owner of our common stock or (3) any immediate family member of any person specified in (1) and (2) above. Our controller will be primarily responsible for the development and implementation of processes and controls to obtain information from our directors and executive officers with respect to related party transactions and for determining, based on the facts and circumstances, whether we or a related person have a direct or indirect material interest in the transaction.</w:t>
      </w:r>
    </w:p>
    <w:p>
      <w:pPr>
        <w:spacing w:after="0" w:line="1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set forth in the related person transaction policy, in the course of its review and approval or ratification of a related party transaction, the committee will consider:</w:t>
      </w:r>
    </w:p>
    <w:p>
      <w:pPr>
        <w:spacing w:after="0" w:line="37" w:lineRule="exact"/>
        <w:rPr>
          <w:sz w:val="20"/>
          <w:szCs w:val="20"/>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discussions or approval or ratification of the transaction. However, that member of the audit committee will provide all material information concerning the transaction to the audit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w:t>
      </w:r>
    </w:p>
    <w:p>
      <w:pPr>
        <w:spacing w:after="0" w:line="83"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The following table shows information as of</w:t>
      </w:r>
      <w:r>
        <w:rPr>
          <w:sz w:val="20"/>
          <w:szCs w:val="20"/>
          <w:color w:val="auto"/>
        </w:rPr>
        <w:tab/>
      </w:r>
      <w:r>
        <w:rPr>
          <w:rFonts w:ascii="Arial" w:cs="Arial" w:eastAsia="Arial" w:hAnsi="Arial"/>
          <w:sz w:val="16"/>
          <w:szCs w:val="16"/>
          <w:color w:val="auto"/>
        </w:rPr>
        <w:t>, 2014 regarding the beneficial ownership of our common stock (1) immediately prior to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offering and (2) as adjusted to give effect to this offering by:</w:t>
      </w:r>
    </w:p>
    <w:p>
      <w:pPr>
        <w:spacing w:after="0" w:line="70"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common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member of our Board of Directors and each of our named executive officers;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members of our Board of Directors and our executive officers as a group.</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prior to this offering, we had approximately 50 holders of record. For further information regarding material transactions between us and our principal stockholders, see “Certain Relationship and Related Person Transactions.”</w:t>
      </w:r>
    </w:p>
    <w:p>
      <w:pPr>
        <w:spacing w:after="0" w:line="118"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w:t>
      </w:r>
    </w:p>
    <w:p>
      <w:pPr>
        <w:spacing w:after="0" w:line="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beneficially owned by them. Percentage of beneficial ownership is based on shares of common stock outstanding as of</w:t>
      </w:r>
      <w:r>
        <w:rPr>
          <w:sz w:val="20"/>
          <w:szCs w:val="20"/>
          <w:color w:val="auto"/>
        </w:rPr>
        <w:tab/>
      </w:r>
      <w:r>
        <w:rPr>
          <w:rFonts w:ascii="Arial" w:cs="Arial" w:eastAsia="Arial" w:hAnsi="Arial"/>
          <w:sz w:val="16"/>
          <w:szCs w:val="16"/>
          <w:color w:val="auto"/>
        </w:rPr>
        <w:t>, 2014 after giving effect to</w:t>
      </w:r>
    </w:p>
    <w:p>
      <w:pPr>
        <w:spacing w:after="0" w:line="9"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our corporate reorganization immediately prior to the consummation of this offering and</w:t>
      </w:r>
      <w:r>
        <w:rPr>
          <w:sz w:val="20"/>
          <w:szCs w:val="20"/>
          <w:color w:val="auto"/>
        </w:rPr>
        <w:tab/>
      </w:r>
      <w:r>
        <w:rPr>
          <w:rFonts w:ascii="Arial" w:cs="Arial" w:eastAsia="Arial" w:hAnsi="Arial"/>
          <w:sz w:val="15"/>
          <w:szCs w:val="15"/>
          <w:color w:val="auto"/>
        </w:rPr>
        <w:t>shares of common stock outstanding after giving effect to this</w:t>
      </w:r>
    </w:p>
    <w:p>
      <w:pPr>
        <w:spacing w:after="0" w:line="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offering. Shares of common stock subject to options currently exercisable or exercisable within 60 days of the date of this prospectus are deemed to be outstanding and beneficially owned by the person holding the options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persons named in the table below have sole voting and investment power with respect to all shares of capital stock held by them. Unless otherwise indicated, the address for each holder listed below is Lantheus Holdings, Inc., 331 Treble Cove Road, North Billerica, MA 01862.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751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Principal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Avista(2)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Jeffrey Bailey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Golubieski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Dawes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Duffy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Anne Heino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Heslop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Cesare Orlandi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Markison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Burgstahler(3)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Leno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O’Neill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Sriram Venkataraman(4)</w:t>
      </w:r>
    </w:p>
    <w:p>
      <w:pPr>
        <w:spacing w:after="0" w:line="9" w:lineRule="exact"/>
        <w:rPr>
          <w:sz w:val="20"/>
          <w:szCs w:val="20"/>
          <w:color w:val="auto"/>
        </w:rPr>
      </w:pPr>
    </w:p>
    <w:p>
      <w:pPr>
        <w:ind w:left="220" w:hanging="215"/>
        <w:spacing w:after="0" w:line="261" w:lineRule="auto"/>
        <w:rPr>
          <w:sz w:val="20"/>
          <w:szCs w:val="20"/>
          <w:color w:val="auto"/>
        </w:rPr>
      </w:pPr>
      <w:r>
        <w:rPr>
          <w:rFonts w:ascii="Arial" w:cs="Arial" w:eastAsia="Arial" w:hAnsi="Arial"/>
          <w:sz w:val="18"/>
          <w:szCs w:val="18"/>
          <w:b w:val="1"/>
          <w:bCs w:val="1"/>
          <w:color w:val="auto"/>
        </w:rPr>
        <w:t>All board of director members and named executive officers as a group (9 persons)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beneficially owned</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after this offering</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assuming full exercise</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of underwriters’ offer</w:t>
            </w:r>
          </w:p>
        </w:tc>
      </w:tr>
      <w:tr>
        <w:trPr>
          <w:trHeight w:val="149"/>
        </w:trPr>
        <w:tc>
          <w:tcPr>
            <w:tcW w:w="22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beneficially owned</w:t>
            </w:r>
          </w:p>
        </w:tc>
        <w:tc>
          <w:tcPr>
            <w:tcW w:w="22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 beneficially owned</w:t>
            </w: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to purchase additional</w:t>
            </w:r>
          </w:p>
        </w:tc>
      </w:tr>
      <w:tr>
        <w:trPr>
          <w:trHeight w:val="161"/>
        </w:trPr>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before this offering</w:t>
            </w:r>
          </w:p>
        </w:tc>
        <w:tc>
          <w:tcPr>
            <w:tcW w:w="22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after this offering (1)</w:t>
            </w:r>
          </w:p>
        </w:tc>
        <w:tc>
          <w:tcPr>
            <w:tcW w:w="720" w:type="dxa"/>
            <w:vAlign w:val="bottom"/>
          </w:tcPr>
          <w:p>
            <w:pPr>
              <w:spacing w:after="0"/>
              <w:rPr>
                <w:sz w:val="14"/>
                <w:szCs w:val="14"/>
                <w:color w:val="auto"/>
              </w:rPr>
            </w:pPr>
          </w:p>
        </w:tc>
        <w:tc>
          <w:tcPr>
            <w:tcW w:w="1260" w:type="dxa"/>
            <w:vAlign w:val="bottom"/>
            <w:gridSpan w:val="2"/>
          </w:tcPr>
          <w:p>
            <w:pPr>
              <w:jc w:val="center"/>
              <w:ind w:right="632"/>
              <w:spacing w:after="0"/>
              <w:rPr>
                <w:sz w:val="20"/>
                <w:szCs w:val="20"/>
                <w:color w:val="auto"/>
              </w:rPr>
            </w:pPr>
            <w:r>
              <w:rPr>
                <w:rFonts w:ascii="Arial" w:cs="Arial" w:eastAsia="Arial" w:hAnsi="Arial"/>
                <w:sz w:val="14"/>
                <w:szCs w:val="14"/>
                <w:b w:val="1"/>
                <w:bCs w:val="1"/>
                <w:color w:val="auto"/>
                <w:w w:val="79"/>
              </w:rPr>
              <w:t>shares</w:t>
            </w:r>
          </w:p>
        </w:tc>
      </w:tr>
      <w:tr>
        <w:trPr>
          <w:trHeight w:val="129"/>
        </w:trPr>
        <w:tc>
          <w:tcPr>
            <w:tcW w:w="104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Number of</w:t>
            </w: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34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32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r>
      <w:tr>
        <w:trPr>
          <w:trHeight w:val="16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-8255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334645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608965</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883285</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1157605</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1431925</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1706880</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1981200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135</w:t>
      </w:r>
    </w:p>
    <w:p>
      <w:pPr>
        <w:sectPr>
          <w:pgSz w:w="11900" w:h="16838" w:orient="portrait"/>
          <w:cols w:equalWidth="0" w:num="2">
            <w:col w:w="4520" w:space="400"/>
            <w:col w:w="6500"/>
          </w:cols>
          <w:pgMar w:left="240" w:top="459" w:right="2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6860" w:type="dxa"/>
            <w:vAlign w:val="bottom"/>
            <w:gridSpan w:val="4"/>
          </w:tcPr>
          <w:p>
            <w:pPr>
              <w:ind w:left="120"/>
              <w:spacing w:after="0"/>
              <w:rPr>
                <w:sz w:val="20"/>
                <w:szCs w:val="20"/>
                <w:color w:val="auto"/>
              </w:rPr>
            </w:pPr>
            <w:r>
              <w:rPr>
                <w:rFonts w:ascii="Arial" w:cs="Arial" w:eastAsia="Arial" w:hAnsi="Arial"/>
                <w:sz w:val="18"/>
                <w:szCs w:val="18"/>
                <w:color w:val="auto"/>
                <w:w w:val="93"/>
              </w:rPr>
              <w:t>Percentage of beneficial ownership is based on shares of common stock outstanding as of</w:t>
            </w:r>
          </w:p>
        </w:tc>
        <w:tc>
          <w:tcPr>
            <w:tcW w:w="4080" w:type="dxa"/>
            <w:vAlign w:val="bottom"/>
            <w:gridSpan w:val="2"/>
          </w:tcPr>
          <w:p>
            <w:pPr>
              <w:ind w:left="460"/>
              <w:spacing w:after="0"/>
              <w:rPr>
                <w:sz w:val="20"/>
                <w:szCs w:val="20"/>
                <w:color w:val="auto"/>
              </w:rPr>
            </w:pPr>
            <w:r>
              <w:rPr>
                <w:rFonts w:ascii="Arial" w:cs="Arial" w:eastAsia="Arial" w:hAnsi="Arial"/>
                <w:sz w:val="18"/>
                <w:szCs w:val="18"/>
                <w:color w:val="auto"/>
              </w:rPr>
              <w:t>, 2014 after giving effect to our corporate</w:t>
            </w:r>
          </w:p>
        </w:tc>
      </w:tr>
      <w:tr>
        <w:trPr>
          <w:trHeight w:val="222"/>
        </w:trPr>
        <w:tc>
          <w:tcPr>
            <w:tcW w:w="340" w:type="dxa"/>
            <w:vAlign w:val="bottom"/>
          </w:tcPr>
          <w:p>
            <w:pPr>
              <w:spacing w:after="0"/>
              <w:rPr>
                <w:sz w:val="19"/>
                <w:szCs w:val="19"/>
                <w:color w:val="auto"/>
              </w:rPr>
            </w:pPr>
          </w:p>
        </w:tc>
        <w:tc>
          <w:tcPr>
            <w:tcW w:w="5640" w:type="dxa"/>
            <w:vAlign w:val="bottom"/>
            <w:gridSpan w:val="3"/>
          </w:tcPr>
          <w:p>
            <w:pPr>
              <w:ind w:left="120"/>
              <w:spacing w:after="0"/>
              <w:rPr>
                <w:sz w:val="20"/>
                <w:szCs w:val="20"/>
                <w:color w:val="auto"/>
              </w:rPr>
            </w:pPr>
            <w:r>
              <w:rPr>
                <w:rFonts w:ascii="Arial" w:cs="Arial" w:eastAsia="Arial" w:hAnsi="Arial"/>
                <w:sz w:val="18"/>
                <w:szCs w:val="18"/>
                <w:color w:val="auto"/>
                <w:w w:val="94"/>
              </w:rPr>
              <w:t>reorganization immediately prior to the consummation of this offering and</w:t>
            </w:r>
          </w:p>
        </w:tc>
        <w:tc>
          <w:tcPr>
            <w:tcW w:w="5300" w:type="dxa"/>
            <w:vAlign w:val="bottom"/>
            <w:gridSpan w:val="3"/>
          </w:tcPr>
          <w:p>
            <w:pPr>
              <w:ind w:left="320"/>
              <w:spacing w:after="0"/>
              <w:rPr>
                <w:sz w:val="20"/>
                <w:szCs w:val="20"/>
                <w:color w:val="auto"/>
              </w:rPr>
            </w:pPr>
            <w:r>
              <w:rPr>
                <w:rFonts w:ascii="Arial" w:cs="Arial" w:eastAsia="Arial" w:hAnsi="Arial"/>
                <w:sz w:val="18"/>
                <w:szCs w:val="18"/>
                <w:color w:val="auto"/>
                <w:w w:val="88"/>
              </w:rPr>
              <w:t>shares of common stock outstanding after giving effect to this offering.</w:t>
            </w:r>
          </w:p>
        </w:tc>
      </w:tr>
      <w:tr>
        <w:trPr>
          <w:trHeight w:val="284"/>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1020" w:type="dxa"/>
            <w:vAlign w:val="bottom"/>
          </w:tcPr>
          <w:p>
            <w:pPr>
              <w:ind w:left="120"/>
              <w:spacing w:after="0"/>
              <w:rPr>
                <w:sz w:val="20"/>
                <w:szCs w:val="20"/>
                <w:color w:val="auto"/>
              </w:rPr>
            </w:pPr>
            <w:r>
              <w:rPr>
                <w:rFonts w:ascii="Arial" w:cs="Arial" w:eastAsia="Arial" w:hAnsi="Arial"/>
                <w:sz w:val="18"/>
                <w:szCs w:val="18"/>
                <w:color w:val="auto"/>
              </w:rPr>
              <w:t>Includes</w:t>
            </w:r>
          </w:p>
        </w:tc>
        <w:tc>
          <w:tcPr>
            <w:tcW w:w="3680" w:type="dxa"/>
            <w:vAlign w:val="bottom"/>
          </w:tcPr>
          <w:p>
            <w:pPr>
              <w:ind w:left="300"/>
              <w:spacing w:after="0"/>
              <w:rPr>
                <w:sz w:val="20"/>
                <w:szCs w:val="20"/>
                <w:color w:val="auto"/>
              </w:rPr>
            </w:pPr>
            <w:r>
              <w:rPr>
                <w:rFonts w:ascii="Arial" w:cs="Arial" w:eastAsia="Arial" w:hAnsi="Arial"/>
                <w:sz w:val="18"/>
                <w:szCs w:val="18"/>
                <w:color w:val="auto"/>
                <w:w w:val="95"/>
              </w:rPr>
              <w:t>shares held by Avista Capital Partners, L.P.,</w:t>
            </w:r>
          </w:p>
        </w:tc>
        <w:tc>
          <w:tcPr>
            <w:tcW w:w="4720" w:type="dxa"/>
            <w:vAlign w:val="bottom"/>
            <w:gridSpan w:val="3"/>
          </w:tcPr>
          <w:p>
            <w:pPr>
              <w:ind w:left="300"/>
              <w:spacing w:after="0"/>
              <w:rPr>
                <w:sz w:val="20"/>
                <w:szCs w:val="20"/>
                <w:color w:val="auto"/>
              </w:rPr>
            </w:pPr>
            <w:r>
              <w:rPr>
                <w:rFonts w:ascii="Arial" w:cs="Arial" w:eastAsia="Arial" w:hAnsi="Arial"/>
                <w:sz w:val="18"/>
                <w:szCs w:val="18"/>
                <w:color w:val="auto"/>
                <w:w w:val="93"/>
              </w:rPr>
              <w:t>shares held by Avista Capital Partners (Offshore), L.P. and</w:t>
            </w:r>
          </w:p>
        </w:tc>
        <w:tc>
          <w:tcPr>
            <w:tcW w:w="1520" w:type="dxa"/>
            <w:vAlign w:val="bottom"/>
          </w:tcPr>
          <w:p>
            <w:pPr>
              <w:ind w:left="300"/>
              <w:spacing w:after="0"/>
              <w:rPr>
                <w:sz w:val="20"/>
                <w:szCs w:val="20"/>
                <w:color w:val="auto"/>
              </w:rPr>
            </w:pPr>
            <w:r>
              <w:rPr>
                <w:rFonts w:ascii="Arial" w:cs="Arial" w:eastAsia="Arial" w:hAnsi="Arial"/>
                <w:sz w:val="18"/>
                <w:szCs w:val="18"/>
                <w:color w:val="auto"/>
              </w:rPr>
              <w:t>shares held by</w:t>
            </w:r>
          </w:p>
        </w:tc>
      </w:tr>
    </w:tbl>
    <w:p>
      <w:pPr>
        <w:ind w:left="460"/>
        <w:spacing w:after="0" w:line="253" w:lineRule="auto"/>
        <w:rPr>
          <w:sz w:val="20"/>
          <w:szCs w:val="20"/>
          <w:color w:val="auto"/>
        </w:rPr>
      </w:pPr>
      <w:r>
        <w:rPr>
          <w:rFonts w:ascii="Arial" w:cs="Arial" w:eastAsia="Arial" w:hAnsi="Arial"/>
          <w:sz w:val="18"/>
          <w:szCs w:val="18"/>
          <w:color w:val="auto"/>
        </w:rPr>
        <w:t>ACP-Lantern Co-Invest, LLC, or collectively referred to as Avista. Avista Capital Partners GP, LLC ultimately exercises voting and dispositive power over the shares held by Avista Capital Partners, L.P., Avista Capital Partners (Offshore), L.P. and ACP-Lantern Co-Invest, LLC. Voting and disposition decisions at Avista Capital Partners GP, LLC with respect to those shares are made by an investment committee, the members of which are Thompson Dean, Steven Webster, David Burgstahler, David Durkin, Sriram Venkataraman and Brendan Scollans. The address for each of these entities is 65 East 55th Street, 18th Floor, New York, NY 10022.</w:t>
      </w:r>
    </w:p>
    <w:p>
      <w:pPr>
        <w:spacing w:after="0" w:line="51" w:lineRule="exact"/>
        <w:rPr>
          <w:sz w:val="20"/>
          <w:szCs w:val="20"/>
          <w:color w:val="auto"/>
        </w:rPr>
      </w:pPr>
    </w:p>
    <w:p>
      <w:pPr>
        <w:ind w:left="46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Excludes shares held by Avista. Mr. Burgstahler is the President of the general partner of Avista Capital Partners GP, LLC and as a result may be deemed to beneficially own the shares owned by Avista. Mr. Burgstahler disclaims beneficial ownership of the shares held by Avista, except to the extent of his pecuniary interest therein.</w:t>
      </w:r>
    </w:p>
    <w:p>
      <w:pPr>
        <w:spacing w:after="0" w:line="45"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Excludes shares held by Avista. Mr. Venkataraman is a Partner of the general partner of Avista Capital Partners GP, LLC and as a result may be deemed to beneficially own the shares owned by Avista. Mr. Venkataraman disclaims beneficial ownership of the shares held by Avista, except to the extent of his pecuniary interest therein.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following is a description of the material terms of our amended and restated certificate of incorporation and amended and restated bylaws as they will be in effect immediately prior to the consummation of this offering. This summary does not purport to be complete and is qualified in its entirety by reference to the actual terms and provisions of our amended and restated certificate of incorporation and bylaws, copies of which will be filed as exhibits to the registration statement of which this prospectus is a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83" w:lineRule="exact"/>
        <w:rPr>
          <w:sz w:val="20"/>
          <w:szCs w:val="20"/>
          <w:color w:val="auto"/>
        </w:rPr>
      </w:pPr>
    </w:p>
    <w:p>
      <w:pPr>
        <w:ind w:left="460"/>
        <w:spacing w:after="0"/>
        <w:tabs>
          <w:tab w:leader="none" w:pos="8020" w:val="left"/>
          <w:tab w:leader="none" w:pos="11160" w:val="left"/>
        </w:tabs>
        <w:rPr>
          <w:sz w:val="20"/>
          <w:szCs w:val="20"/>
          <w:color w:val="auto"/>
        </w:rPr>
      </w:pPr>
      <w:r>
        <w:rPr>
          <w:rFonts w:ascii="Arial" w:cs="Arial" w:eastAsia="Arial" w:hAnsi="Arial"/>
          <w:sz w:val="18"/>
          <w:szCs w:val="18"/>
          <w:color w:val="auto"/>
        </w:rPr>
        <w:t>Immediately prior to the consummation of this offering, our authorized capital stock will consist of</w:t>
      </w:r>
      <w:r>
        <w:rPr>
          <w:sz w:val="20"/>
          <w:szCs w:val="20"/>
          <w:color w:val="auto"/>
        </w:rPr>
        <w:tab/>
      </w:r>
      <w:r>
        <w:rPr>
          <w:rFonts w:ascii="Arial" w:cs="Arial" w:eastAsia="Arial" w:hAnsi="Arial"/>
          <w:sz w:val="18"/>
          <w:szCs w:val="18"/>
          <w:color w:val="auto"/>
        </w:rPr>
        <w:t>shares of common stock, par value $</w:t>
      </w:r>
      <w:r>
        <w:rPr>
          <w:sz w:val="20"/>
          <w:szCs w:val="20"/>
          <w:color w:val="auto"/>
        </w:rPr>
        <w:tab/>
      </w:r>
      <w:r>
        <w:rPr>
          <w:rFonts w:ascii="Arial" w:cs="Arial" w:eastAsia="Arial" w:hAnsi="Arial"/>
          <w:sz w:val="15"/>
          <w:szCs w:val="15"/>
          <w:color w:val="auto"/>
        </w:rPr>
        <w:t>per</w:t>
      </w:r>
    </w:p>
    <w:p>
      <w:pPr>
        <w:spacing w:after="0" w:line="15" w:lineRule="exact"/>
        <w:rPr>
          <w:sz w:val="20"/>
          <w:szCs w:val="20"/>
          <w:color w:val="auto"/>
        </w:rPr>
      </w:pPr>
    </w:p>
    <w:p>
      <w:pPr>
        <w:spacing w:after="0"/>
        <w:tabs>
          <w:tab w:leader="none" w:pos="1320" w:val="left"/>
          <w:tab w:leader="none" w:pos="4480" w:val="left"/>
          <w:tab w:leader="none" w:pos="9660" w:val="left"/>
        </w:tabs>
        <w:rPr>
          <w:sz w:val="20"/>
          <w:szCs w:val="20"/>
          <w:color w:val="auto"/>
        </w:rPr>
      </w:pPr>
      <w:r>
        <w:rPr>
          <w:rFonts w:ascii="Arial" w:cs="Arial" w:eastAsia="Arial" w:hAnsi="Arial"/>
          <w:sz w:val="18"/>
          <w:szCs w:val="18"/>
          <w:color w:val="auto"/>
        </w:rPr>
        <w:t>share, and</w:t>
      </w:r>
      <w:r>
        <w:rPr>
          <w:sz w:val="20"/>
          <w:szCs w:val="20"/>
          <w:color w:val="auto"/>
        </w:rPr>
        <w:tab/>
      </w:r>
      <w:r>
        <w:rPr>
          <w:rFonts w:ascii="Arial" w:cs="Arial" w:eastAsia="Arial" w:hAnsi="Arial"/>
          <w:sz w:val="18"/>
          <w:szCs w:val="18"/>
          <w:color w:val="auto"/>
        </w:rPr>
        <w:t>shares of preferred stock, par value $</w:t>
      </w:r>
      <w:r>
        <w:rPr>
          <w:sz w:val="20"/>
          <w:szCs w:val="20"/>
          <w:color w:val="auto"/>
        </w:rPr>
        <w:tab/>
      </w:r>
      <w:r>
        <w:rPr>
          <w:rFonts w:ascii="Arial" w:cs="Arial" w:eastAsia="Arial" w:hAnsi="Arial"/>
          <w:sz w:val="18"/>
          <w:szCs w:val="18"/>
          <w:color w:val="auto"/>
        </w:rPr>
        <w:t>per share. Immediately following the completion of this offering,</w:t>
      </w:r>
      <w:r>
        <w:rPr>
          <w:sz w:val="20"/>
          <w:szCs w:val="20"/>
          <w:color w:val="auto"/>
        </w:rPr>
        <w:tab/>
      </w:r>
      <w:r>
        <w:rPr>
          <w:rFonts w:ascii="Arial" w:cs="Arial" w:eastAsia="Arial" w:hAnsi="Arial"/>
          <w:sz w:val="15"/>
          <w:szCs w:val="15"/>
          <w:color w:val="auto"/>
        </w:rPr>
        <w:t>shares of common</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stock, or</w:t>
      </w:r>
      <w:r>
        <w:rPr>
          <w:sz w:val="20"/>
          <w:szCs w:val="20"/>
          <w:color w:val="auto"/>
        </w:rPr>
        <w:tab/>
      </w:r>
      <w:r>
        <w:rPr>
          <w:rFonts w:ascii="Arial" w:cs="Arial" w:eastAsia="Arial" w:hAnsi="Arial"/>
          <w:sz w:val="15"/>
          <w:szCs w:val="15"/>
          <w:color w:val="auto"/>
        </w:rPr>
        <w:t>shares if the underwriters exercise their option to purchase additional shares in full, will be outstanding, and there will be no outstanding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our common stock are entitled to the following rights.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share of common stock entitles the holder to one vote with respect to each matter presented to our stockholders on which the holders of common stock are entitled to vote. Our common stock votes as a single class on all matters relating to the election and removal of directors on our Board of Directors and as provided by law, with each share of common stock entitling its holder to one vote. Holders of our common stock will not have cumulative voting rights. Except as otherwise provided in our amended and restated certificate of incorporation or required by law, all matters to be voted on by our stockholders must be approved by a majority of the shares present in person or by proxy at the meeting and entitled to vote on the subject matter.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Holders of common stock will share equally in any dividend declared by our Board of Directors, subject to any preferential rights of the holders of any outstanding preferred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7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our common stock would be entitled to share ratably in our assets that are legally available for distribution to stockholders after payment of liabilities. If we have any preferred stock outstanding at that time, holders of the preferred stock may be entitled to distribution and/or liquidation preferences. In either case, we must pay the applicable distribution to the holders of our preferred stock before we may pay distributions to the holders of our common stock.</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Rights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stockholders have no subscription, redemption or conversion privileges. Our common stock does not entitle its holders to preemptive rights for additional shares and does not have any sinking fund provisions. All of the outstanding shares of our common stock are fully paid and nonassessable. The rights, preferences and privileges of the holders of our common stock are subject to the rights of the holders of shares of any series of preferred stock which we may issue.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existing stockholders have certain registration rights with respect to our common stock pursuant to a stockholders agreement. For further information regarding this agreement, see “Certain Relationships and Related Person Transactions—Shareholders Agreement,” and “Shares Eligible for Future Sale.”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Our Board of Directors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Amended and Restated Certificate of Incorporation and Bylaws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closing of this offering, our amended and restated certificate of incorporation and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the power to discourage acquisitions that some stockholders may favor.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have a classified board of directors upon the closing of this offering. See “Management—Board of Directors.” It will take at least two annual meetings of stockholders to elect a majority of the board of directors given our classified board. As a result, it may discourage third-party proxy contests, tender offers or attempts to obtain control of us even if such changes would be beneficial to us and our stockholders. Our amended and restated certificate of incorporation will provide that directors may be removed only for cause by the affirmative vote of the holders of a majority of the voting power of the outstanding shares of common stock entitled to vote.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amended and restated certificate of incorporation will provide that, subject to the rights of any holders of preferred stock to act by written consent instead of a meeting, stockholder action may be taken only at an annual meeting or special meeting of stockholders and may not be taken by written consent instead of a meeting, unless affiliates of Avista Capital Partners own at least 50% of our outstanding common stock or the action to be taken by written consent of stockholders and the taking of this action by written consent has been expressly approved in advance by the board of directors. Failure to satisfy any of the requirements for a stockholder meeting could delay, prevent or invalidate stockholder 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amended and restated certificate of incorporation will provide that only a majority of the members of our Board of Directors then in office or the Chief Executive Officer may call special meetings of the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amended and restated bylaws will establish an advance notice procedure for stockholders to make nominations of candidates for election as directors or to bring other business before an annual meeting of our stockholders. The amended and restated bylaws will provide that any stockholder wishing to nominate persons for election as directors at, or bring other business before, an annual meeting must deliver to our secretary a written notice of the stockholder’s intention to do so. To be timely, the stockholder’s notice must be delivered to or mailed and received by us not later than the 90th day nor earlier than the 120th day prior to the anniversary date of the preceding annual meeting, except that if the annual meeting is not within 30 days before or 60 days after the date contemplated at the time of the previous year’s proxy statement, we must receive the notice not earlier than the 120th day prior to such annual meeting and not later than the 90th day prior to such annual meeting. If a public announcement of the date of such annual meeting is made fewer than 100 days prior to the date of such annual meeting, then notice must be received by us no later than the tenth day following the public announcement of the date of the meeting. The notice must include the information specified in the amended and restated bylaws. These provisions may preclude stockholders from bringing matters before an annual or special meeting of stockholders or from making nominations for directors at an annual or special meeting of stockholders.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to Bylaws and Certificate of Incorporation</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amendment to our amended and restated certificate of incorporation must first be approved by a majority of our Board of Directors and (i) if required by law, thereafter be approved by a majority of the outstanding shares entitled to vote on the amendment or (ii) if related to provisions regarding the classification of the Board of Directors, the removal of directors, stockholder action by written consent, the ability to call special meetings of stockholders, indemnification, corporate opportunities or the amendment of our bylaws or certificate of incorporation, thereafter be approved by % of the outstanding shares entitled to vote on the amendment. Our bylaws may be amended (x) by the affirmative vote of a majority of the directors then in office, subject to any limitations set forth in the bylaws, without further stockholder action or (y) by the affirmative vote of at least % of the outstanding shares entitled to vote on the amendment, without further action by our Board of Directors.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authorized but unissued shares of our common stock and our preferred stock will be available for 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will contain a provision by which we expressly elect not to be governed by Section 203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DGCL, which is described below, until the moment in time, if ever, immediately following the time at which both of the following conditions exist:</w:t>
      </w:r>
    </w:p>
    <w:p>
      <w:pPr>
        <w:spacing w:after="0" w:line="9"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Section 203 by its terms would, but for the terms of our amended and restated certificate of incorporation, apply to us and (ii) there occurs a transaction in</w:t>
      </w:r>
    </w:p>
    <w:p>
      <w:pPr>
        <w:spacing w:after="0" w:line="32"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which Avista Capital Partners no longer owns at least 15% of our outstanding common stock. Our certificate of incorporation will provide that, at such time, we will automatically become subject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Section 203 of the DGCL. However, any person that acquires 15% or more of our outstanding common stock in the same transaction in which Avista ceases to own at least 15% of our outstanding common stock will not be an interested stockholder under Section 203 as a result of that transaction.</w:t>
      </w:r>
    </w:p>
    <w:p>
      <w:pPr>
        <w:spacing w:after="0" w:line="7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Section 203 of the DGCL provides that, subject to exceptions set forth therein, an interested stockholder of a Delaware corporation shall not engage in any business combination, including mergers or consolidations or acquisitions of additional shares of the corporation from the corporation, with the corporation for a three-year period following the time that such stockholder became an interested stockholder unless:</w:t>
      </w:r>
    </w:p>
    <w:p>
      <w:pPr>
        <w:spacing w:after="0" w:line="46" w:lineRule="exact"/>
        <w:rPr>
          <w:sz w:val="20"/>
          <w:szCs w:val="20"/>
          <w:color w:val="auto"/>
        </w:rPr>
      </w:pPr>
    </w:p>
    <w:p>
      <w:pPr>
        <w:ind w:left="66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37" w:lineRule="exact"/>
        <w:rPr>
          <w:rFonts w:ascii="Arial" w:cs="Arial" w:eastAsia="Arial" w:hAnsi="Arial"/>
          <w:sz w:val="18"/>
          <w:szCs w:val="18"/>
          <w:color w:val="auto"/>
        </w:rPr>
      </w:pPr>
    </w:p>
    <w:p>
      <w:pPr>
        <w:ind w:left="660" w:right="40" w:hanging="206"/>
        <w:spacing w:after="0" w:line="325"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1" w:lineRule="exact"/>
        <w:rPr>
          <w:rFonts w:ascii="Arial" w:cs="Arial" w:eastAsia="Arial" w:hAnsi="Arial"/>
          <w:sz w:val="16"/>
          <w:szCs w:val="16"/>
          <w:color w:val="auto"/>
        </w:rPr>
      </w:pPr>
    </w:p>
    <w:p>
      <w:pPr>
        <w:ind w:left="660" w:right="200" w:hanging="206"/>
        <w:spacing w:after="0" w:line="370" w:lineRule="auto"/>
        <w:tabs>
          <w:tab w:leader="none" w:pos="6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set forth in Section 203, an interested stockholder is defined to include:</w:t>
      </w:r>
    </w:p>
    <w:p>
      <w:pPr>
        <w:spacing w:after="0" w:line="77" w:lineRule="exact"/>
        <w:rPr>
          <w:sz w:val="20"/>
          <w:szCs w:val="20"/>
          <w:color w:val="auto"/>
        </w:rPr>
      </w:pPr>
    </w:p>
    <w:p>
      <w:pPr>
        <w:ind w:left="660" w:right="100" w:hanging="206"/>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affiliates and associates of any such person.</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election to not initially be subject to Section 203 may have positive or negative consequences, depending on the circumstances. Being subject to Section 203 may make it more difficult for a person who would be an interested stockholder to effect various business combinations with us for a three-year period. Section 203 also may have the effect of preventing changes in our management. Section 203 also could make it more difficult to accomplish transactions which our stockholders may otherwise deem to be in their best interests. If the provisions of Section 203 were applicable, they may cause persons interested in acquiring us to negotiate in advance with our board of directors. In addition, because we did not elect to be initially subject to Section 203, Avista Capital Partners, as a controlling stockholder, may find it easier to sell its controlling interest to a third party because Section 203 would not apply to such third party. The restrictions on business combinations set forth in Section 203 would not have been applicable to Avista Capital Partners.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amended and restated certificate of incorporation will provide that Avista Capital and its affiliates have no obligation to offer us an opportunity to participate in business opportunities presented to Avista Capital or its respective affiliates even if the opportunity is one that we might reasonably have pursued (and therefore may be free to compete with us in the same business or similar businesses), and that neither Avista Capital nor its respective affiliates will be liable to us or our stockholders for breach of any duty by reason of any of those activities unless, in the case of any person who is a director or officer of our company, such business opportunity is expressly offered to such director or officer in writing solely in his or her capacity as an officer or director of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consummation of the offering, we anticipate applying to list our common stock on the NYSE or NASDAQ under the symbol “LANT.”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tabs>
          <w:tab w:leader="none" w:pos="534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LMI has an amended and restated asset-based revolving credit facility which was entered into on July 3, 2013 with Wells Fargo Bank, National Association, as administrative agent and collateral agent, or, in such capacity, the Administrative Agent, each of the lenders party thereto, or, in such capacity, the Lenders, and Lantheus Intermediate and Lantheus Real Estate, each as guarantors in respect thereto.</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the terms of our revolving credit facility, the Lenders may extend credit to LMI consisting of a revolving credit facility in an aggregate principal amount not to exceed $42.5 million at any time outstanding. Our revolving credit facility includes a sub-facility for the issuance of letters of credit, or Letters of Credit. LMI has a right to request an increase of the revolving credit facility in an aggregate amount of up to $25 million.</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Letters of Credit and the borrowings under our revolving credit facility are expected to be used for working capital and for other general corporate purposes. Our revolving credit facility matures on the earlier of (i) July 3, 2018 or (ii) if the outstanding Notes are not refinanced in full, the date that is 91 days before the maturity thereof, at which time all outstanding borrowings are due and payable.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connection with our revolving credit facility, LMI and the guarantors under our revolving credit facility, Lantheus Intermediate and Lantheus Real Estate have entered into several other agreements including, but not limited to, an amended and restated pledge and security agreement and a mortgage.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revolving loans under our revolving credit facility bear interest subject to a pricing grid based on average historical excess availability under our revolving credit facility, with pricing based from time to time at our election at (i) LIBOR plus a spread ranging from 2.00% to 2.50% or (ii) the Reference Rate (as defined in our revolving credit facility) plus a spread ranging from 1.00% to 1.50%. Our revolving credit facility also includes an unused line fee of 0.375% or 0.5%, depending on the average unused revolving credit commitments.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Optional Prepayments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LMI is permitted to voluntarily prepay our revolving credit facility, in whole or in part, without premium or penalty.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7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On any business day on which the total amount of outstanding revolving loans and Letters of Credit exceeds the lesser of the total revolving credit commitment and the borrowing base, LMI must prepay the revolving loans and/or reduce the Letter of Credit obligations in an amount equal to such excess.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revolving credit facility is guaranteed by Lantheus Intermediate and Lantheus Real Estate, and obligations under our revolving credit facility are secured by all the property and assets and all interests of the loan parties, then owned or thereafter acquired, as provided for under the amended and restated pledge and security agreement and the mortgage entered into in connection with our revolving credit facility and subject to express limitations contained therein. Following our corporate reorganization, we will become a guarantor under LMI’s revolving credit facility.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revolving credit facility contains a number of affirmative, negative, reporting and financial covenants, in each case subject to certain exceptions and materiality thresholds. The affirmative covenants include, among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things, and subject to certain exceptions, requirements with respect to compliance with law and payment of taxes; inspection rights; maintenance of insurance; obtaining permits and providing additional guarantees and security and after acquired property; preservation of existence, keeping records and maintaining property. The negative covenants restrict or limit, among other things, and subject to certain exceptions, grants of liens; incurrence of additional debt; changes in the nature of the business; transactions with affiliates; dissolutions or mergers with others; assets sales; certain investments and restricted payments; payment of dividends and other distributions to equity holders; prepayments of certain debt; capital expenditures; and grants of negative pledges. The reporting covenants include, among other things, requirements to provide the Lenders with notice of defaults and events of default; delivery of annual and quarterly financial statements; provision of the calculations necessary to demonstrate compliance with the financial covenant; delivery of budgets; providing information with respect to material litigation, breaches of material contracts, and termination events under our Employee Plan and delivering a borrowing base certificate. During a covenant trigger period, our revolving credit facility requires us to comply with a financial covenant in the form of a consolidated fixed charge coverage ratio of not less than 1:00:1:00.</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revolving credit facility contains events of default, including, among other things, in each case subject to certain exceptions and materiality thresholds, failure to pay principal, interest and other payments when due; any representation or warranty incorrect in any material respect when made; default in the observance or performance of any other covenant or agreement or security document related to our revolving credit facility beyond the applicable grace period; default in payment of an aggregate amount in excess of $10 million of principal or interest on any debt other than under our revolving credit facility; commencement by or against Lantheus Intermediate or any of its direct or indirect subsidiaries seeking to adjudicate it bankrupt or insolvent, or seeking dissolution, liquidation, winding up, reorganization, relief of it or its debt under any law relating to bankruptcy, insolvency or reorganization or relief of debtors, that remains undismissed, or unstayed for a period of 60 days; final payment judgments rendered against us or any of our direct or indirect subsidiaries in excess of $10 million in aggregate principal amount and either (i) an enforcement proceeding shall have been commenced with respect thereto, (ii) there shall be a period of 45 consecutive days after entry thereof during which a stay of enforcement of such judgment shall not be in effect, or (iii) at any time during a stay of enforcement of such judgment, such judgment is not bonded in the full amount, unless the amount of such judgment is covered by a valid insurance and the claim thereunder has not been disputed; certain events leading to an Employee Retirement Income Security Act, or ERISA, withdrawal liability or termination event in excess of $10 million; and a change of control as defined under the agreement governing our revolving credit facility.</w:t>
      </w:r>
    </w:p>
    <w:p>
      <w:pPr>
        <w:spacing w:after="0" w:line="11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Upon an event of default, the Administrative Agent has the right to declare the loans and other obligations outstanding immediately due and payable and all commitments immediately terminated or reduced, and the Administrative Agent may, after such events of default, require LMI to make deposits with respect to any outstanding Letters of Credit in an amount equal to 105% of the greatest amount for which such Letter of Credit may be drawn.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15, 2010 and March 21, 2011, LMI issued a total aggregate principal amount of $400 million of its Notes. The Notes bear interest at a rate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9.750% per year, payable on May 15 and November 15 of each year. The Notes mature on May 15, 2017. In connection with the issuance of the Notes, LMI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guarantors, including Lantheus Intermediate, entered into registration rights agreements with the initial purchasers of the Notes and registered the Notes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and Exchange Commission on April 8, 2011 and on December 30,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LMI can redeem the Notes at 100% of the principal amount on May 15, 2016 or thereafter. LMI may also redeem the Notes prior to May 15, 2016 depending on the timing of the redemption during the twelve month period beginning May 15 of each of the years indicated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0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10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2014</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56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104.875%</w:t>
            </w:r>
          </w:p>
        </w:tc>
        <w:tc>
          <w:tcPr>
            <w:tcW w:w="0" w:type="dxa"/>
            <w:vAlign w:val="bottom"/>
          </w:tcPr>
          <w:p>
            <w:pPr>
              <w:spacing w:after="0"/>
              <w:rPr>
                <w:sz w:val="1"/>
                <w:szCs w:val="1"/>
                <w:color w:val="auto"/>
              </w:rPr>
            </w:pPr>
          </w:p>
        </w:tc>
      </w:tr>
      <w:tr>
        <w:trPr>
          <w:trHeight w:val="222"/>
        </w:trPr>
        <w:tc>
          <w:tcPr>
            <w:tcW w:w="10560" w:type="dxa"/>
            <w:vAlign w:val="bottom"/>
            <w:gridSpan w:val="2"/>
          </w:tcPr>
          <w:p>
            <w:pPr>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102.438%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at any time prior to May 15, 2014, LMI may also redeem all or a part of the Notes, with notice, at a redemption price equal to 100% of the principal amount thereof of the Notes redeemed plus the applicable premium (as defined in the indenture governing the Notes) as of, and accrued and unpaid interest and additional interest (as defined in the indenture governing the Notes), if any, to, but not including, the redemption date, subject to the rights of holders of record on the relevant record date to receive interest due on the relevant interest payment date.</w:t>
      </w:r>
    </w:p>
    <w:p>
      <w:pPr>
        <w:spacing w:after="0" w:line="9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Upon a change of control (as defined in the indenture governing the Notes), LMI will be required to make an offer to purchase each holder’s note at a price of 101% of the principal amount thereof, plus accrued and unpaid interest, if any, to the date of purchase.</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LMI or its restricted subsidiaries engage in asset sales (as defined in the indenture governing the Notes), they generally must either reinvest the net cash proceeds from such sales in their business within a specified period of time, prepay certain indebtedness or make an offer to purchase at par a principal amount of the Notes equal to the excess net cash proceeds (as defined in the indenture governing the Notes), subject to certain exceptions.</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are unsecured and are equal in right of payment to all of the existing and future senior debt, including borrowing under its secured credit facilities, subject to the security interest thereof. LMI’s obligations under the Notes are fully and unconditionally guaranteed, jointly and severally, on an unsecured senior basis by Lantheus Intermediate and by certain of the LMI’s subsidiaries, and the obligations of such guarantors under their guarantees are equal in right of payment to all of their existing and future senior debt. Following our corporate reorganization, we will become a guarantor of LMI’s Notes.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indenture governing the Notes contains affirmative and negative covenants, as well as restrictions on our ability and the ability of LMI and the LMI’s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our assets; and (viii) enter into certain transactions with our affiliates.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this offering, there was no public market for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Securities</w:t>
      </w:r>
    </w:p>
    <w:p>
      <w:pPr>
        <w:spacing w:after="0" w:line="83" w:lineRule="exact"/>
        <w:rPr>
          <w:sz w:val="20"/>
          <w:szCs w:val="20"/>
          <w:color w:val="auto"/>
        </w:rPr>
      </w:pPr>
    </w:p>
    <w:p>
      <w:pPr>
        <w:ind w:left="460"/>
        <w:spacing w:after="0"/>
        <w:tabs>
          <w:tab w:leader="none" w:pos="4160" w:val="left"/>
        </w:tabs>
        <w:rPr>
          <w:sz w:val="20"/>
          <w:szCs w:val="20"/>
          <w:color w:val="auto"/>
        </w:rPr>
      </w:pPr>
      <w:r>
        <w:rPr>
          <w:rFonts w:ascii="Arial" w:cs="Arial" w:eastAsia="Arial" w:hAnsi="Arial"/>
          <w:sz w:val="18"/>
          <w:szCs w:val="18"/>
          <w:color w:val="auto"/>
        </w:rPr>
        <w:t>After this offering, there will be outstanding</w:t>
      </w:r>
      <w:r>
        <w:rPr>
          <w:sz w:val="20"/>
          <w:szCs w:val="20"/>
          <w:color w:val="auto"/>
        </w:rPr>
        <w:tab/>
      </w:r>
      <w:r>
        <w:rPr>
          <w:rFonts w:ascii="Arial" w:cs="Arial" w:eastAsia="Arial" w:hAnsi="Arial"/>
          <w:sz w:val="15"/>
          <w:szCs w:val="15"/>
          <w:color w:val="auto"/>
        </w:rPr>
        <w:t>shares (assuming no exercise of the underwriters’ option to purchase additional shares), or</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shares (assuming full exercise of the underwriters’ option to purchase additional shares), of our common stock. Of these shares, all of the shares of our common stock sold in this offering will be freely tradable without restriction under the Securities Act, unless purchased by our “affiliates” as that term is defined in Rule 144 under the Securities Act. The remaining shares of common stock that will be outstanding after this offering are “restricted securities” within the meaning of Rule 144 under the Securities Act. Restricted securities may be sold in the public market only if they are registered under the Securities Act or are sold pursuant to an exemption from registration under Rule 144 under the Securities Act, which is summarized below. Subject to the lock-up agreements described below, shares held by our affiliates that are not “restricted securities” as defined in Rule 144 under the Securities Act may be sold subject to compliance with Rule 144 of the Securities Act without regard to the prescribed six month holding period under Rule 144. All shares of our common stock held by our existing shareholders will be “restricted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83" w:lineRule="exact"/>
        <w:rPr>
          <w:sz w:val="20"/>
          <w:szCs w:val="20"/>
          <w:color w:val="auto"/>
        </w:rPr>
      </w:pPr>
    </w:p>
    <w:p>
      <w:pPr>
        <w:ind w:left="460"/>
        <w:spacing w:after="0"/>
        <w:tabs>
          <w:tab w:leader="none" w:pos="10440" w:val="left"/>
        </w:tabs>
        <w:rPr>
          <w:sz w:val="20"/>
          <w:szCs w:val="20"/>
          <w:color w:val="auto"/>
        </w:rPr>
      </w:pPr>
      <w:r>
        <w:rPr>
          <w:rFonts w:ascii="Arial" w:cs="Arial" w:eastAsia="Arial" w:hAnsi="Arial"/>
          <w:sz w:val="18"/>
          <w:szCs w:val="18"/>
          <w:color w:val="auto"/>
        </w:rPr>
        <w:t>In connection with this offering, we, each of our directors, executive officers, and certain of our significant stockholders, representing</w:t>
      </w:r>
      <w:r>
        <w:rPr>
          <w:sz w:val="20"/>
          <w:szCs w:val="20"/>
          <w:color w:val="auto"/>
        </w:rPr>
        <w:tab/>
      </w:r>
      <w:r>
        <w:rPr>
          <w:rFonts w:ascii="Arial" w:cs="Arial" w:eastAsia="Arial" w:hAnsi="Arial"/>
          <w:sz w:val="15"/>
          <w:szCs w:val="15"/>
          <w:color w:val="auto"/>
        </w:rPr>
        <w:t>shares of our</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common stock, will enter into lock-up agreements as described under “Underwriting” that restrict the sale of shares of our common stock for up to 180 days after the date of this prospectus, subject to an extension in certain circumstances.</w:t>
      </w:r>
    </w:p>
    <w:p>
      <w:pPr>
        <w:spacing w:after="0" w:line="12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following the expiration of the lock-up period, Avista will have the right, subject to certain conditions, to require us to register the sale of their remaining shares of our common stock under federal securities laws. If Avista exercises this right, certain of our other existing stockholders may require us to register their registrable securities. By exercising their registration rights, and selling a large number of shares, these stockholders could cause the prevailing market price of our common stock to decline.</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Following the lock-up periods set forth above, all of the shares of our common stock that are restricted securities or are held by our affiliates as of the date of this prospectus will be eligible for sale in the public market in compliance with Rule 144 under the Securities Act.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Notwithstanding the foregoing, the Shareholders Agreements contain restrictions on the ability of the Management Shareholders and employee shareholders to transfer shares of Holdings that they own, including provisions that only allow Management Shareholders and employee shareholders to transfer shares of Holdings following an initial public offering of Holdings in proportion with any transfers by the Avista Entities.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our common stock sold in this offering will generally be freely transferable without restriction or further registration under the Securities Act, except that any shares of our common stock held by an “affiliate” of ours may not be resold publicly except in compliance with the registration requirements of the Securities Act or under an exemption under Rule 144 under the Securities Act or otherwise. Rule 144 under the Securities Act permits our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48"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common stock outstanding;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for the four calendar weeks prior to the sale.</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Those sales are also subject to specific manner of sale provisions, a six-month holding period requirement, notice requirements and the availability of current public information about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shares of our common stock that are not subject to the lock-up arrangements described above will be eligible for sale pursuant to Rule 144 under the Securities Act immediately upon closing this offering.</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Rule 144 under the Securities Act also provides that a person who is not deemed to have been an affiliate of ours at any time during the three months preceding a sale, and who has for at least six months beneficially owned shares of our common stock that are restricted securities, will be entitled to freely sell those shares of our common stock subject only to the availability of current public information regarding us. A person who is not deemed to have been an affiliate of ours at any time during the three months preceding a sale, and who has beneficially owned for at least one year shares of our common stock that are restricted securities, will be entitled to freely sell those shares of our common stock under Rule 144 under the Securities Act without regard to the current public information requirements of Rule 144 under the Securities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left="460"/>
        <w:spacing w:after="0"/>
        <w:tabs>
          <w:tab w:leader="none" w:pos="6060" w:val="left"/>
        </w:tabs>
        <w:rPr>
          <w:sz w:val="20"/>
          <w:szCs w:val="20"/>
          <w:color w:val="auto"/>
        </w:rPr>
      </w:pPr>
      <w:r>
        <w:rPr>
          <w:rFonts w:ascii="Arial" w:cs="Arial" w:eastAsia="Arial" w:hAnsi="Arial"/>
          <w:sz w:val="18"/>
          <w:szCs w:val="18"/>
          <w:color w:val="auto"/>
        </w:rPr>
        <w:t>Upon the consummation of this offering, the holders of an aggregate of</w:t>
      </w:r>
      <w:r>
        <w:rPr>
          <w:sz w:val="20"/>
          <w:szCs w:val="20"/>
          <w:color w:val="auto"/>
        </w:rPr>
        <w:tab/>
      </w:r>
      <w:r>
        <w:rPr>
          <w:rFonts w:ascii="Arial" w:cs="Arial" w:eastAsia="Arial" w:hAnsi="Arial"/>
          <w:sz w:val="16"/>
          <w:szCs w:val="16"/>
          <w:color w:val="auto"/>
        </w:rPr>
        <w:t>shares of our common stock will be entitled to rights with respect to the</w:t>
      </w:r>
    </w:p>
    <w:p>
      <w:pPr>
        <w:spacing w:after="0" w:line="1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registration of these shares under the Securities Act. Registration of these shares under the Securities Act would result in these shares becoming freely tradable without restriction under the Securities Act immediately upon the effectiveness of registration, except for shares purchased by affiliates. For more information, see “Certain Relationships and Related Person Transactions—Shareholders Agreement.”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TO NON-U.S. HOLDERS</w:t>
      </w:r>
    </w:p>
    <w:p>
      <w:pPr>
        <w:spacing w:after="0" w:line="16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The following discussion summarizes the material U.S. federal income and estate tax consequences to non-U.S. holders (as defined below) of ownership and disposition of our common stock. This summary does not provide a complete analysis of all potential U.S. federal income tax and estate tax considerations relating thereto. The information provided below is based on the Internal Revenue Code of 1986, as amended, or the Code, and administrative pronouncements, judicial decisions and final, temporary and proposed Treasury regulations as of the date hereof, changes to any of which subsequent to the date of this prospectus may affect the tax consequences described herein. In addition, this summary does not address the Medicare tax on certain investment income or any state, local or foreign taxes or any U.S. federal tax laws other than U.S. federal income tax laws and estate tax laws. Persons considering the purchase, ownership, or disposition of our common stock should consult their tax advisors concerning U.S. federal, state, local, foreign or other tax consequences in light of their particular situations.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a ‘‘non-U.S. holder’’ is a beneficial owner of our common stock that is not, for U.S. federal income tax purposes:</w:t>
      </w:r>
    </w:p>
    <w:p>
      <w:pPr>
        <w:spacing w:after="0" w:line="77" w:lineRule="exact"/>
        <w:rPr>
          <w:sz w:val="20"/>
          <w:szCs w:val="20"/>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individual who is a citizen or resident of the United States,</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estate the income of which is subject to U.S. federal income taxation regardless of its source, or</w:t>
      </w:r>
    </w:p>
    <w:p>
      <w:pPr>
        <w:spacing w:after="0" w:line="103" w:lineRule="exact"/>
        <w:rPr>
          <w:rFonts w:ascii="Arial" w:cs="Arial" w:eastAsia="Arial" w:hAnsi="Arial"/>
          <w:sz w:val="18"/>
          <w:szCs w:val="18"/>
          <w:color w:val="auto"/>
        </w:rPr>
      </w:pPr>
    </w:p>
    <w:p>
      <w:pPr>
        <w:jc w:val="both"/>
        <w:ind w:left="660" w:right="140" w:hanging="206"/>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U.S. person.</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you are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 If a partnership or other pass-through entity is a beneficial owner of our common stock, the tax treatment of a partner in the partnership or an owner of the entity will depend upon the status of the partner or other owner and the activities of the partnership or other entity. Any partner in a partnership or owner of a pass-through entity holding shares of our common stock should consult its own tax advisor.</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discussion assumes that a non-U.S. holder will hold our common stock as a capital asset (generally, property held for investment). The summary generally does not address tax considerations that may be relevant to particular investors because of their specific circumstances, or because they are subject to special rules, including, without limitation if the investor is a ‘‘controlled foreign corporation,’’ ‘‘passive foreign investment company’’ or former citizen or long-term resident of the United States. If you fall within any of the foregoing categories, this description does not apply to you, and you should consult with your own tax advisor about the tax consequences of acquiring, owning, and disposing of our common stock.</w:t>
      </w:r>
    </w:p>
    <w:p>
      <w:pPr>
        <w:spacing w:after="0" w:line="96"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do not expect to declare or pay any dividends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“—Disposition of Common Stock.”</w:t>
      </w:r>
    </w:p>
    <w:p>
      <w:pPr>
        <w:spacing w:after="0" w:line="1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Any dividend paid to a non-U.S. holder on our common stock will generally be subject to U.S. federal withholding tax at a 30% rate. The withholding tax might not apply, however, or might apply at a reduced rate, under the terms of an applicable income tax treaty between the United States and the non-</w:t>
      </w:r>
    </w:p>
    <w:p>
      <w:pPr>
        <w:ind w:right="20"/>
        <w:spacing w:after="0" w:line="252" w:lineRule="auto"/>
        <w:rPr>
          <w:sz w:val="20"/>
          <w:szCs w:val="20"/>
          <w:color w:val="auto"/>
        </w:rPr>
      </w:pPr>
      <w:r>
        <w:rPr>
          <w:rFonts w:ascii="Arial" w:cs="Arial" w:eastAsia="Arial" w:hAnsi="Arial"/>
          <w:sz w:val="18"/>
          <w:szCs w:val="18"/>
          <w:color w:val="auto"/>
        </w:rPr>
        <w:t>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Internal Revenue Service, or IRS, Form W-8BEN (or any successor form)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w:t>
      </w:r>
    </w:p>
    <w:p>
      <w:pPr>
        <w:spacing w:after="0" w:line="1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(or, in certain cases involving individual holders, a fixed base) maintained by the non-U.S. holder in the United States, are not subject to such withholding tax. To obtain this exemption, a non-U.S. holder must provide us with an IRS Form W-8ECI properly certifying such exemption. Such effectively connected dividends, although not subject to withholding tax, are taxed at the same graduated rates applicable to U.S. persons, net of certain deductions and credits. In addition to the graduated tax described above, such effectively connected dividends received by corporate non-U.S. holders may also be subject to a branch profits tax at a rate of 30% or such lower rate as may be specified by an applicable tax treaty.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of Common Stock</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the discussion below on backup withholding and other withholding requirements, gain realized by a non-U.S. holder on a sale, exchange or other disposition of our common stock generally will not be subject to U.S. federal income or withholding tax, unless:</w:t>
      </w:r>
    </w:p>
    <w:p>
      <w:pPr>
        <w:spacing w:after="0" w:line="37" w:lineRule="exact"/>
        <w:rPr>
          <w:sz w:val="20"/>
          <w:szCs w:val="20"/>
          <w:color w:val="auto"/>
        </w:rPr>
      </w:pPr>
    </w:p>
    <w:p>
      <w:pPr>
        <w:ind w:left="660" w:right="140" w:hanging="206"/>
        <w:spacing w:after="0" w:line="25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certain cases involving individual holders, a fixed base) maintained by the non-U.S. holder in the United States (in which case the special rules described below apply),</w:t>
      </w:r>
    </w:p>
    <w:p>
      <w:pPr>
        <w:spacing w:after="0" w:line="48"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or more days in the taxable year of such disposition and certain other conditions are met (in which case the gain would be subject to a flat 30% tax, or such reduced rate as may be specified by an applicable income tax treaty, which may be offset by U.S. source capital losses), or</w:t>
      </w:r>
    </w:p>
    <w:p>
      <w:pPr>
        <w:spacing w:after="0" w:line="45"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or a USRPHC, for U.S. federal income tax purposes at any time during the shorter of the five-year period ending on the date of disposition of our common stock and the non-U.S. holder’s holding period for our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stock in a USRPHC does not apply to a non-U.S. holder whose holdings, actual and constructive, amount to 5% or less of our common stock at all times during the applicable period, provided that our common stock is regularly traded on an established securities market. We believe we have not been and are not currently a USRPHC, and do not anticipate being a USRPHC in the future.</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any gain from the sale, exchange or other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certain cases involving individuals, a fixed base) maintained by such non-U.S. holder in the United States, then the gain generally will be subject to U.S. federal income tax at the same graduated rates applicable to U.S. persons, net of certain deductions and credits. If the non-U.S. holder is a corporation, it also may be subject to the branch profits tax at a 30% rate, or such lower rate as may be specified by an applicable income tax treaty.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dividends that are paid to a non-U.S. holder must be reported annually to the IRS and to the non-U.S. holder. Copies of these information returns also may be made available to the tax authorities of the country in which the non-U.S. holder resides under the provisions of various treaties or agreements for the exchange of information. Unless the non-U.S. holder is an exempt recipient, dividends paid on our common stock and the gross proceeds from a taxable disposition of our common stock may be subject to additional information reporting and may also be subject to U.S. federal backup withholding (at a rate of 28%) if such non-U.S. holder fails to comply with applicable U.S. information reporting and certification requirements. Provision of any IRS Form W-8 appropriate to the non-U.S. holder’s circumstances will satisfy the certification requirements necessary to avoid the backup withholding tax.</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Withholding Requirements</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Non-U.S. holders of our common stock may be subject to U.S. withholding tax at a rate of 30% under sections 1471 through 1474 of the Code (commonly referred to as FATCA). This withholding tax may apply if a non-U.S. holder (or any foreign intermediary that receives a payment on a non-U.S. holder’s behalf) does not comply with certain U.S. information reporting requirements and does not otherwise qualify for an exemption from these rules. The payments potentially subject to this withholding tax include dividends on, and gross proceeds from the sale or other disposition of, our common stock. If FATCA is not complied with, the withholding tax described above will apply to dividends paid on or after July 1, 2014, and to gross proceeds from the sale or other disposition of our common stock on or after January 1, 2017. Certain non-U.S. holders located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jurisdictions that have an intergovernmental agreement with the United States governing FATCA may be subject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different rules. Non-U.S. holders should consult their tax advisors regarding the possible implications of FATCA for their investment in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20"/>
          </w:cols>
          <w:pgMar w:left="240" w:top="460"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Citigroup Global Markets Inc. and Jefferies LLC are acting as joint book-running managers of the offering and as representatives of the underwriters named below. Subject to the terms and conditions stated in the underwriting agreement dated the date of this prospectus, each underwriter named below has severally agreed to purchase, and we have agreed to sell to that underwriter, the number of shares set forth opposite the underwriter’s name.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0340" w:type="dxa"/>
            <w:vAlign w:val="bottom"/>
          </w:tcPr>
          <w:p>
            <w:pPr>
              <w:jc w:val="center"/>
              <w:ind w:left="9712"/>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vMerge w:val="continue"/>
          </w:tcPr>
          <w:p>
            <w:pPr>
              <w:spacing w:after="0"/>
              <w:rPr>
                <w:sz w:val="12"/>
                <w:szCs w:val="12"/>
                <w:color w:val="auto"/>
              </w:rPr>
            </w:pPr>
          </w:p>
        </w:tc>
        <w:tc>
          <w:tcPr>
            <w:tcW w:w="10340" w:type="dxa"/>
            <w:vAlign w:val="bottom"/>
          </w:tcPr>
          <w:p>
            <w:pPr>
              <w:jc w:val="center"/>
              <w:ind w:left="9732"/>
              <w:spacing w:after="0" w:line="148"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Citigroup Global Markets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if they purchase any of the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 shares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sold by the underwriters to securities dealers may be sold at a discount from the initial public offering price not to exceed $ per share. If all the shares are not sold at the initial offering price, the underwriters may change the offering price and the other selling terms. The representatives have advised us that the underwriters do not intend to make sales to discretionary accounts.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from the date of this prospectus, to purchase up to additional shares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our officers and directors, certain of our employees and our other principal stockholders have agreed that, for a period of 180 days from the date of this prospectus, we and they will not, without the prior written consent of Citigroup and Jefferies, dispose of or hedge any shares or any securities convertible into or exchangeable for our common stock subject to certain exceptions. Citigroup and Jefferies in their sole discretion may release any of the securities subject to these lock-up agreements at any time, which, in the case of officers and directors, shall be with notice.</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shares. Consequently, the initial public offering price for the shares was determined by negotiations among us and the representatives. Among the factors considered in determining the initial public offering price were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 at which the shares will sell in the public market after this offering will not be lower than the initial public offering price or that an active trading market in our shares will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have our common stock listed on the NYSE or NASDAQ under the symbol “LANT.”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Paid by the Company</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 Exercise</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Full Exercise</w:t>
            </w:r>
          </w:p>
        </w:tc>
        <w:tc>
          <w:tcPr>
            <w:tcW w:w="100" w:type="dxa"/>
            <w:vAlign w:val="bottom"/>
          </w:tcPr>
          <w:p>
            <w:pPr>
              <w:spacing w:after="0"/>
              <w:rPr>
                <w:sz w:val="12"/>
                <w:szCs w:val="12"/>
                <w:color w:val="auto"/>
              </w:rPr>
            </w:pPr>
          </w:p>
        </w:tc>
      </w:tr>
      <w:tr>
        <w:trPr>
          <w:trHeight w:val="210"/>
        </w:trPr>
        <w:tc>
          <w:tcPr>
            <w:tcW w:w="9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6"/>
        </w:trPr>
        <w:tc>
          <w:tcPr>
            <w:tcW w:w="10960" w:type="dxa"/>
            <w:vAlign w:val="bottom"/>
            <w:gridSpan w:val="4"/>
          </w:tcPr>
          <w:p>
            <w:pPr>
              <w:jc w:val="right"/>
              <w:ind w:right="219"/>
              <w:spacing w:after="0"/>
              <w:rPr>
                <w:sz w:val="20"/>
                <w:szCs w:val="20"/>
                <w:color w:val="auto"/>
              </w:rPr>
            </w:pPr>
            <w:r>
              <w:rPr>
                <w:rFonts w:ascii="Arial" w:cs="Arial" w:eastAsia="Arial" w:hAnsi="Arial"/>
                <w:sz w:val="18"/>
                <w:szCs w:val="18"/>
                <w:color w:val="auto"/>
                <w:w w:val="93"/>
              </w:rPr>
              <w:t>We estimate that our portion of the total expenses of this offering, exclusive of underwriting discounts and commissions, will be approximately $</w:t>
            </w:r>
          </w:p>
        </w:tc>
        <w:tc>
          <w:tcPr>
            <w:tcW w:w="3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bl>
    <w:p>
      <w:pPr>
        <w:spacing w:after="0" w:line="14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46" w:lineRule="exact"/>
        <w:rPr>
          <w:sz w:val="20"/>
          <w:szCs w:val="20"/>
          <w:color w:val="auto"/>
        </w:rPr>
      </w:pPr>
    </w:p>
    <w:p>
      <w:pPr>
        <w:ind w:left="660" w:hanging="206"/>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shares than they are required to purchase in the offering.</w:t>
      </w:r>
    </w:p>
    <w:p>
      <w:pPr>
        <w:spacing w:after="0" w:line="126" w:lineRule="exact"/>
        <w:rPr>
          <w:rFonts w:ascii="Arial" w:cs="Arial" w:eastAsia="Arial" w:hAnsi="Arial"/>
          <w:sz w:val="16"/>
          <w:szCs w:val="16"/>
          <w:color w:val="auto"/>
        </w:rPr>
      </w:pPr>
    </w:p>
    <w:p>
      <w:pPr>
        <w:ind w:left="900" w:right="400" w:hanging="217"/>
        <w:spacing w:after="0" w:line="268"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37" w:lineRule="exact"/>
        <w:rPr>
          <w:rFonts w:ascii="Arial" w:cs="Arial" w:eastAsia="Arial" w:hAnsi="Arial"/>
          <w:sz w:val="18"/>
          <w:szCs w:val="18"/>
          <w:color w:val="auto"/>
        </w:rPr>
      </w:pPr>
    </w:p>
    <w:p>
      <w:pPr>
        <w:ind w:left="900" w:right="60" w:hanging="217"/>
        <w:spacing w:after="0" w:line="268"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37"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after the distribution has been completed in order to cover short positions.</w:t>
      </w:r>
    </w:p>
    <w:p>
      <w:pPr>
        <w:spacing w:after="0" w:line="37" w:lineRule="exact"/>
        <w:rPr>
          <w:rFonts w:ascii="Arial" w:cs="Arial" w:eastAsia="Arial" w:hAnsi="Arial"/>
          <w:sz w:val="18"/>
          <w:szCs w:val="18"/>
          <w:color w:val="auto"/>
        </w:rPr>
      </w:pPr>
    </w:p>
    <w:p>
      <w:pPr>
        <w:ind w:left="900" w:right="240" w:hanging="217"/>
        <w:spacing w:after="0" w:line="306"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2" w:lineRule="exact"/>
        <w:rPr>
          <w:rFonts w:ascii="Arial" w:cs="Arial" w:eastAsia="Arial" w:hAnsi="Arial"/>
          <w:sz w:val="16"/>
          <w:szCs w:val="16"/>
          <w:color w:val="auto"/>
        </w:rPr>
      </w:pPr>
    </w:p>
    <w:p>
      <w:pPr>
        <w:ind w:left="900" w:right="180" w:hanging="217"/>
        <w:spacing w:after="0" w:line="298"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To close a covered short position, the underwriters must purchase shares in the open market after the distribution has been completed or must exercise the underwriters’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underwriters’ option to purchase additional shares.</w:t>
      </w:r>
    </w:p>
    <w:p>
      <w:pPr>
        <w:spacing w:after="0" w:line="18" w:lineRule="exact"/>
        <w:rPr>
          <w:rFonts w:ascii="Arial" w:cs="Arial" w:eastAsia="Arial" w:hAnsi="Arial"/>
          <w:sz w:val="16"/>
          <w:szCs w:val="16"/>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NYSE or NASDAQ, in the over-the-counter market or otherwise. If the underwriters commence any of these transactions, they may discontinue them at any time.</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those securities and instruments. Those investment and securities activities may involve our securities and instruments. In addition, affiliates of the underwriters are lenders under our credit facility.</w:t>
      </w:r>
    </w:p>
    <w:p>
      <w:pPr>
        <w:spacing w:after="0" w:line="12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Directive.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3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Neither this prospectus nor any other offering material relating to the shares described in this prospectus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Marchés Financiers. </w:t>
      </w:r>
      <w:r>
        <w:rPr>
          <w:rFonts w:ascii="Arial" w:cs="Arial" w:eastAsia="Arial" w:hAnsi="Arial"/>
          <w:sz w:val="18"/>
          <w:szCs w:val="18"/>
          <w:color w:val="auto"/>
        </w:rPr>
        <w:t>The shares have not been offered or sold and will not be offered or sold, directly or indirectly, to the public in France. Neither this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nor any other offering material relating to the shares has been or will be:</w:t>
      </w:r>
    </w:p>
    <w:p>
      <w:pPr>
        <w:spacing w:after="0" w:line="49" w:lineRule="exact"/>
        <w:rPr>
          <w:sz w:val="20"/>
          <w:szCs w:val="20"/>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Those offers, sales and distributions will be made in France only:</w:t>
      </w:r>
    </w:p>
    <w:p>
      <w:pPr>
        <w:spacing w:after="0" w:line="77" w:lineRule="exact"/>
        <w:rPr>
          <w:sz w:val="20"/>
          <w:szCs w:val="20"/>
          <w:color w:val="auto"/>
        </w:rPr>
      </w:pPr>
    </w:p>
    <w:p>
      <w:pPr>
        <w:ind w:left="660" w:right="160" w:hanging="206"/>
        <w:spacing w:after="0" w:line="259"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shares offered in this prospectus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w:t>
      </w:r>
    </w:p>
    <w:p>
      <w:pPr>
        <w:ind w:right="140"/>
        <w:spacing w:after="0" w:line="323" w:lineRule="auto"/>
        <w:rPr>
          <w:sz w:val="20"/>
          <w:szCs w:val="20"/>
          <w:color w:val="auto"/>
        </w:rPr>
      </w:pPr>
      <w:r>
        <w:rPr>
          <w:rFonts w:ascii="Arial" w:cs="Arial" w:eastAsia="Arial" w:hAnsi="Arial"/>
          <w:sz w:val="16"/>
          <w:szCs w:val="16"/>
          <w:color w:val="auto"/>
        </w:rPr>
        <w:t>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660" w:right="20" w:hanging="206"/>
        <w:spacing w:after="0" w:line="255"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those shares, debentures and units of shares and debentures of that corporation or those rights and interests in that trust are acquired at a consideration of not less than S$200,000 (or its equivalent in a foreign currency) for each transaction, whether that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Weil, Gotshal &amp; Manges LLP, New York, New York, has passed upon the validity of the common stock offered hereby on behalf of us. Certain legal matters in connection with this offering will be passed upon for the underwriters by Latham &amp; Watkins LLP, New York, New York, in connection with the offering.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consolidated financial statements of Lantheus MI Holdings, Inc. and subsidiaries as of December 31, 2013 and 2012, and for each of the three years in the period ended December 31, 2013, included elsewhere in this prospectus, forming part of this Registration Statement have been audited by Deloitte &amp; Touche LLP, an independent registered public accounting firm, as stated in their report appearing herein and elsewhere in this prospectus, forming part of this Registration Statement. Such financial statements are included in reliance upon the report of such firm given upon their authority as experts in accounting and auditing.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Lantheus and the shares of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A copy of the Lantheus registration statement and the exhibits and schedules thereto may be inspected without charge at the public reference room maintained by the SEC located at 100 F Street, N.E., Room 1580, Washington, D.C. 20549. Copies of all or any portion of the registration statements and the filings may be obtained from those offices upon payment of prescribed fees. The public may obtain information on the operation of the public reference room by calling the SEC at 1-800-SEC-0330 or (202) 551-8090. The SEC maintains a website at www.sec.gov that contains reports, proxy and information statements and other information regarding registrants that file electronically with the SEC.</w:t>
      </w:r>
    </w:p>
    <w:p>
      <w:pPr>
        <w:spacing w:after="0" w:line="109"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Additionally, our subsidiary, LMI, is currently subject to the periodic reporting and other informational requirements of the Exchange Act and, in accordance therewith, file reports and other information with the SEC. Those reports and other information can be inspected and copied at the Public Reference Room of the SEC located at Room 1580, 100 F Street, N.E., Washington D.C. 20549. Copies of those materials, including copies of all or any portion of the registration statement, can be obtained from the Public Reference Room of the SEC at prescribed rates. You can call the SEC at 1-800-SEC-0330 to obtain information on the operation of the Public Reference Room. These materials may also be accessed electronically by means of the SEC’s home page on the Internet (http://www.sec.gov).</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any of our or LMI’s filings, at no cost, by writing or telephoning us at: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Lantheus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331 Treble Cove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 Billerica, MA 01862</w:t>
      </w:r>
    </w:p>
    <w:p>
      <w:pPr>
        <w:spacing w:after="0" w:line="9" w:lineRule="exact"/>
        <w:rPr>
          <w:sz w:val="20"/>
          <w:szCs w:val="20"/>
          <w:color w:val="auto"/>
        </w:rPr>
      </w:pPr>
    </w:p>
    <w:p>
      <w:pPr>
        <w:ind w:left="5580" w:hanging="415"/>
        <w:spacing w:after="0"/>
        <w:tabs>
          <w:tab w:leader="none" w:pos="5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671-8001</w:t>
      </w:r>
    </w:p>
    <w:p>
      <w:pPr>
        <w:spacing w:after="0" w:line="17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gridSpan w:val="4"/>
            <w:vMerge w:val="restart"/>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Report of Independent Registered Public Accounting Firm</w:t>
              </w:r>
            </w:hyperlink>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6340" w:type="dxa"/>
            <w:vAlign w:val="bottom"/>
            <w:gridSpan w:val="4"/>
            <w:vMerge w:val="continue"/>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4"/>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Consolidated Balance Sheets as of December 31, 2013 and 2012</w:t>
              </w:r>
            </w:hyperlink>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64">
              <w:r>
                <w:rPr>
                  <w:rFonts w:ascii="Arial" w:cs="Arial" w:eastAsia="Arial" w:hAnsi="Arial"/>
                  <w:sz w:val="18"/>
                  <w:szCs w:val="18"/>
                  <w:color w:val="0000EE"/>
                  <w:w w:val="87"/>
                </w:rPr>
                <w:t>Consolidated Statements of Comprehensive Loss for the years ended December 31, 2013,</w:t>
              </w:r>
            </w:hyperlink>
          </w:p>
        </w:tc>
        <w:tc>
          <w:tcPr>
            <w:tcW w:w="106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4"/>
              </w:rPr>
            </w:pPr>
            <w:hyperlink w:anchor="page164">
              <w:r>
                <w:rPr>
                  <w:rFonts w:ascii="Arial" w:cs="Arial" w:eastAsia="Arial" w:hAnsi="Arial"/>
                  <w:sz w:val="18"/>
                  <w:szCs w:val="18"/>
                  <w:color w:val="0000EE"/>
                  <w:w w:val="84"/>
                </w:rPr>
                <w:t>2012 and 2011</w:t>
              </w:r>
            </w:hyperlink>
          </w:p>
        </w:tc>
        <w:tc>
          <w:tcPr>
            <w:tcW w:w="362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Consolidated Statements of Stockholders’ (Deficit) Equity for the years ended December</w:t>
              </w:r>
            </w:hyperlink>
          </w:p>
        </w:tc>
        <w:tc>
          <w:tcPr>
            <w:tcW w:w="17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5"/>
              </w:rPr>
            </w:pPr>
            <w:hyperlink w:anchor="page165">
              <w:r>
                <w:rPr>
                  <w:rFonts w:ascii="Arial" w:cs="Arial" w:eastAsia="Arial" w:hAnsi="Arial"/>
                  <w:sz w:val="18"/>
                  <w:szCs w:val="18"/>
                  <w:color w:val="0000EE"/>
                  <w:w w:val="85"/>
                </w:rPr>
                <w:t>31, 2013, 2012 and 2011</w:t>
              </w:r>
            </w:hyperlink>
          </w:p>
        </w:tc>
        <w:tc>
          <w:tcPr>
            <w:tcW w:w="292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Cash Flows for the years ended December 31, 2013, 2012 and 2011</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Notes to Consolidated Financial Statements</w:t>
              </w:r>
            </w:hyperlink>
          </w:p>
        </w:tc>
        <w:tc>
          <w:tcPr>
            <w:tcW w:w="40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ind w:left="106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Lantheus MI Holdings,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Billerica, Massachusetts</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Lantheus MI Holdings, Inc. and subsidiaries (the “Company”) as of December 31, 2013 and 2012, and the related consolidated statements of comprehensive loss, stockholders’ (deficit)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25, 2014, except for Notes 16 and 21,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to which the date is April 28,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5"/>
          </w:tcPr>
          <w:p>
            <w:pPr>
              <w:jc w:val="center"/>
              <w:ind w:right="53"/>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9"/>
              </w:rPr>
              <w:t>data)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97,653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development costs,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261,311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324,652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399,037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496,828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Notes 14 and 16)</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 2,000,000 shares authorized; no shares issued and outstanding)</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9"/>
              </w:rPr>
              <w:t>Common stock ($0.001 par value, 60,000,000 shares authorized; 50,815,421 and 50,297,427 shares issued;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50,801,266 and 50,297,427 shares outstanding)</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(14,155 and no shares, at cost)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105,785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(340,853)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(235,517)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(173,105)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128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261,311</w:t>
            </w:r>
          </w:p>
        </w:tc>
        <w:tc>
          <w:tcPr>
            <w:tcW w:w="12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324,652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gridSpan w:val="8"/>
          </w:tcPr>
          <w:p>
            <w:pPr>
              <w:jc w:val="center"/>
              <w:ind w:right="13"/>
              <w:spacing w:after="0" w:line="142" w:lineRule="exact"/>
              <w:rPr>
                <w:sz w:val="20"/>
                <w:szCs w:val="20"/>
                <w:color w:val="auto"/>
              </w:rPr>
            </w:pPr>
            <w:r>
              <w:rPr>
                <w:rFonts w:ascii="Arial" w:cs="Arial" w:eastAsia="Arial" w:hAnsi="Arial"/>
                <w:sz w:val="14"/>
                <w:szCs w:val="14"/>
                <w:b w:val="1"/>
                <w:bCs w:val="1"/>
                <w:color w:val="auto"/>
                <w:w w:val="85"/>
              </w:rPr>
              <w:t>(in thousands except share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356,292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211,049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8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212,908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75,197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95,216</w:t>
            </w: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manufacturer</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96,252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75,947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112,496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(42,915)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(42,014)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50,250,957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6"/>
                <w:szCs w:val="6"/>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7"/>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1, 2011</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347,120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42,670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50,242,276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103,121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708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152,956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ind w:left="420"/>
              <w:spacing w:after="0" w:line="138" w:lineRule="exact"/>
              <w:rPr>
                <w:sz w:val="20"/>
                <w:szCs w:val="20"/>
                <w:color w:val="auto"/>
              </w:rPr>
            </w:pPr>
            <w:r>
              <w:rPr>
                <w:rFonts w:ascii="Arial" w:cs="Arial" w:eastAsia="Arial" w:hAnsi="Arial"/>
                <w:sz w:val="14"/>
                <w:szCs w:val="14"/>
                <w:color w:val="auto"/>
              </w:rPr>
              <w:t>Repurchase of preferred stock, including</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640"/>
              <w:spacing w:after="0" w:line="159" w:lineRule="exact"/>
              <w:rPr>
                <w:sz w:val="20"/>
                <w:szCs w:val="20"/>
                <w:color w:val="auto"/>
              </w:rPr>
            </w:pPr>
            <w:r>
              <w:rPr>
                <w:rFonts w:ascii="Arial" w:cs="Arial" w:eastAsia="Arial" w:hAnsi="Arial"/>
                <w:sz w:val="14"/>
                <w:szCs w:val="14"/>
                <w:color w:val="auto"/>
              </w:rPr>
              <w:t>accrued dividends</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3"/>
              </w:rPr>
              <w:t>(347,120)</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4"/>
              </w:rPr>
              <w:t>(43,995)</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7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Repurchase and retirement of common stock</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4,629</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dividends</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dividends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Forfeiture of dividend equivalent right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483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(137,258)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2011</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50,236,905</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103,190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(237,698)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371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w w:val="93"/>
              </w:rPr>
              <w:t>Repurchase and retirement of common stock</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(20,759)</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9,085</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issuance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72,196</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552</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Forfeiture of dividend equivalent right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401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(42,001)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964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1,240</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2012</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50,297,427</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104,808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(279,298)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(173,105)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(14,155)</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459,171</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issuance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58,823</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(61,555)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(1,729)</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2013</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2"/>
            <w:vMerge w:val="continue"/>
          </w:tcPr>
          <w:p>
            <w:pPr>
              <w:spacing w:after="0"/>
              <w:rPr>
                <w:sz w:val="13"/>
                <w:szCs w:val="13"/>
                <w:color w:val="auto"/>
              </w:rPr>
            </w:pPr>
          </w:p>
        </w:tc>
        <w:tc>
          <w:tcPr>
            <w:tcW w:w="5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8"/>
              </w:rPr>
              <w:t>50,815,421</w:t>
            </w: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51</w:t>
            </w:r>
          </w:p>
        </w:tc>
        <w:tc>
          <w:tcPr>
            <w:tcW w:w="6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(14,155)</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(106)</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105,785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(340,853)</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(394)</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(235,517)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4"/>
              </w:rPr>
              <w:t>(61,555)</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(42,001)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(137,258)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cash flow from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9,722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15,819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Impairment of land</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intangible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17,175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related costs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Write-off of deferred financing costs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bad debt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excess and obsolete inventory</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4,854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12,809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Accretion of asset retirement obligations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disposal of long-lived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Loss on firm purchase commitment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1,859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income tax receivable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Long-term income tax payable and other long-term liabilities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operating assets and liabilities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(1,442)</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Inventory</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(6,903)</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(4,874)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(1,147)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(2,231)</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(2,217)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 and other liabilities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(used in) provided by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(15,572)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(5,010)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(7,920)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certificate of deposit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860"/>
              <w:spacing w:after="0"/>
              <w:rPr>
                <w:sz w:val="20"/>
                <w:szCs w:val="20"/>
                <w:color w:val="auto"/>
              </w:rPr>
            </w:pPr>
            <w:r>
              <w:rPr>
                <w:rFonts w:ascii="Arial" w:cs="Arial" w:eastAsia="Arial" w:hAnsi="Arial"/>
                <w:sz w:val="14"/>
                <w:szCs w:val="14"/>
                <w:color w:val="auto"/>
              </w:rPr>
              <w:t>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5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(3,483)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(8,145)</w:t>
            </w:r>
          </w:p>
        </w:tc>
        <w:tc>
          <w:tcPr>
            <w:tcW w:w="80" w:type="dxa"/>
            <w:vAlign w:val="bottom"/>
          </w:tcPr>
          <w:p>
            <w:pPr>
              <w:spacing w:after="0"/>
              <w:rPr>
                <w:sz w:val="14"/>
                <w:szCs w:val="14"/>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5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issuance of debt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152,250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Consent solicitation fee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Payments on note payable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(1,310)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(1,530)</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line of credit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line of credit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preferred stock repurchase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Payments for common stock repurchase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(101,124)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860"/>
              <w:spacing w:after="0"/>
              <w:rPr>
                <w:sz w:val="20"/>
                <w:szCs w:val="20"/>
                <w:color w:val="auto"/>
              </w:rPr>
            </w:pPr>
            <w:r>
              <w:rPr>
                <w:rFonts w:ascii="Arial" w:cs="Arial" w:eastAsia="Arial" w:hAnsi="Arial"/>
                <w:sz w:val="14"/>
                <w:szCs w:val="14"/>
                <w:color w:val="auto"/>
              </w:rPr>
              <w:t>Cash provided by (used in) financing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5,612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(5,114)</w:t>
            </w: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exchange rate on cash</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(1,300)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(Decrease) Increase in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4"/>
              </w:rPr>
              <w:t>(14,743)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8"/>
              </w:rPr>
              <w:t>(12,982)</w:t>
            </w: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13,171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33,321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46,303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18,578</w:t>
            </w: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33,321</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46,303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39,150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39,020</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33,958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 / (refunded), net</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plant and equipment included in accounts payable and accrued expenses and other liabilities</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Unless the context otherwise requires: references to the “Company,” “Lantheus,” “our company,” “we,” “us” and “our” refer to Lantheus MI Holdings, Inc. and its direct and indirect subsidiaries; references to “Lantheus Intermediate” refer to only Lantheus MI Intermediate, Inc., the parent of Lantheus Medical Imaging, Inc.; references to “Holdings” refer to Lantheus MI Holdings, Inc., the parent of Lantheus Intermediate; and references to “LMI” refer to Lantheus Medical Imaging, Inc., the subsidiary of Lantheus Intermediate. Solely for convenience, we refer to trademarks, service marks and trade names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service marks and trade names.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Holdings, a Delaware corporation, is the parent company and sole shareholder of Lantheus Intermediate, also a Delaware corporation. Holdings was formed for the purpose of acquiring the medical imaging business of Bristol-Myers Squibb, or BMS, which is now known as LMI.</w:t>
      </w:r>
    </w:p>
    <w:p>
      <w:pPr>
        <w:spacing w:after="0" w:line="7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Company develops, manufactures, sells and distributes innovative diagnostic medical imaging agents and products that assist clinicians in the diagnosis of cardiovascular and other diseases. The Company’s commercial products are used by nuclear physicians, cardiologists, radiologists, internal medicine physicians, technologists and sonographers working in a variety of clinical settings. The Company sells its products to radiopharmacies, hospitals, clinics, group practices, integrated delivery networks, group purchasing organizations and, in certain circumstances, wholesalers. The Company sells its products globally and has operations in the United States, Puerto Rico, Canada and Australia and distribution relationships in Europe, Asia Pacific and Latin America.</w:t>
      </w:r>
    </w:p>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Company’s portfolio of 10 commercial products is diversified across a range of imaging modalities. The Company’s imaging agents include medical radiopharmaceuticals (including technetium generators) and contrast agents, including the following:</w:t>
      </w:r>
    </w:p>
    <w:p>
      <w:pPr>
        <w:spacing w:after="0" w:line="37" w:lineRule="exact"/>
        <w:rPr>
          <w:sz w:val="20"/>
          <w:szCs w:val="20"/>
          <w:color w:val="auto"/>
        </w:rPr>
      </w:pPr>
    </w:p>
    <w:p>
      <w:pPr>
        <w:ind w:left="660" w:right="120" w:hanging="206"/>
        <w:spacing w:after="0" w:line="298"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DEFINITY is the leading ultrasound contrast imaging agent used by cardiologists and sonographers during cardiac ultrasound, or echocardiography, exams based on revenue 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w:t>
      </w:r>
    </w:p>
    <w:p>
      <w:pPr>
        <w:spacing w:after="0" w:line="18" w:lineRule="exact"/>
        <w:rPr>
          <w:rFonts w:ascii="Arial" w:cs="Arial" w:eastAsia="Arial" w:hAnsi="Arial"/>
          <w:sz w:val="16"/>
          <w:szCs w:val="16"/>
          <w:color w:val="auto"/>
        </w:rPr>
      </w:pPr>
    </w:p>
    <w:p>
      <w:pPr>
        <w:ind w:left="660" w:right="60" w:hanging="206"/>
        <w:spacing w:after="0" w:line="26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TechneLite is a self-contained system, or generator, of technetium (Tc99m), a radioisotope with a six hour half-life, used by radiopharmacies to prepare various nuclear imaging agents.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Xenon Xe 133 Gas is a radiopharmaceutical gas that is inhaled and used to assess pulmonary function and also to image blood flow.</w:t>
      </w:r>
    </w:p>
    <w:p>
      <w:pPr>
        <w:spacing w:after="0" w:line="103" w:lineRule="exact"/>
        <w:rPr>
          <w:rFonts w:ascii="Arial" w:cs="Arial" w:eastAsia="Arial" w:hAnsi="Arial"/>
          <w:sz w:val="18"/>
          <w:szCs w:val="18"/>
          <w:color w:val="auto"/>
        </w:rPr>
      </w:pPr>
    </w:p>
    <w:p>
      <w:pPr>
        <w:ind w:left="660" w:right="720" w:hanging="206"/>
        <w:spacing w:after="0" w:line="26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Cardiolite is an injectable, technetium-labeled imaging agent, also known by its generic name sestamibi, used with SPECT technology in MPI procedures that assess blood flow to the muscle of the heart.</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Neurolite is an injectable, technetium-labeled imaging agent used with SPECT technology to identify the area within the brain where blood flow has been blocked or reduced due to stroke.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United States, the Company sells DEFINITY through its sales team that calls on healthcare providers in the echocardiography space, as well as group purchasing organizations and integrated delivery networks. The Company’s radiopharmaceutical products are primarily distributed through over 350 radiopharmacies. In Canada, Puerto Rico and Australia, the Company owns nine radiopharmacies and sells its radiopharmaceuticals, as well as others, directly to end users. In Europe, Asia Pacific and Latin America, the Company utilizes distributor relationships to market, sell and distribute its products.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7920" w:hanging="232"/>
        <w:spacing w:after="0" w:line="398" w:lineRule="auto"/>
        <w:tabs>
          <w:tab w:leader="none" w:pos="187"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Consolidation and Presentation</w:t>
      </w:r>
    </w:p>
    <w:p>
      <w:pPr>
        <w:spacing w:after="0" w:line="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financial statements have been prepared in United States dollars, in accordance with accounting principles generally accepted in the United States of America, or U.S. GAAP. The consolidated financial statements include the accounts of Holdings and its wholly-owned subsidiaries. All intercompany accounts and transactions have been eliminated in consolidation.</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financial statements have been prepared on a going concern basis, which contemplates the realization of assets and the discharge of liabilities in the normal course of business. The Company incurred a net loss of $61.6 million and an operating loss of $18.9 million during the year ended December 31, 2013. During 2013, the Company relied on Ben Venue Laboratories, Inc., or BVL, as its sole manufacturer of Neurolite and as one of its two manufacturers of DEFINITY and Cardiolite. Following extended operational and regulatory challenges at BVL’s Bedford, Ohio facility, as of November 15, 2013, BVL ceased manufacturing for the Company any DEFINITY, Cardiolite product or Neurolite. BVL has since released for commercial distribution all of the Company’s remaining manufactured product that was awaiting BVL quality approval. The supply challenges with BVL in recent years have had a negative impact on the Company’s results. The Company has taken specific steps to address the supply chain risks and reduce discretionary spend.</w:t>
      </w:r>
    </w:p>
    <w:p>
      <w:pPr>
        <w:spacing w:after="0" w:line="105"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Following extensive technology transfer activities, the Company currently relies on Jubilant HollisterStier, or JHS, as its sole source manufacturer of DEFINITY. The Company has additional ongoing technology transfer activities at JHS for its Neurolite and Cardiolite product supply. In the meantime, the Company has no other currently active supplier of Neurolite, and its Cardiolite product supply is manufactured by a single manufacturer.</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on current projections, the Company believes that it will have sufficient supply of DEFINITY from JHS and remaining BVL inventory to meet expected demand and sufficient Cardiolite product supply from its current manufacturer to meet expected demand. The Company also currently anticipates that it will have sufficient BVL-manufactured Neurolite supply for the U.S. market to last until Neurolite technology transfer and U.S. regulatory approval at JHS are completed. Currently, the regulatory authorities in certain countries prohibit the Company from marketing products previously manufactured by BVL, and JHS has not yet obtained approval of those regulatory authorities that would permit the Company to market products manufactured by JHS. Accordingly, until those regulatory approvals have been obtained, the Company will not be able to sell and distribute those products in the relevant markets.</w:t>
      </w:r>
    </w:p>
    <w:p>
      <w:pPr>
        <w:spacing w:after="0" w:line="10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 is also pursuing new manufacturing relationships to establish and secure additional or alternative suppliers for its commercial products. For example, on November 12, 2013, the Company entered into a Manufacturing and Supply Agreement with Pharmalucence to manufacture and supply DEFINITY. However, the Company is uncertain about the timing of the completion of the technology transfer contemplated by the Pharmalucence agreement and whether the Pharmalucence arrangement or any other arrangements could provide meaningful quantities of product.</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2012, the Company received net proceeds of $34.6 million from BVL to compensate the Company for business losses associated with a lack of product supply. The Company has recognized these proceeds within the Company’s results of operations, and the payments are included within operating income as proceeds from manufacturer. During the second quarter of 2013, the Company received $0.9 million from BVL to compensate the Company for low yield and failed batches of DEFINITY and Cardiolite under the then-current manufacturing agreement with BVL. This payment is included within cost of goods sold in the statement of comprehensive loss for the year ended December 31, 2013. As 2013 progressed, the Company continued to experience losses as a result of the prolonged supply disruption from BVL. During the fourth quarter of 2013, the Company received an additional $8.9 million from BVL under a second Settlement and Release Agreement to compensate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Company for additional historic business losses associated with limited product availability under the then-current manufacturing agreement with BVL. The Company does not anticipate any further cash payments from BVL for historic losses.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During 2013, the Company has utilized its line of credit as a source of liquidity. On July 3, 2013, LMI, Lantheus Intermediate and Lantheus MI Real Estate, LLC, or Lantheus Real Estate, entered into an amended and restated revolving credit facility, or the New Facility, which replaced the previous facility, or the Old Facility, the terms of which New Facility are more fully described in Note 10. Borrowing capacity under the New Facility is calculated by reference to a borrowing base consisting of a percentage of certain eligible accounts receivable, inventory and machinery and equipment minus any reserves, or the Borrowing Base. If the Company is not successful in achieving its forecasted results, the Company’s accounts receivable and inventory could be negatively affected, thus reducing the Borrowing Base and limiting the Company’s borrowing capacity. As of December 31, 2013, the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0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Company took actions during March 2013 to substantially reduce its discretionary spending. In particular, the Company began to implement a strategic shift in how it funds its research and development, or R&amp;D, programs. The Company reduced its internal R&amp;D resources during 2013, while at the same time it sought to engage one or more strategic partners to assist in the further development and commercialization of its agents in development, including flurpiridaz</w:t>
      </w:r>
    </w:p>
    <w:p>
      <w:pPr>
        <w:spacing w:after="0" w:line="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F 18, 18F LMI 1195 and LMI 1174. The Company has completed its 301 trial for flurpiridaz F 18 with internal funding. The Company will seek to engage strategic partners to assist with the further development and possible commercialization of that agent. For the other two agents in development, 18F LMI 1195 and LMI 1174, the Company will also seek to engage strategic partners to assist with the ongoing development activities relating to these agents. Based on the Company’s current operating plans, the Company believes the existing cash and cash equivalents, results of operations and availability under the New Facility will be sufficient to continue to fund the Company’s liquidity requirements for at least the next twelve months.</w:t>
      </w:r>
    </w:p>
    <w:p>
      <w:pPr>
        <w:spacing w:after="0" w:line="10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JHS is not able to continue to manufacture and release adequate product supply on a timely and consistent basis, the Company is not successful with the remainder of its JHS technology transfer programs and cannot obtain adequate supply from JHS, or the Company is unable to continue to grow DEFINITY sales, then the Company will need to implement additional expense reductions, such as a delay or elimination of discretionary spending, in all functional areas as well as other operating and strategic initiatives.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certain judgments regarding revenue recognition, goodwill, tangible and intangible asset valuation, inventory valuation and potential losses on purchase commitments, asset retirement obligations, income tax liabilities, deferred tax assets and liabilities, accrued expenses and stock-based compensation. Actual results could materially differ from those estimates or assumptions.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recognizes revenue when evidence of an arrangement exists, title has passed,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such point in time the criteria are met and revenue can be recognized. Revenue is recognized net of reserves, which consist of allowances for returns and rebates.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Revenue arrangements with multiple elements are divided into separate units of accounting if certain criteria are met, including whether the delivered element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9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January 1, 2009, the Company executed an amendment to a license and supply agreement, or the Agreement, with one of its customers, granting non-exclusive U.S. license and supply rights to the customer for the period from January 1, 2009 through December 31, 2012. Under the terms of the Agreement, the customer paid the Company $10.0 million in license fees; $8.0 million of which was received upon execution of the Agreement and $2.0 million of which was received in June 2009 upon delivery of a special license as defined in the Agreement. The Company’s product sales under the Agreement are recognized in the same manner as its normal product sales. The Company recognized the license fees as revenue on a straight-line basis over the term of the four-year Agreement. The Company recognized $2.5 million in fiscal years 2012 and 2011 in license fee revenue pursuant to the Agreement.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2012, the Company entered into the first amendment to the Agreement. The amendment contained obligations for the Company to deliver a specified number of product unit shipments at various prices. Revenue under this arrangement is being recognized at an average selling price as the units are shipped. The Company recognized $5.6 million and $12.8 million in revenue pursuant to the first amendment during the years ended December 31, 2013 and 2012, respectively, and at December 31, 2012, had deferred revenue of $5.6 million attributable to units to be shipped. There was no deferred revenue attributable to these units at December 31, 2013.</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27, 2012, the Company entered into the second amendment to the Agreement, which extended the term from December 31, 2012 to December 31, 2014 and established new pricing and purchase requirements over the extended term. The second amendment also provided for the supply of TechneLite generators containing molybdenum-99 sourced from LEU targets. The agreement includes a $3.0 million upfront payment by the customer to the Company and potential future milestone payments. During 2012, the Company received the $3.0 million upfront payment, of which $1.5 million was included in deferred revenue as a current liability and $1.5 million was included in other long-term liabilities at December 31, 2012 in the accompanying consolidated balance sheets. During 2013, the Company received an additional $4.0 million upon achievement of the required milestones. At December 31, 2013, $3.6 million is included in deferred revenue as a current liability in the accompanying consolidated balance sheets. The Company is recognizing the upfront payment as revenue on a straight-line basis over the term of the two year agreement.</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had other revenues of $8.5 million, $8.3 million and $8.0 million in fiscal years 2013, 2012 and 2011, respectively. Other revenue primarily represents contract manufacturing services related to one of the Company’s products for one pharmaceutical customer. The related costs are included in cost of goods sold. Effective December 13, 2013, the Company entered into an Asset Purchase Agreement to purchase the rights to serve as the direct manufacturer and supplier of this product. Under this agreement, the Company did not have to pay any upfront consideration and will be required to pay royalties based upon net revenues generated by the sale of the product.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Returns</w:t>
      </w:r>
    </w:p>
    <w:p>
      <w:pPr>
        <w:spacing w:after="0" w:line="77"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Company provides a reserve for its estimate of sales recorded for which the related products are expected to be returned. The Company does not typically accept product returns unless an over shipment or non-conforming shipment was provided to the customer, or if the product was defective. The Company adjusts its estimate of product returns if it becomes aware of other factors that it believes could significantly impact its expected returns, including product recalls. These factors include its estimate of actual and historical return rates for non-conforming product and open return requests. Historically, the Company’s estimates of returns have reasonably approximated actual returns.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Distributor Relationships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Revenue for product sold to distributors is recognized at shipment, unless revenue recognition criteria have not been met. In those instances where collectability cannot be determined or the selling price cannot be reasonably estimated until the distributor has sold through the goods, the Company defers that revenue until such time as the goods have been sold through to the end-user customer, or the selling price can be reasonably estimated based on history of transactions with that distributor.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Rebates and Allowances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Estimates for rebates and allowances represent the Company’s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in the accompanying consolidated balance sheets.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0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accrual for rebates and allowances was approximately $1.7 million and $1.5 million at December 31, 2013 and 2012, respectively. Rebate and allowance charges against gross revenues totaled $4.8 million, $2.8 million and $3.6 million for the years ended December 31, 2013, 2012 and 2011, respectively.</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accounts for income taxes using an asset and liability approach. The provision for income taxes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those assessments are made.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accounts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The Company provides disclosure at the end of each annual reporting period on a tabular reconciliation of unrecognized tax benefits. The Company classifies interest and penalties within the provision for income taxes.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per Share</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Basic earnings per share is computed by dividing net income by the weighted average number of shares of common stock outstanding during the period. Diluted earnings per common share is computed by dividing net income by the weighted average number of shares of common stock outstanding during the period, plus the potential dilutive effect of other securities if those securities were converted or exercised. During periods in which we incur net losses, both basic and diluted loss per share is calculated by dividing the net loss by the weighted average shares outstanding and potentially dilutive securities are excluded from the calculation because their effect would be anti-dilutive.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Cash and cash equivalents include savings deposits, certificates of deposit and money market funds that have maturities of three months or less when purchased.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Accounts receivable consist of amounts billed and currently due from customers. The Company maintains an allowance for doubtful accounts for estimated losses. In determining the allowance, consideration includes the probability of recoverability based on past experience and general economic factors. Certain accounts receivable may be fully reserved when specific collection issues are known to exist, such as pending bankruptcy. As of December 31, 2013 and 2012, the Company had allowances for doubtful accounts of approximately $0.3 million.</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Also included in accounts receivable are miscellaneous receivables of approximately $1.9 million and $1.7 million as of December 31, 2013 and 2012,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Risks and Limited Suppliers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trade accounts receivable. The Company periodically reviews its accounts receivable for collectability and provides for an allowance for doubtful accounts to the extent that amounts are not expected to be collected. The Company sells primarily to large national distributors, which in turn, may resell the Company’s products. There were two customers that represented greater than 10% of the total net accounts receivable balance and net revenue during the year ended December 31, 2013, the majority of which is included in the U.S.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Accounts</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080" w:type="dxa"/>
            <w:vAlign w:val="bottom"/>
          </w:tcPr>
          <w:p>
            <w:pPr>
              <w:spacing w:after="0"/>
              <w:rPr>
                <w:sz w:val="12"/>
                <w:szCs w:val="12"/>
                <w:color w:val="auto"/>
              </w:rPr>
            </w:pPr>
          </w:p>
        </w:tc>
        <w:tc>
          <w:tcPr>
            <w:tcW w:w="980" w:type="dxa"/>
            <w:vAlign w:val="bottom"/>
            <w:gridSpan w:val="3"/>
          </w:tcPr>
          <w:p>
            <w:pPr>
              <w:jc w:val="center"/>
              <w:ind w:left="242"/>
              <w:spacing w:after="0" w:line="149" w:lineRule="exact"/>
              <w:rPr>
                <w:sz w:val="20"/>
                <w:szCs w:val="20"/>
                <w:color w:val="auto"/>
              </w:rPr>
            </w:pPr>
            <w:r>
              <w:rPr>
                <w:rFonts w:ascii="Arial" w:cs="Arial" w:eastAsia="Arial" w:hAnsi="Arial"/>
                <w:sz w:val="14"/>
                <w:szCs w:val="14"/>
                <w:b w:val="1"/>
                <w:bCs w:val="1"/>
                <w:color w:val="auto"/>
                <w:w w:val="84"/>
              </w:rPr>
              <w:t>Receivable</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9"/>
              </w:rPr>
              <w:t>as 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Revenue for the year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7080" w:type="dxa"/>
            <w:vAlign w:val="bottom"/>
          </w:tcPr>
          <w:p>
            <w:pPr>
              <w:spacing w:after="0"/>
              <w:rPr>
                <w:sz w:val="14"/>
                <w:szCs w:val="14"/>
                <w:color w:val="auto"/>
              </w:rPr>
            </w:pPr>
          </w:p>
        </w:tc>
        <w:tc>
          <w:tcPr>
            <w:tcW w:w="18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ended December 31,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5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 A</w:t>
            </w:r>
          </w:p>
        </w:tc>
        <w:tc>
          <w:tcPr>
            <w:tcW w:w="9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3"/>
              </w:rPr>
              <w:t>16.7%</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27.4%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Company B</w:t>
            </w: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w w:val="93"/>
              </w:rPr>
              <w:t>13.2%</w:t>
            </w:r>
          </w:p>
        </w:tc>
        <w:tc>
          <w:tcPr>
            <w:tcW w:w="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8.4%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9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11.1%</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cash and cash equivalents are maintained with various financial institutions.</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relies on certain materials used in its development and manufacturing processes, some of which are procured from only one or a few sources. The failure of one of these suppliers to deliver on schedule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could delay or interrupt the manufacturing or commercialization process and thereby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From May 2009 until August 2010, Nordion, the Company’s largest supplier of molybdenum-99, or Moly, a key raw material in the Company’s TechneLite product, was affected by a nuclear reactor shutdown. The Company was not fully able to replace all of the quantity of supply it previously received from Nordion, which had a negative impact on the Company’s results of operations. As part of the conditions for the relicensing of the NRU reactor through October 2016, the Canadian government has asked Atomic Energy of Canada Limited, or AECL, to shut down the reactor for at least four weeks at least once a year for inspection and maintenance. With this diversion, the Company was able to fulfill all customer demand for Moly from other suppliers during the shutdown period. On October 19, 2012 and October 30, 2012, the Company executed amendments to agreements with Nordion and NTP, the Company’s Moly suppliers, which extended the contract terms of those agreements to December 31, 2015 and December 31, 2017, respectively. In addition, because Xenon is a by-product of the Moly production process and is currently captured only by Nordion, the Company is currently reliant on Nordion as the sole supplier of Xenon to meet customer demand. In March 2013, the Company entered into an agreement with Institute for Radioelements, or IRE, who had previously been supplying the Company with Moly under the previous agreement with NTP and this agreement expires on December 31, 2017.</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Historically, the Company has relied on BVL as its sole manufacturer of DEFINITY and Neurolite and as one of two manufacturers of Cardiolite. Following extended operational and regulatory challenges at BVL’s Bedford, Ohio facility, as of November 15, 2013 BVL ceased manufacturing for the Company any DEFINITY, Cardiolite or Neurolite. BVL has since released for commercial distribution all of the Company’s remaining manufactured product that was awaiting BVL quality approval.</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Following extensive technology transfer activities, the Company currently relies on JHS as its sole source manufacturer of DEFINITY. The Company has additional ongoing technology transfer activities at JHS for its Neurolite and Cardiolite product supply. In the meantime, the Company has no other currently active supplier of Neurolite, and its Cardiolite product supply is manufactured by a single manufacturer.</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Based on current projections, the Company believes that it will have sufficient supply of DEFINITY from JHS and remaining BVL inventory to meet expected demand and sufficient Cardiolite product supply from its current manufacturer to meet expected demand. The Company also anticipates that it has sufficient BVL-manufactured Neurolite supply for the U.S. market to last until Neurolite technology transfer and U.S. regulatory approval at JHS are completed. Currently, the regulatory authorities in certain countries prohibit the Company from marketing products previously manufactured by BVL, and JHS has not yet obtained approval of those regulatory authorities that would permit the Company to market products manufactured by JHS. Accordingly, until those regulatory approvals have been obtained, the Company will not be able to sell and distribute those products in the relevant markets.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also pursuing new manufacturing relationships to establish and secure additional alternative suppliers for its key products. For example, on November 12, 2013, the Company entered into a Manufacturing and Supply Agreement with Pharmalucence to manufacture and supply DEFINITY. However, the Company is uncertain about the timing of the completion of the technology transfer contemplated by the Pharmalucence agreement and whether the Pharmalucence arrangement or any other arrangements could provide meaningful quantities of product.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net revenues for the Company’s products that represented greater than 10% of revenues for the years ended December 31, 2013, 2012 and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DEFINITY</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TechneLite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32.5%</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36.9%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11.3%</w:t>
            </w:r>
          </w:p>
        </w:tc>
        <w:tc>
          <w:tcPr>
            <w:tcW w:w="1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10.4%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Cardiolite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12.1%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18.6%</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Inventory includes material, direct labor and related manufacturing overhead, and is stated at the lower of cost or market on a first-in, first-out basis. The Company does have consignment arrangements with certain customers where the Company retains title and the risk of ownership of the inventory, which is included in the Company’s inventory balance.</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assesses the recoverability of inventory to determine whether adjustments for excess and obsolete inventory are required. Inventory that is in excess of future requirements is written down to its estimated net realizable value based upon forecasted demand for its products. If actual demand is less favorable than what has been forecasted by management, additional inventory write-down may be required.</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Inventory costs associated with product that has not yet received regulatory approval are capitalized if the Company believes there is probable future commercial use of the product and future economic benefit of the asset. If future commercial use of the product is not probable, then inventory costs associated with that product are expensed during the period the costs are incurred. At December 31, 2012, we had $1.5 million of that product costs included in inventories relating to DEFINITY that was manufactured by JHS. In February 2013, the FDA informed the Company that the JHS facility was approved to manufacture DEFINITY, and the Company is now shipping JHS-manufactured DEFINITY to customers. At December 31, 2013, we had no capitalized inventories that did not have regulatory approval.</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Property, plant and equipment are stated at cost. Replacements of major units of property are capitalized, and replaced properties are retired. Replacements of minor components of property and repair and maintenance costs are charged to expense as incurred. Depreciation is computed on a straight-line method based on the estimated useful lives of the related assets. The estimated useful lives of the major classes of depreciable assets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50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Land improvements</w:t>
            </w:r>
          </w:p>
        </w:tc>
        <w:tc>
          <w:tcPr>
            <w:tcW w:w="6340" w:type="dxa"/>
            <w:vAlign w:val="bottom"/>
          </w:tcPr>
          <w:p>
            <w:pPr>
              <w:ind w:left="3240"/>
              <w:spacing w:after="0"/>
              <w:rPr>
                <w:sz w:val="20"/>
                <w:szCs w:val="20"/>
                <w:color w:val="auto"/>
              </w:rPr>
            </w:pPr>
            <w:r>
              <w:rPr>
                <w:rFonts w:ascii="Arial" w:cs="Arial" w:eastAsia="Arial" w:hAnsi="Arial"/>
                <w:sz w:val="18"/>
                <w:szCs w:val="18"/>
                <w:color w:val="auto"/>
              </w:rPr>
              <w:t>40 years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3 - 20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340" w:type="dxa"/>
            <w:vAlign w:val="bottom"/>
          </w:tcPr>
          <w:p>
            <w:pPr>
              <w:ind w:left="3240"/>
              <w:spacing w:after="0"/>
              <w:rPr>
                <w:sz w:val="20"/>
                <w:szCs w:val="20"/>
                <w:color w:val="auto"/>
              </w:rPr>
            </w:pPr>
            <w:r>
              <w:rPr>
                <w:rFonts w:ascii="Arial" w:cs="Arial" w:eastAsia="Arial" w:hAnsi="Arial"/>
                <w:sz w:val="18"/>
                <w:szCs w:val="18"/>
                <w:color w:val="auto"/>
              </w:rPr>
              <w:t>15 years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Lesser of lease term or 15 years</w:t>
            </w:r>
          </w:p>
        </w:tc>
      </w:tr>
    </w:tbl>
    <w:p>
      <w:pPr>
        <w:spacing w:after="0" w:line="14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Upon retirement or other disposal of property, plant and equipment, the cost and related amount of accumulated depreciation are removed from the asset and accumulated depreciation accounts, respectively. The difference, if any, between the net asset value and the proceeds is included in comprehensive loss.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costs to obtain internal use software for significant systems projects are capitalized and amortized over the estimated useful life of the software, which ranges from 3 to 5 years. Costs to obtain software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projects that are not significant are expensed as incurred. Capitalized software development costs, net of accumulated amortization, were $1.5 million and</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$2.2 million at December 31, 2013 and 2012, respectively. Approximately $0.7 million and $0.2 million of software development costs were capitalized in the years ended December 31, 2013 and 2012, respectively. Amortization expense related to the capitalized software was $1.5 million, $1.5 million and $1.4 million for the years ended December 31, 2013, 2012 and 2011, respectively.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Intangibles and Long-Lived Assets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Goodwill is not amortized, but is instead tested for impairment at least annually and whenever events or circumstances indicate that it is more likely than not that they may be impaired. The Company has elected to perform the annual test for goodwill impairment as of October 31 of each year.</w:t>
      </w:r>
    </w:p>
    <w:p>
      <w:pPr>
        <w:spacing w:after="0" w:line="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performing tests for goodwill impairment, the Company is first permitted to perform a qualitative assessment about the likelihood of the carrying value of a reporting unit exceeding its fair value. If the Company determines that it is more likely than not that the fair value of a reporting unit is less than its carrying amount based on the qualitative assessment, it is required to perform the two-step goodwill impairment test described below to identify the potential goodwill impairment and measure the amount of the goodwill impairment loss, if any, to be recognized for that reporting unit. However, if the Company concludes otherwise based on the qualitative assessment, the two-step goodwill impairment test is not required. The option to perform the qualitative assessment is not an accounting policy election and can be utilized at the Company’s discretion. Further, the qualitative assessment need not be applied to all reporting units in a given goodwill impairment test. For an individual reporting unit, if the Company elects not to perform the qualitative assessment, or if the qualitative assessment indicates that it is more likely than not that the fair value of a reporting unit is less than its carrying amount, then the Company must perform the two- step goodwill impairment test for the reporting unit. If the implied fair value of goodwill is less than the carrying value, then an impairment charge would be recorded.</w:t>
      </w:r>
    </w:p>
    <w:p>
      <w:pPr>
        <w:spacing w:after="0" w:line="10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performing the annual goodwill impairment test in 2013 and 2012, the Company bypassed the option to perform a qualitative assessment and proceeded directly to performing the first step of the two-step goodwill impairment test.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calculates the fair value of its reporting units using the income approach, which utilizes discounted forecasted future cash flows and the market approach which utilizes fair value multiples of comparable publicly traded companies. The discounted cash flows are based on our most recent long-term financial projections and 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the Company uses market multiples derived from stock prices of companies engaged in the same or similar lines of business. There is not a quoted market price for the Company’s reporting units or the company as a whole, therefore, a combination of the two methods is utilized to derive the fair value of the business. The Company evaluated and weighed the results of these approaches as well as ensures it understands the basis of the results of these two methodologies. The Company believes the use of these two methodologies ensures a consistent and supportable method of determining its fair value that is consistent with the objective of measuring fair value. If the fair value were to decline, then the Company may be required to incur material charges relating to the impairment of those assets. The Company did not identify any impairment in goodwill in 2013, 2012 or 2011. Goodwill is not deductible for tax purposes.</w:t>
      </w:r>
    </w:p>
    <w:p>
      <w:pPr>
        <w:spacing w:after="0" w:line="109"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addition, as a result of the continued supply challenges with BVL, the Company performed an interim impairment test of goodwill as of December 31, 2011. The analyses utilized the most recently available forecast information, which considered the potential impact of the continued supply challenges in 2011. The interim impairment test did not indicate that there was any impairment as of December 31, 2011. There were no events at December 31, 2012 that triggered an interim impairment test. During the first quarter of 2013, the strategic shift in how the Company funds its R&amp;D programs significantly altered the expected future costs and revenues associated with our agents in development. Accordingly, this action was deemed to be a triggering event for an evaluation of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recoverability of the Company’s goodwill as of March 31, 2013. The Company performed an interim impairment test and determined that there was no impairment of goodwill as of March 31, 2013. Furthermore, the Company performed its annual impairment test for goodwill as of October 31, 2013, and there were no events through December 31, 2013 that triggered an interim impairment test. At each annual and interim impairment test date, the fair value of the Company’s reporting unit, which includes goodwill, was substantially in excess of its carrying value.</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first quarter of 2012, the Company reviewed the estimated useful life of its Cardiolite trademark as a result of a triggering event. Utilizing the most recent forecasted revenue data, the Company revised the estimate of the remaining useful life of the Cardiolite trademark to five years. The Company monitors the recoverability of its branded Cardiolite trademark intangible asset due to the ongoing generic competition based on actual results and existing estimates of future undiscounted cash flows associated with the branded Cardiolite product. As of December 31, 2013, the Company conducted, using its revised sales forecast, an impairment analysis and concluded that the estimate of future undiscounted cash flows associated with the Cardiolite trademark intangible did not exceed the carrying amount of the asset totaling $19.2 million and therefore, the asset has been written down to its fair value. Fair value was calculated by utilizing Level 3 inputs in the relief-from-royalty method, an income-based approach. As a result of this analysis, the Company recorded an impairment charge of $15.4 million to adjust the carrying value to its fair value of $3.8 million. This expense was recorded within cost of goods sold in the accompanying consolidated statement of comprehensive loss in the fourth quarter of 2013.</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third quarter of 2013, the Company was in negotiations with a new distributor for the sale of certain products within certain international markets. This agreement was signed in October 2013 and as a result the Company did not renew the agreements with its former distributors in these international markets. The Company determined the customer relationship intangible related to these former distributors was no longer recoverable and recorded an impairment charge of $1.0 million in the third quarter of 2013. In the fourth quarter of 2013, the Company updated its strategic plan to reflect the non-renewal of these agreements and the uncertainty in the timing of product availability in this region. As a result, the Company reviewed the recoverability of certain of its customer relationship intangible assets in the International segment that were impacted by the Company’s revised strategic plan. The Company conducted an impairment analysis and concluded that the estimate of future undiscounted cash flows associated with the customer relationship intangible asset did not exceed the carrying amount of the asset and therefore, the asset would need to be written down to its fair value. In order to calculate the fair value of the acquired customer relationship intangible assets, the Company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1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third quarter of 2013, the Company committed to a plan to sell certain of its excess land in the U.S. segment, which had a carrying value of $7.5 million. This event qualified for held for sale accounting and the excess land was written down to its fair value, less estimated costs to sell. The fair value was estimated 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the Company sold the excess land for net proceeds of $1.1 million.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Fixed assets dedicated to R&amp;D activities, which were impacted by the recent R&amp;D strategic shift, have a carrying value of $6.3 million as of December 31, 2013. The Company believes these fixed assets will be utilized for either internally funded ongoing R&amp;D activities or R&amp;D activities funded by a strategic partner. If the Company is not successful in finding a strategic partner, and there are no alternative uses for those fixed assets, they could be subject to impairment in the future.</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also tested certain long-lived assets utilized in the manufacturing of certain products in the U.S. for recoverability as of December 31, 2013, due to a change in the Company’s contract to manufacture Quadramet. The analysis indicated that there was no impairment as of December 31, 2013. The Company also evaluated the remaining useful lives of these long-lived assets that were tested for recoverability at December 31, 2013 and determined no revisions were required to the remaining periods of depreciation.</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Intangible assets, consisting of patents, trademarks and customer relationships related to the Company’s products are amortized in a method equivalent to the estimated utilization of the economic benefit of the asset. Trademarks and patents are amortized on a straight-line basis, and customer relationships are amortized on an accelerated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Deferred financing costs are capitalized and amortized to interest expense using the effective interest method. As of December 31, 2013 and 2012, the unamortized deferred financing costs were $9.6 million and $11.4 million, respectively. The expense associated with the amortization of deferred financing costs was $2.4 million, $2.2 million and $1.4 million for the years ended December 31, 2013, 2012 and 2011, respectively, and was included in interest expense. In connection with the New Facility, the Company wrote off $0.6 million of the existing unamortized deferred financing costs related to the Old Facility, which is included in interest expense in the accompanying consolidated statements of comprehensive loss.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estimated fair values of the Company’s financial instruments, including its cash and cash equivalents, receivables, accounts payable and accrued expenses approximate the carrying values of these instruments due to their short term nature. Assets measured at fair value on a nonrecurring basis include long-lived assets held for sale and certain intangible assets. The estimated fair value of the debt, at December 31, 2013, based on Level 2 inputs of recent market activity available to the Company was $356.0 million compared to the face value of $400.0 million. At December 31, 2012, the estimated fair value of the debt based on Level 2 inputs of recent market activity available to the Company was $380.0 million compared to the face value of $400.0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Revenues and Costs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typically does not charge customers for shipping and handling costs, but any shipping and handling costs charged to customers are included in revenues. Shipping and handling costs are included in cost of goods sold and were $20.5 million, $20.4 million and $20.3 million for the years ended December 31, 2013, 2012 and 2011,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Advertising and promotion costs are expensed as incurred and totaled $2.7 million, $3.2 million and $4.1 million for the years ended December 31, 2013, 2012 and 2011, respectively, and are included in sales and marketing expenses.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consolidated statements of comprehensive loss of the Company’s foreign subsidiaries are translated into U.S. Dollars using 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consolidated accumulated other comprehensive loss.</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the years ended December 31, 2013, 2012 and 2011, losses arising from foreign currency transactions totaled approximately $0.3 million, $0.6 million and $0.2 million, respectively. Transaction gains and losses are reported as a component of other income (expense), net.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of stock options. The fair value of stock option awards is affected by the valuation assumptions, including the estimated fair value of the Company’s common stock, the expected volatility based on comparable market participants, expected term of the option, risk-free interest rate and expected dividends. When a contingent cash settlement of vested options becomes probable, the Company reclassifies its vested awards to a liability and accounts for any incremental compensation cost in the period in which the settlement becomes probable.</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77"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Company accounts for repurchases of common stock using the cost method with common stock held in treasury classified as a reduction of stockholders’ deficit in its Consolidated Balance Sheets. Shares re-issued out of treasury are recorded based on a last-in first-out method.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 Income</w:t>
      </w:r>
    </w:p>
    <w:p>
      <w:pPr>
        <w:spacing w:after="0" w:line="7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Comprehensive loss is comprised of net loss, plus all changes in equity of a business enterprise during a period from transactions and other events and circumstances from non-owner sources, including any foreign currency translation adjustments. These changes in equity are recorded as adjustments to accumulated other comprehensive (loss) income in the Company’s consolidated balance sheet. The components of accumulated other comprehensive income (loss) consist of foreign currency translation adjustments.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probable and can be reasonably estimated. Accrual amounts are estimated based on currently available information, regulatory requirements, remediation strategies, historical experience, the relative shares of the total remediation costs and a relevant discount rate, when the time periods of estimated costs can be reasonably predicted. Changes in these assumptions could impact the Company’s future reported results. The amounts recorded for asset retirement obligations in the accompanying balance sheets at December 31, 2013 and 2012 were $6.4 million and $5.4 million, respectively.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 Insurance Reserves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consolidated balance sheet at December 31, 2013 and 2012 includes approximately $0.4 million and $0.5 million, respectively, of accrued liabilities associated with employee medical costs that are retained by the Company.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 The Company also maintains a separate cash account to fund these medical claims and must maintain a minimum balance as determined by the plan administrator. The balance of this restricted cash account was approximately $0.2 million and $27,000 at December 31, 2013 and 2012, respectively, and is included in other current assets.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2013, the Financial Accounting Standards Board, or the FASB, issued Accounting Standards Update, ASU, No. 2013-11, “Presentation of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 When a Net Operating Loss Carryforward, a Similar Tax Loss, or a Tax Credit Carryforward Exists,” or ASU 2013-11.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in ASU 2013-11 provide guidance on the financial statement presentation of unrecognized tax benefits when a net operating loss carryforward,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tax loss, or a tax credit carryforward exists. ASU 2013-11 is effective for fiscal years, and interim periods within those years, beginning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2013. The Company does not anticipate a material impact to the Company’s financial position, results of operations or cash flows as a result of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change.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in fair value measurements, financial instruments are categorized based on a hierarchy that prioritizes observable and unobservable inputs used to measure fair value into three broad levels, which are described below:</w:t>
      </w:r>
    </w:p>
    <w:p>
      <w:pPr>
        <w:spacing w:after="0" w:line="12" w:lineRule="exact"/>
        <w:rPr>
          <w:sz w:val="20"/>
          <w:szCs w:val="20"/>
          <w:color w:val="auto"/>
        </w:rPr>
      </w:pPr>
    </w:p>
    <w:p>
      <w:pPr>
        <w:ind w:left="460" w:right="420" w:firstLine="438"/>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37" w:lineRule="exact"/>
        <w:rPr>
          <w:sz w:val="20"/>
          <w:szCs w:val="20"/>
          <w:color w:val="auto"/>
        </w:rPr>
      </w:pPr>
    </w:p>
    <w:p>
      <w:pPr>
        <w:jc w:val="both"/>
        <w:ind w:left="460" w:right="100" w:firstLine="438"/>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2" w:lineRule="exact"/>
        <w:rPr>
          <w:sz w:val="20"/>
          <w:szCs w:val="20"/>
          <w:color w:val="auto"/>
        </w:rPr>
      </w:pPr>
    </w:p>
    <w:p>
      <w:pPr>
        <w:ind w:left="460" w:right="280" w:firstLine="438"/>
        <w:spacing w:after="0" w:line="268" w:lineRule="auto"/>
        <w:rPr>
          <w:sz w:val="20"/>
          <w:szCs w:val="20"/>
          <w:color w:val="auto"/>
        </w:rPr>
      </w:pPr>
      <w:r>
        <w:rPr>
          <w:rFonts w:ascii="Arial" w:cs="Arial" w:eastAsia="Arial" w:hAnsi="Arial"/>
          <w:sz w:val="18"/>
          <w:szCs w:val="18"/>
          <w:color w:val="auto"/>
        </w:rPr>
        <w:t>Level 3—Unobservable inputs that reflect a Company’s estimates about the assumptions that market participants would use in pricing the asset or liability. The Company develops these inputs based on the best information available, including its own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At December 31, 2013 and 2012, the Company’s financial assets that are measured at fair value on a recurring basis are comprised of money market securities and are classified as cash equivalents. The Company invests excess cash from its operating cash accounts in overnight investments and reflects these amounts in cash and cash equivalents on the consolidated balance sheet using quoted prices in active markets for identical assets (Level 1).</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tables below present information about the Company’s assets and liabilities that are measured at fair value on a recurring basis as of December 31, 2013 and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Quoted</w:t>
            </w: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Significant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Total fair</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value at</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observable</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65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2,454</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$ 2,454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322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2,776</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$ 2,454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Quoted</w:t>
            </w:r>
          </w:p>
        </w:tc>
        <w:tc>
          <w:tcPr>
            <w:tcW w:w="68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Significant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Total fair</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value at</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observable</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65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2,806</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$ 2,806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328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3,134</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$ 2,806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the first quarter of 2012, the Company invested $0.2 million in a certificate of deposit in which the Company’s use of that cash is restricted and is included in the line item “Certificates of deposit—restricted” above. This investment is classified in other current assets on the consolidated balance sheet. The remaining $0.1 million represents a certificate of deposit that is collateral for a long-term lease and is included in other long-term assets on the consolidated balance sheet. Certificates of deposit are classified within Level 2 of the fair value hierarchy as these are not traded on the open market.</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December 31, 2013, the Company had total cash and cash equivalents of $18.6 million, which included approximately $2.5 million of money market funds and $16.1 million of cash on-hand. At December 31, 2012, the Company had total cash and cash equivalents of $33.3 million, which included approximately $2.8 million of money market funds and $30.5 million of cash on-hand.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estimated fair values of the Company’s financial instruments, including its cash and cash equivalents, receivables, accounts payable and accrued expenses approximate the carrying values of these instruments due to their short term nature. The estimated fair value of the debt, at December 31, 2013, based on Level 2 inputs of recent market activity available to the Company was $356.0 million compared to the face value of $400.0 million. At December 31, 2012, the estimated fair value of the debt based on Level 2 inputs of recent market activity available to the Company was $380.0 million compared to the face value of $400.0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presents information about the Company’s assets and liabilities that are measured at fair value on a nonrecurring basis during the year ended December 31, 2013, due to the remeasurement of assets resulting in impairment charges.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Quoted</w:t>
            </w:r>
          </w:p>
        </w:tc>
        <w:tc>
          <w:tcPr>
            <w:tcW w:w="5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prices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other</w:t>
            </w:r>
          </w:p>
        </w:tc>
        <w:tc>
          <w:tcPr>
            <w:tcW w:w="5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in active</w:t>
            </w:r>
          </w:p>
        </w:tc>
        <w:tc>
          <w:tcPr>
            <w:tcW w:w="5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 2013</w:t>
            </w:r>
          </w:p>
        </w:tc>
        <w:tc>
          <w:tcPr>
            <w:tcW w:w="516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Total fair</w:t>
            </w: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markets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55"/>
        </w:trPr>
        <w:tc>
          <w:tcPr>
            <w:tcW w:w="1960" w:type="dxa"/>
            <w:vAlign w:val="bottom"/>
            <w:gridSpan w:val="2"/>
            <w:vMerge w:val="continue"/>
          </w:tcPr>
          <w:p>
            <w:pPr>
              <w:spacing w:after="0"/>
              <w:rPr>
                <w:sz w:val="13"/>
                <w:szCs w:val="13"/>
                <w:color w:val="auto"/>
              </w:rPr>
            </w:pPr>
          </w:p>
        </w:tc>
        <w:tc>
          <w:tcPr>
            <w:tcW w:w="5160" w:type="dxa"/>
            <w:vAlign w:val="bottom"/>
          </w:tcPr>
          <w:p>
            <w:pPr>
              <w:spacing w:after="0"/>
              <w:rPr>
                <w:sz w:val="13"/>
                <w:szCs w:val="13"/>
                <w:color w:val="auto"/>
              </w:rPr>
            </w:pPr>
          </w:p>
        </w:tc>
        <w:tc>
          <w:tcPr>
            <w:tcW w:w="11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value</w:t>
            </w:r>
          </w:p>
        </w:tc>
        <w:tc>
          <w:tcPr>
            <w:tcW w:w="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3"/>
                <w:szCs w:val="13"/>
                <w:color w:val="auto"/>
              </w:rPr>
            </w:pPr>
          </w:p>
        </w:tc>
        <w:tc>
          <w:tcPr>
            <w:tcW w:w="6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Cardiolite trademark</w:t>
            </w:r>
          </w:p>
        </w:tc>
        <w:tc>
          <w:tcPr>
            <w:tcW w:w="6280" w:type="dxa"/>
            <w:vAlign w:val="bottom"/>
            <w:gridSpan w:val="3"/>
            <w:shd w:val="clear" w:color="auto" w:fill="CCEEFF"/>
          </w:tcPr>
          <w:p>
            <w:pPr>
              <w:jc w:val="center"/>
              <w:ind w:left="4492"/>
              <w:spacing w:after="0"/>
              <w:rPr>
                <w:sz w:val="20"/>
                <w:szCs w:val="20"/>
                <w:color w:val="auto"/>
              </w:rPr>
            </w:pPr>
            <w:r>
              <w:rPr>
                <w:rFonts w:ascii="Arial" w:cs="Arial" w:eastAsia="Arial" w:hAnsi="Arial"/>
                <w:sz w:val="18"/>
                <w:szCs w:val="18"/>
                <w:color w:val="auto"/>
                <w:w w:val="89"/>
              </w:rPr>
              <w:t>$ 3,800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16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center"/>
              <w:ind w:left="4492"/>
              <w:spacing w:after="0"/>
              <w:rPr>
                <w:sz w:val="20"/>
                <w:szCs w:val="20"/>
                <w:color w:val="auto"/>
              </w:rPr>
            </w:pPr>
            <w:r>
              <w:rPr>
                <w:rFonts w:ascii="Arial" w:cs="Arial" w:eastAsia="Arial" w:hAnsi="Arial"/>
                <w:sz w:val="18"/>
                <w:szCs w:val="18"/>
                <w:color w:val="auto"/>
                <w:w w:val="89"/>
              </w:rPr>
              <w:t>$ 3,800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third quarter of 2013, the Company recorded an impairment charge of $6.4 million to write down the carrying value of excess land held for sale in the U.S. segment totaling $7.5 million to its fair value, less estimated costs to sell. See Note 6 for further discussion regarding the impairment charge. The fair value of land held for sale was determined using Level 3 inputs and was estimated using a market approach, based on available data for transactions in the region, discussions with real estate brokers and the asking price of comparable properties in its principal market. Unobservable inputs obtained from third parties are adjusted as necessary for the condition and attributes of the specific asset. The land sale was completed in the fourth quarter of 2013.</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third and fourth quarters of 2013, the Company recorded an impairment charge of $1.0 million and $0.7 million, respectively, to write down the carrying value of a customer relationship intangible asset in the International segment totaling $1.8 million and $0.7 million, respectively, to its fair value of zero. See Note 8 for further discussion regarding the impairment charge. The determination of the customer relationship intangible assets impairment charge was based on Level 3 measurements under the fair value hierarchy. The Company utilized an income approach to calculate the discounted cash flows that would be generated by its remaining customer base. The unobservable inputs utilized by the Company included management’s assumptions regarding future revenues and profitability from the remaining customers and a discount rate of 15% as of September 30, 2013 and December 31, 2013, respectively.</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the fourth quarter of 2013, the Company recorded an impairment charge of $15.4 million to write down the Cardiolite trademark intangible asset in the U.S. segment totaling $19.2 million to its fair value of $3.8 million. See Note 8 for further discussion regarding the impairment charge. The fair value measurements were determined using a relief-from-royalty method, which incorporates unobservable inputs, thereby classifying the fair value measurements as a Level 3 measurement within the fair value hierarchy. The primary inputs used in the relief-from-royalty method, an income-based approach, included estimated prospective cash flows expected to be generated by Cardiolite and an estimated royalty rate that would be used by a market participant. The unobservable inputs utilized by the Company included management’s assumptions regarding future revenues and profitability from the branded Cardiolite product, a royalty rate of 6%, a discount rate of 15% and a life of 15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income before income taxes for the years ended December 31 were: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5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(57,970)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(43,868)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(56,463)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5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(2,571)</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1,312</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3,287</w:t>
            </w:r>
          </w:p>
        </w:tc>
      </w:tr>
      <w:tr>
        <w:trPr>
          <w:trHeight w:val="27"/>
        </w:trPr>
        <w:tc>
          <w:tcPr>
            <w:tcW w:w="3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40" w:type="dxa"/>
            <w:vAlign w:val="bottom"/>
            <w:shd w:val="clear" w:color="auto" w:fill="CCEEFF"/>
          </w:tcPr>
          <w:p>
            <w:pPr>
              <w:spacing w:after="0"/>
              <w:rPr>
                <w:sz w:val="18"/>
                <w:szCs w:val="18"/>
                <w:color w:val="auto"/>
              </w:rPr>
            </w:pPr>
          </w:p>
        </w:tc>
        <w:tc>
          <w:tcPr>
            <w:tcW w:w="6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(60,541)</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(42,556)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(53,176)</w:t>
            </w:r>
          </w:p>
        </w:tc>
      </w:tr>
      <w:tr>
        <w:trPr>
          <w:trHeight w:val="20"/>
        </w:trPr>
        <w:tc>
          <w:tcPr>
            <w:tcW w:w="3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6100" w:type="dxa"/>
            <w:vAlign w:val="bottom"/>
            <w:gridSpan w:val="3"/>
          </w:tcPr>
          <w:p>
            <w:pPr>
              <w:jc w:val="right"/>
              <w:ind w:right="3460"/>
              <w:spacing w:after="0"/>
              <w:rPr>
                <w:sz w:val="20"/>
                <w:szCs w:val="20"/>
                <w:color w:val="auto"/>
              </w:rPr>
            </w:pPr>
            <w:r>
              <w:rPr>
                <w:rFonts w:ascii="Arial" w:cs="Arial" w:eastAsia="Arial" w:hAnsi="Arial"/>
                <w:sz w:val="18"/>
                <w:szCs w:val="18"/>
                <w:color w:val="auto"/>
              </w:rPr>
              <w:t>F-21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as of December 31 was: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Federal</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(3,508)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2,763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75,939</w:t>
            </w: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State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81,330</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84,082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Company’s provision (benefit) for income taxes in the years ended December 31, 2013, 2012 and 2011 was different from the amount computed by applying the statutory U.S. Federal income tax rate to (loss) income from operations before income taxes,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492"/>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(21,181)</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(14,895)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(18,613)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Permanent items and foreign tax credits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credits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(1,346)</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Impact of rate change on deferred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True-up of prior year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25,631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20,243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102,974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on repatriation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0"/>
              </w:rPr>
              <w:t>(158.1)%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$ 84,082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40" w:type="dxa"/>
            <w:vAlign w:val="bottom"/>
            <w:gridSpan w:val="4"/>
          </w:tcPr>
          <w:p>
            <w:pPr>
              <w:jc w:val="right"/>
              <w:ind w:right="340"/>
              <w:spacing w:after="0"/>
              <w:rPr>
                <w:sz w:val="20"/>
                <w:szCs w:val="20"/>
                <w:color w:val="auto"/>
              </w:rPr>
            </w:pPr>
            <w:r>
              <w:rPr>
                <w:rFonts w:ascii="Arial" w:cs="Arial" w:eastAsia="Arial" w:hAnsi="Arial"/>
                <w:sz w:val="18"/>
                <w:szCs w:val="18"/>
                <w:color w:val="auto"/>
                <w:w w:val="94"/>
              </w:rPr>
              <w:t>The components of deferred income tax assets (liabilities) at December 31 were: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Federal benefit of state taxes payable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11,541</w:t>
            </w:r>
          </w:p>
        </w:tc>
        <w:tc>
          <w:tcPr>
            <w:tcW w:w="3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Reserves, accruals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29,242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Capitalized research and development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30,057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Amortization of intangibles other than goodwill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52,665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34,209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160,023</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139,052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Reserves, accruals and other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(7,860)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(8,720)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(151,339)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(125,782)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F-22</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Recorded in the accompanying consolidated balance sheet as: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Current deferred tax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6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deferred tax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Noncurrent deferred tax assets</w:t>
            </w:r>
          </w:p>
        </w:tc>
        <w:tc>
          <w:tcPr>
            <w:tcW w:w="120" w:type="dxa"/>
            <w:vAlign w:val="bottom"/>
          </w:tcPr>
          <w:p>
            <w:pPr>
              <w:spacing w:after="0"/>
              <w:rPr>
                <w:sz w:val="18"/>
                <w:szCs w:val="18"/>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deferred tax liability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880"/>
              <w:spacing w:after="0"/>
              <w:rPr>
                <w:sz w:val="20"/>
                <w:szCs w:val="20"/>
                <w:color w:val="auto"/>
              </w:rPr>
            </w:pPr>
            <w:r>
              <w:rPr>
                <w:rFonts w:ascii="Arial" w:cs="Arial" w:eastAsia="Arial" w:hAnsi="Arial"/>
                <w:sz w:val="18"/>
                <w:szCs w:val="18"/>
                <w:color w:val="auto"/>
              </w:rPr>
              <w:t>Net deferred tax liabilities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files separate federal income tax returns for Holdings, Lantheus Intermediate, and LMI, and its subsidiaries.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2013 and 2012, total liabilities for tax obligations and associated interest and penalties were $35.8 million and $35.6 million, respectively, consisting of income tax provisions for uncertain tax benefits of $15.0 million and $16.3 million, interest accruals of $18.2 million and $16.5 million and penalty accruals of $2.6 million and $2.8 million, respectively, which were included in other long-term liabilities on the consolidated balance sheets with the offsetting indemnification asset in other long-term assets. The total noncurrent asset related to the indemnification from BMS was $19.7 million and $18.5 million as of December 31, 2013 and 2012, respectively. Included in the 2013, 2012 and 2011 tax provision is $1.9 million, $2.6 million and $2.4 million, respectively, relating to current year interest expense, with an offsetting amount included in other income due to the indemnification related to these obligations.</w:t>
      </w:r>
    </w:p>
    <w:p>
      <w:pPr>
        <w:sectPr>
          <w:pgSz w:w="11900" w:h="16838" w:orient="portrait"/>
          <w:cols w:equalWidth="0" w:num="1">
            <w:col w:w="11420"/>
          </w:cols>
          <w:pgMar w:left="240" w:top="460" w:right="239" w:bottom="1440" w:gutter="0" w:footer="0" w:header="0"/>
        </w:sectPr>
      </w:pP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Company’s changes in uncertain tax positions for 2013, 2012 and 2011 is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of uncertain tax positions as of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Lapse of statute of limitations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Settlements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left="300" w:right="100" w:hanging="317"/>
        <w:spacing w:after="0" w:line="286" w:lineRule="auto"/>
        <w:rPr>
          <w:sz w:val="20"/>
          <w:szCs w:val="20"/>
          <w:color w:val="auto"/>
        </w:rPr>
      </w:pPr>
      <w:r>
        <w:rPr>
          <w:rFonts w:ascii="Arial" w:cs="Arial" w:eastAsia="Arial" w:hAnsi="Arial"/>
          <w:sz w:val="16"/>
          <w:szCs w:val="16"/>
          <w:color w:val="auto"/>
        </w:rPr>
        <w:t>$16,934 195</w:t>
      </w:r>
    </w:p>
    <w:p>
      <w:pPr>
        <w:jc w:val="right"/>
        <w:ind w:right="40"/>
        <w:spacing w:after="0"/>
        <w:rPr>
          <w:sz w:val="20"/>
          <w:szCs w:val="20"/>
          <w:color w:val="auto"/>
        </w:rPr>
      </w:pPr>
      <w:r>
        <w:rPr>
          <w:rFonts w:ascii="Arial" w:cs="Arial" w:eastAsia="Arial" w:hAnsi="Arial"/>
          <w:sz w:val="18"/>
          <w:szCs w:val="18"/>
          <w:color w:val="auto"/>
        </w:rPr>
        <w:t>(876)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16,253</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(651)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14,781</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$14,002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3689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0020" w:space="720"/>
            <w:col w:w="680"/>
          </w:cols>
          <w:pgMar w:left="240" w:top="460" w:right="239" w:bottom="1440" w:gutter="0" w:footer="0" w:header="0"/>
          <w:type w:val="continuous"/>
        </w:sectPr>
      </w:pPr>
    </w:p>
    <w:p>
      <w:pPr>
        <w:spacing w:after="0" w:line="1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December 31, 2013 and 2012, the total amount of unrecognized tax benefits was $14.0 million and $14.8 million, respectively, all of which would affect the effective tax rate, if recognized. These amounts are primarily associated with domestic state tax issues, such as the allocation of income among various state tax jurisdictions, transfer pricing and U.S. federal R&amp;D credits. Since the Company operates in a number of countries in which it has income tax treaties, it believes that it is more-likely-than-not that the Company should be able to receive competent authority relief for potential adjustments in those countries. Included in the Company’s uncertain tax positions for transfer pricing exposures are $1.0 million, which is reflected within other long-term liabilities, and an offset of $1.0 million, which is reflected in other long-term assets for competent authority relief. The tabular rollforward reflected above is net of the $1.0 million of competent authority relief.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Company’s U.S. income tax returns remain subject to examination for the most recent three years. The state income tax returns remain subject to examination for the most recent three to four years depending on the state’s statute of limitations.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2013, as a result of the expiration of the 2009 statute of limitations, the Company has recognized the benefit associated with the reversal of uncertain tax positions including interest and penalties of $2.0 million.</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Included in other expense for the year ended December 31, 2013, is $0.9 million relating to the reduction in the indemnification receivable from BMS associated with the expiration of statute of limitations. Within the next twelve months, unrecognized tax benefits of $5.7 million may be recognized associated with potential state settlements and transfer pricing due to the closing of the statute of limitations.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the Company’s acquisition of the medical imaging business from BMS in 2008, the Company obtained a tax indemnification agreement with BMS related to certain tax obligations arising prior to the acquisition of the Company, for which the Company has the primary legal obligation. The tax indemnification receivable is recognized within other noncurrent assets. The changes in the tax indemnification asset are recognized within other income, net in the consolidated statement of comprehensive loss. The change in the tax liability and penalties and interest associated with these obligations (net of any offsetting federal benefit) is recognized within the tax provision. Accordingly, as these liabilities change, adjustments are included in the tax provision while the offsetting adjustment to the indemnification receivable is included in other income. Assuming that the receivable from BMS continues to be considered recoverable by the Company, there is no net effect on earnings related to these liabilities and no net cash outflows.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fourth quarter of 2012, the Company was contacted by several state tax jurisdictions relating to tax matters that would be subject to the BMS indemnification agreement. It is not certain as to how these matters will be resolved. The effect on the Company’s financial statements should be neutral as any changes to the Company’s income tax provision will be offset by other income or expense as described below. On March 12, 2014, the State of New York, BMS and LMI entered into a Stipulation and Settlement Agreement and other related agreements, or collectively the Settlement Documents, to resolve an investigation by the office of the Attorney General of New York State, for claims relating to certain New York State and New York City tax matters and related claims under the New York False Claim Act. The Settlement Documentation covers the period January 1, 2003 through December 31, 2006 and requires BMS to pay (on behalf of itself and the Company) $6.3 million and neither BMS nor LMI admitted any liability.</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the year ended December 31, 2012, BMS, on behalf of the Company, made payments totaling $0.7 million to a number of states in connection with prior years state income tax filings. As a result of these payments, the amount due from BMS, included within other long-term assets, decreased by $0.7 million. There were no payments made by BMS on behalf of the Company in 2013.</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generated domestic pre-tax losses for the past three years. This loss history demonstrates negative evidence concerning the Company’s ability to utilize its domestic gross deferred tax assets. In order to overcome the presumption of recording a valuation allowance against the deferred tax assets, the Company must have sufficient positive evidence that it can generate sufficient taxable income to utilize these deferred tax assets within the carryover or forecast period. Although the Company has no history of expiring net operating losses or other tax attributes, based on the cumulative loss incurred over the three-year period ended December 31, 2013, management determined that the net U.S. deferred tax assets are not more-likely-than-not recoverable. As a result of this analysis, the Company continues to maintain a full valuation allowance primarily against its net U.S. deferred tax assets in the amount of $151.3 million and $125.8 million at December 31, 2013 and 2012,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Company’s valuation allowance for the years ending December 31,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Charged to provision for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600" w:type="dxa"/>
            <w:vAlign w:val="bottom"/>
            <w:gridSpan w:val="3"/>
          </w:tcPr>
          <w:p>
            <w:pPr>
              <w:spacing w:after="0"/>
              <w:rPr>
                <w:sz w:val="20"/>
                <w:szCs w:val="20"/>
                <w:color w:val="auto"/>
              </w:rPr>
            </w:pPr>
            <w:r>
              <w:rPr>
                <w:rFonts w:ascii="Arial" w:cs="Arial" w:eastAsia="Arial" w:hAnsi="Arial"/>
                <w:sz w:val="18"/>
                <w:szCs w:val="18"/>
                <w:color w:val="auto"/>
              </w:rPr>
              <w:t>Balance at December 31, 2011</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105,539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Charged to provision for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Deductions</w:t>
            </w:r>
          </w:p>
        </w:tc>
        <w:tc>
          <w:tcPr>
            <w:tcW w:w="120" w:type="dxa"/>
            <w:vAlign w:val="bottom"/>
          </w:tcPr>
          <w:p>
            <w:pPr>
              <w:spacing w:after="0"/>
              <w:rPr>
                <w:sz w:val="19"/>
                <w:szCs w:val="19"/>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Charged to provision for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600" w:type="dxa"/>
            <w:vAlign w:val="bottom"/>
            <w:gridSpan w:val="3"/>
          </w:tcPr>
          <w:p>
            <w:pPr>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the Company has federal net operating loss carryovers of $84.8 million, which begin to expire in 2031. The Company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 million of federal research credits, which begin to expire in 2029. The Company has foreign tax credits of approximately $4.2 million that will begin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expire in 2020. The Company has Massachusetts research credits of $1.6 million, which will expire between 2024 and 2028. The Company has 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tax credits of approximately $0.4 million, which have no expiration date.</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2013, the Company sold land which resulted in a net capital loss of $6.0 million. A capital loss can only be carryforward for five years and can only be offset against capital gains. Although the Company has no history of expiring capital tax losses, based on the history that the Company has not generated capital gains of any significance, management determined that the deferred asset is not more-likely-than-not recoverable, a full valuation allowance was established for the capital loss carryforward.</w:t>
      </w:r>
    </w:p>
    <w:p>
      <w:pPr>
        <w:spacing w:after="0" w:line="13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2010, the Company was granted a tax holiday from the Commonwealth of Puerto Rico, which expires on January 1, 2024. This grant provides for a 4% tax rate on activities relating to the operations of the Company’s radiopharmacies. This grant is conditioned upon the Company meeting certain employment and investment thresholds. The impact of this tax holiday was to decrease foreign tax by approximately $0.3 million, $0.3 million and $0.2 million in 2013, 2012 and 2011, respectively.</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September 2013, the Internal Revenue Service released final Tangible Property Regulations, or the Final Regulations. The Final Regulations provide guidance on applying Section 263(a) of the Code to amounts paid to acquire, produce or improve tangible property, as well as rules for materials and supplies (Code Section 162). These regulations contain certain changes from the temporary and proposed tangible property regulations that were issued on December 27, 2011. The Final Regulations are generally effective for taxable years beginning on or after January 1, 2014. In addition, taxpayers are permitted to early adopt the Final Regulations for taxable years beginning on or after January 1, 2012. The Company does not expect the Final Regulations to have a material effect on its results of operations or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includes within current assets the amount of inventory that is estimated to be utilized within twelve months. Inventory that will be utilized after twelve months is classified within other long-term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classified in inventory or other long-term assets,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18"/>
                <w:szCs w:val="18"/>
                <w:color w:val="auto"/>
              </w:rPr>
            </w:pPr>
          </w:p>
        </w:tc>
      </w:tr>
      <w:tr>
        <w:trPr>
          <w:trHeight w:val="221"/>
        </w:trPr>
        <w:tc>
          <w:tcPr>
            <w:tcW w:w="900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18,310</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18,048</w:t>
            </w:r>
          </w:p>
        </w:tc>
        <w:tc>
          <w:tcPr>
            <w:tcW w:w="100" w:type="dxa"/>
            <w:vAlign w:val="bottom"/>
          </w:tcPr>
          <w:p>
            <w:pPr>
              <w:spacing w:after="0"/>
              <w:rPr>
                <w:sz w:val="19"/>
                <w:szCs w:val="19"/>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19,997</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20,138</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At December 31, 2013, inventories reported as other long-term assets included $1.7 million of raw materials. At December 31, 2012, other long-term assets included $1.5 million of raw materials and $0.6 million of finished goods.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Company’s Ablavar product was commercially launched in January 2010. The revenues for this product through December 31, 2013 have not been significant. At December 31, 2013 and 2012, the balances of inventory on-hand reflect approximately $1.5 million and $2.8 million, respectively, of finished products and raw materials related to Ablavar. At December 31, 2013 and 2012, approximately $0.5 million and $2.1 million, respectively, of Ablavar inventory were included in long-term assets.</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entered into an agreement and subsequent amendments with a supplier to provide Active Pharmaceutical Ingredient, or API, and finished products for Ablavar under which the Company is required to purchase future minimum quantities. At December 31, 2013, the remaining purchase commitment under the amended agreement was approximately $1.8 million, of which the Company has accrued a loss of $1.3 million associated with this future purchase commitment. The Company records the inventory when it takes delivery, at which time the Company assumes title and risk of loss.</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2011, the Company recorded inventory write-downs to cost of goods sold of $25.8 million, which represented the cost of Ablavar finished good product and API that the Company did not believe it would be able to sell prior to its expiration. The Company completed updated sales forecasts for Ablavar based on actual sales in consideration of its supply agreement for API. Based on the updated sales forecasts, coupled with the aggregate six-year shelf life of API and finished goods, the Company also recorded in cost of goods sold a total of $5.6 million for the loss associated with the portion of the committed purchases of Ablavar product that the Company did not believe it would be able to sell prior to its expiration. Additionally, the Company determined that its write-down of Ablavar inventory during 2011 represented an event that warranted assessment of the intellectual property associated with Ablavar for its recoverability and concluded that the intellectual property was not recoverable and in 2011, recorded in cost of goods sold an impairment of this intangible asset of $23.5 million. See Note 8, “Intangibles, net.”</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2012, the Company implemented a reduction in the sales force dedicated to Ablavar. The Company performed an analysis of expected future sales of its Ablavar product, based on an updated sales forecast reflecting the reduction in sales force personnel dedicated to Ablavar, and recorded to cost of goods sold, an additional inventory write-down of $10.6 million and an additional reserve of $1.9 million associated with the portion of the committed purchases of Ablavar product that the Company did not believe it would sell prior to expiry.</w:t>
      </w:r>
    </w:p>
    <w:p>
      <w:pPr>
        <w:spacing w:after="0" w:line="13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2013, the Company transitioned the sales and marketing efforts for Ablavar from its direct sales force to the Company’s customer service team. During the fourth quarter of 2013, the Company updated its strategic plan, which had a significant impact on the Ablavar sales forecast. The Company performed an inventory reserve analysis using its expected future Ablavar sales and recorded an additional write-down of $1.6 million related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API that the Company would not be able to convert or be able to sell prior to its expiry as of December 31, 2013. In the event that the Company does not meet its revised sales expectations for Ablavar or cannot sell the product it has committed to purchase prior to its expiration, the Company could incur additional inventory write-downs and/or losses on its purchase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1880" w:type="dxa"/>
            <w:vAlign w:val="bottom"/>
            <w:gridSpan w:val="5"/>
          </w:tcPr>
          <w:p>
            <w:pPr>
              <w:jc w:val="right"/>
              <w:ind w:right="4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$ 14,950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Buildings</w:t>
            </w:r>
          </w:p>
        </w:tc>
        <w:tc>
          <w:tcPr>
            <w:tcW w:w="640" w:type="dxa"/>
            <w:vAlign w:val="bottom"/>
          </w:tcPr>
          <w:p>
            <w:pPr>
              <w:jc w:val="right"/>
              <w:spacing w:after="0"/>
              <w:rPr>
                <w:sz w:val="20"/>
                <w:szCs w:val="20"/>
                <w:color w:val="auto"/>
              </w:rPr>
            </w:pPr>
            <w:r>
              <w:rPr>
                <w:rFonts w:ascii="Arial" w:cs="Arial" w:eastAsia="Arial" w:hAnsi="Arial"/>
                <w:sz w:val="18"/>
                <w:szCs w:val="18"/>
                <w:color w:val="auto"/>
              </w:rPr>
              <w:t>65,787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64,649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jc w:val="right"/>
              <w:spacing w:after="0"/>
              <w:rPr>
                <w:sz w:val="20"/>
                <w:szCs w:val="20"/>
                <w:color w:val="auto"/>
              </w:rPr>
            </w:pPr>
            <w:r>
              <w:rPr>
                <w:rFonts w:ascii="Arial" w:cs="Arial" w:eastAsia="Arial" w:hAnsi="Arial"/>
                <w:sz w:val="18"/>
                <w:szCs w:val="18"/>
                <w:color w:val="auto"/>
              </w:rPr>
              <w:t>8,029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(48,360)</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$ 97,653</w:t>
            </w:r>
          </w:p>
        </w:tc>
        <w:tc>
          <w:tcPr>
            <w:tcW w:w="3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109,573</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Depreciation expense related to property, plant and equipment was $9.3 million, $9.7 million and $12.9 million for the years ended December 31, 2013, 2012 and 2011, respectively.</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Included within machinery, equipment and fixtures are spare parts of approximately $2.5 million and $2.7 million as of December 31, 2013 and 2012, respectively. Spare parts include replacement parts relating to plant and equipment and are either recognized as an expense when consumed or re-classified and capitalized as part of the related plant and equipment and depreciated over a time period not exceeding the useful life of the related asset.</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tests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 As of December 31, 2013, the Company reviewed certain long-lived assets, utilized in the manufacturing of certain products in the U.S. due to a change in the Company’s contract to manufacture Quadramet, for recoverability and the analysis indicated that there was no impairment as of December 31, 2013. The Company also evaluated the remaining useful lives of long-lived assets that were tested for recoverability and determined no revisions were required to the remaining periods of depreciation.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Fixed assets dedicated to R&amp;D activities, which were impacted by the recent R&amp;D strategic shift, have a carrying value of $6.3 million as of December 31,</w:t>
      </w:r>
    </w:p>
    <w:p>
      <w:pPr>
        <w:spacing w:after="0" w:line="38"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2013. The Company believes these fixed assets will be utilized for either internally funded ongoing R&amp;D activities or R&amp;D activities funded by a strategic partner. If the Company is not successful in finding a strategic partner and there are no alternative uses for these fixed assets, then they could be subject to impairment in the future.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 Held for Sale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third quarter of 2013, the Company committed to a plan to sell certain of its excess land in the U.S. segment, which had a carrying value of $7.5 million. This event qualified for held for sale accounting and the excess land was written down to its fair value, less estimated costs to sell. The fair value was estimated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the Company sold the excess land for net proceeds of $1.1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 Retirement Obligations</w:t>
      </w:r>
    </w:p>
    <w:p>
      <w:pPr>
        <w:spacing w:after="0" w:line="8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considers the legal obligation to remediate its facilities upon a decommissioning of its radioactive related operations as an asset retirement obligation. The operations of the Company have radioactive production facilities at its North Billerica, Massachusetts and San Juan, Puerto Rico sites.</w:t>
      </w:r>
    </w:p>
    <w:p>
      <w:pPr>
        <w:spacing w:after="0" w:line="4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is required to provide the U.S. Nuclear Regulatory Commission and Massachusetts Department of Public Health financial assurance demonstrating the Company’s ability to fund the decommissioning of the North Billerica, Massachusetts production facility upon closure, though the Company does not intend to close the facility. The Company has provided this financial assurance in the form of a $28.2 million surety bond and an $8.8 million letter of credit.</w:t>
      </w:r>
    </w:p>
    <w:p>
      <w:pPr>
        <w:spacing w:after="0" w:line="13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fair value of a liability for asset retirement obligations is recognized in the period in which the liability is incurred. The liability is measured at the present value of the obligation expected to be incurred, of approximately $25.9 million, and is adjusted in subsequent periods as accretion expense is recorded. The corresponding asset retirement costs are capitalized as part of the carrying value of the related long-lived assets and depreciated over the asset’s useful life.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Company’s asset retirement obligations for the years ended December 31,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2011</w:t>
            </w:r>
          </w:p>
        </w:tc>
        <w:tc>
          <w:tcPr>
            <w:tcW w:w="500" w:type="dxa"/>
            <w:vAlign w:val="bottom"/>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Net decrease due to changes in estimated future cash flows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2012</w:t>
            </w:r>
          </w:p>
        </w:tc>
        <w:tc>
          <w:tcPr>
            <w:tcW w:w="500" w:type="dxa"/>
            <w:vAlign w:val="bottom"/>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Net increase due to changes in estimated future cash flows</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revises the asset retirement obligation as information about material changes to the liability becomes known. During the year ended December 31, 2013, the Company revised the asset retirement obligation, which resulted in an additional asset capitalization, in the amount of $0.3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 2013</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left="12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8"/>
              </w:rPr>
              <w:t>Method</w:t>
            </w: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106,298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84,476</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21,822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Accelerated</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patents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0"/>
        </w:trPr>
        <w:tc>
          <w:tcPr>
            <w:tcW w:w="7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162,618</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127,620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34,998</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7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 2012</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7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left="12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8"/>
              </w:rPr>
              <w:t>Method</w:t>
            </w: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20,743</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$32,647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114,000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83,385</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30,615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Accelerated</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patents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39,240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0"/>
        </w:trPr>
        <w:tc>
          <w:tcPr>
            <w:tcW w:w="7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210,170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143,368</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66,802</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April 6, 2009, the Company acquired the U.S., Canadian and Australian territory rights to a Gadolinium-based blood pool contrast agent, Ablavar (formerly known as Vasovist), from EPIX Pharmaceuticals for an aggregate purchase price of $32.6 million, including drug product and active pharmaceutical ingredient inventory. Ablavar was approved by the U.S. Food and Drug Administration, or FDA, in December 2008 and commercially launched by the Company in early January 2010 after final FDA approval of its product label.</w:t>
      </w:r>
    </w:p>
    <w:p>
      <w:pPr>
        <w:spacing w:after="0" w:line="13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As noted in Note 5, during 2011, the Company conducted an impairment analysis on the intellectual property associated with Ablavar and concluded that the estimate of future undiscounted cash flows associated with the Ablavar product did not exceed the carrying amount and therefore, the asset would need to be written down to its fair value. In order to calculate the fair value of the Ablavar intellectual property intangible asset, the Company estimated the future discounted cash flows associated with the Ablavar product and as a result of this analysis, recorded an impairment charge of $23.5 million to adjust the carrying value to its fair value of zero. This expense was recorded within cost of goods sold in the accompanying consolidated statement of comprehensive loss.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2012, the Company reviewed the estimated useful life of its Cardiolite trademark. As a result of utilizing the most recent forecasted data,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revised its estimate of the remaining useful life of the Cardiolite trademark from eleven to five years, which increased the amortization expense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during the year ended December 31, 2012. The Company monitors the recoverability of its branded Cardiolite trademark intangible asset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ongoing generic competition based on actual results and existing estimates of future undiscounted cash flows associated with the branded Cardiolite product.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2013, the Company conducted, using its revised sales forecast, an impairment analysis and concluded that the estimate of future undiscounted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associated with the Cardiolite trademark intangible did not exceed the carrying amount of the asset totaling $19.2 million and therefore, the asset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written down to its fair value. Fair value was calculated by utilizing Level 3 inputs in the relief-from-royalty method, an income-based approach.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analysis, the Company recorded an impairment charge of $15.4 million to adjust the carrying value to its fair value of $3.8 million. This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cost of goods sold in the accompanying consolidated statement of comprehensive loss in the fourth quarter of 2013.</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third quarter of 2013, the Company was in negotiations with a new distributor for the sale of certain products within certain international markets. This agreement was signed in October 2013 and as a result the Company did not renew the agreements with its former distributors in these international markets.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determined the customer relationship intangible related to these former distributors was no longer recoverable and recorded an impairment charge of $1.0 million in the third quarter of 2013. In the fourth quarter of 2013, the Company updated its strategic plan to reflect the non-renewal of these agreements and the uncertainty in the timing of product availability in this region. As a result, the Company reviewed the recoverability of certain of its customer relationship intangible assets in the International segment that were impacted by the revised strategic plan. The Company conducted an impairment analysis and concluded that the estimate of future undiscounted cash flows associated with the acquired customer relationships did not exceed the carrying amount of the asset and therefore, the asset would need to be written down to its fair value. In order to calculate the fair value of the acquired customer relationship intangible assets, the Company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0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recorded amortization expense for its intangible assets of $14.4 million, $16.1 million and $18.5 million for the years ended December 31, 2013, 2012 and 2011,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600" w:type="dxa"/>
            <w:vAlign w:val="bottom"/>
            <w:gridSpan w:val="3"/>
          </w:tcPr>
          <w:p>
            <w:pPr>
              <w:ind w:left="440"/>
              <w:spacing w:after="0"/>
              <w:rPr>
                <w:sz w:val="20"/>
                <w:szCs w:val="20"/>
                <w:color w:val="auto"/>
              </w:rPr>
            </w:pPr>
            <w:r>
              <w:rPr>
                <w:rFonts w:ascii="Arial" w:cs="Arial" w:eastAsia="Arial" w:hAnsi="Arial"/>
                <w:sz w:val="18"/>
                <w:szCs w:val="18"/>
                <w:color w:val="auto"/>
              </w:rPr>
              <w:t>Expected future amortization expense related to the intangible assets is as follows (in thousands):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9620" w:type="dxa"/>
            <w:vAlign w:val="bottom"/>
            <w:gridSpan w:val="4"/>
          </w:tcPr>
          <w:p>
            <w:pPr>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760" w:type="dxa"/>
            <w:vAlign w:val="bottom"/>
            <w:tcBorders>
              <w:top w:val="single" w:sz="8" w:color="auto"/>
            </w:tcBorders>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2015</w:t>
            </w:r>
          </w:p>
        </w:tc>
        <w:tc>
          <w:tcPr>
            <w:tcW w:w="7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6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2017</w:t>
            </w:r>
          </w:p>
        </w:tc>
        <w:tc>
          <w:tcPr>
            <w:tcW w:w="7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2019 and thereafter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gridSpan w:val="3"/>
            <w:vMerge w:val="restart"/>
          </w:tcPr>
          <w:p>
            <w:pPr>
              <w:ind w:left="440"/>
              <w:spacing w:after="0"/>
              <w:rPr>
                <w:sz w:val="20"/>
                <w:szCs w:val="20"/>
                <w:color w:val="auto"/>
              </w:rPr>
            </w:pPr>
            <w:r>
              <w:rPr>
                <w:rFonts w:ascii="Arial" w:cs="Arial" w:eastAsia="Arial" w:hAnsi="Arial"/>
                <w:sz w:val="18"/>
                <w:szCs w:val="18"/>
                <w:color w:val="auto"/>
                <w:w w:val="88"/>
              </w:rPr>
              <w:t>Changes in the gross carrying amount of intangible assets for the year ended December 31, 2013 were as follows (in thousands):</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6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6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ind w:left="420"/>
              <w:spacing w:after="0"/>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(46,592)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Effect of currency translation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9620" w:type="dxa"/>
            <w:vAlign w:val="bottom"/>
            <w:gridSpan w:val="4"/>
            <w:vMerge w:val="restart"/>
          </w:tcPr>
          <w:p>
            <w:pPr>
              <w:spacing w:after="0"/>
              <w:rPr>
                <w:sz w:val="20"/>
                <w:szCs w:val="20"/>
                <w:color w:val="auto"/>
              </w:rPr>
            </w:pPr>
            <w:r>
              <w:rPr>
                <w:rFonts w:ascii="Arial" w:cs="Arial" w:eastAsia="Arial" w:hAnsi="Arial"/>
                <w:sz w:val="18"/>
                <w:szCs w:val="18"/>
                <w:color w:val="auto"/>
              </w:rPr>
              <w:t>Balance at December 31, 2013</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2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Accrued Expenses and Other Liabilities</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600" w:type="dxa"/>
            <w:vAlign w:val="bottom"/>
            <w:gridSpan w:val="3"/>
          </w:tcPr>
          <w:p>
            <w:pPr>
              <w:ind w:left="440"/>
              <w:spacing w:after="0"/>
              <w:rPr>
                <w:sz w:val="20"/>
                <w:szCs w:val="20"/>
                <w:color w:val="auto"/>
              </w:rPr>
            </w:pPr>
            <w:r>
              <w:rPr>
                <w:rFonts w:ascii="Arial" w:cs="Arial" w:eastAsia="Arial" w:hAnsi="Arial"/>
                <w:sz w:val="18"/>
                <w:szCs w:val="18"/>
                <w:color w:val="auto"/>
              </w:rPr>
              <w:t>Accrued expenses are comprised of the following at December 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top w:val="single" w:sz="8" w:color="auto"/>
            </w:tcBorders>
            <w:gridSpan w:val="6"/>
          </w:tcPr>
          <w:p>
            <w:pPr>
              <w:jc w:val="right"/>
              <w:ind w:right="29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$10,209</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Accrued interest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Research and development services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Freight, distribution and operations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Accrued loss on firm purchase commitment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Marketing expense</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Accrued rebates, discounts and chargebacks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1,739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25,492</w:t>
            </w: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80" w:type="dxa"/>
            <w:vAlign w:val="bottom"/>
            <w:vMerge w:val="restart"/>
          </w:tcPr>
          <w:p>
            <w:pPr>
              <w:ind w:left="3900"/>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2013 and 2012, the Company had accrued a contract loss of $1.3 million and $7.5 million, respectively, associated with the portion of the committed purchases of Ablavar product from the Company’s supplier that the Company did not believe it would sell prior to expiry and was included in accrued expenses.</w:t>
      </w:r>
    </w:p>
    <w:p>
      <w:pPr>
        <w:spacing w:after="0" w:line="127"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During March 2013, the Company took actions to reduce its workforce, which resulted in a $2.7 million charge to the consolidated statement of comprehensive loss for severance expense during the first quarter of 2013. At December 31, 2013, $0.6 million associated with these actions is included in accrued expenses.</w:t>
      </w:r>
    </w:p>
    <w:p>
      <w:pPr>
        <w:spacing w:after="0" w:line="121" w:lineRule="exact"/>
        <w:rPr>
          <w:sz w:val="20"/>
          <w:szCs w:val="20"/>
          <w:color w:val="auto"/>
        </w:rPr>
      </w:pPr>
    </w:p>
    <w:p>
      <w:pPr>
        <w:ind w:left="240" w:right="9280" w:hanging="232"/>
        <w:spacing w:after="0" w:line="332" w:lineRule="auto"/>
        <w:tabs>
          <w:tab w:leader="none" w:pos="27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Arrangements </w:t>
      </w:r>
      <w:r>
        <w:rPr>
          <w:rFonts w:ascii="Arial" w:cs="Arial" w:eastAsia="Arial" w:hAnsi="Arial"/>
          <w:sz w:val="18"/>
          <w:szCs w:val="18"/>
          <w:b w:val="1"/>
          <w:bCs w:val="1"/>
          <w:i w:val="1"/>
          <w:iCs w:val="1"/>
          <w:color w:val="auto"/>
        </w:rPr>
        <w:t>Notes</w:t>
      </w:r>
    </w:p>
    <w:p>
      <w:pPr>
        <w:spacing w:after="0" w:line="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On March 21, 2011, LMI issued $150.0 million of New Restricted Notes. The New Restricted Notes were issued at a price of 101.50% and were issued as additional debt securities under the Indenture pursuant to which LMI previously issued in May 2010 $250.0 million in aggregate principal amount of 9.750% Senior Notes due 2017. The New Restricted Notes were issued with the same terms and conditions as the Senior Notes, except that the New Restricted Notes were subject to a separate registration rights agreement. The New Notes and the Senior Notes, or together, the Notes, vote as one class under the Indenture. As a result of the issuance of the New Restricted Notes, LMI has $400.0 million in aggregate principal amount of Notes outstanding. The Notes bear interest at a rate of 9.750% per year, payable on May 15 and November 15 of each year, beginning May 15, 2011 with respect to the New Restricted Notes. Interest on the Senior Notes accrued from November 15, 2010. The Notes mature on May 15, 2017. The net proceeds of the Senior Notes were used to repay $77.9 million due under LMI’s then outstanding credit agreement to repay a $75.0 million demand note and to repurchase $90.0 million of the outstanding Series A Preferred Stock of Holdings at the accreted value. The net proceeds of the New Restricted Notes were used to fully redeem the balance of the then outstanding Series A Preferred Stock of Holdings at the accreted value of $44.0 million, to pay a $106.0 million dividend to the holders of common stock and to fund dividend equivalent rights granted to holders of Holdings stock options. In conjunction with the issuance of the New Restricted Notes, LMI also made a cash payment of $3.75 million to the then Holders of the Senior Notes in exchange for their consent to amend the Indenture to modify the restricted payments covenant to provide for additional restricted payment capacity in order to accommodate the dividend payment. The premium of $2.25 million and the consent fee of $3.75 million were capitalized and are being amortized over the term of the Notes as an adjustment to interest expense. All of the Notes have been registered with the Securities and Exchange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LMI can redeem the Notes at 100% of the principal amount on May 15, 2016 or thereafter. LMI may also redeem the Notes prior to May 15, 2016 depending on the timing of the redemption during the twelve-month period beginning May 15 of each of the years indicated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0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10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2014</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56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104.875%</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102.438%</w:t>
            </w:r>
          </w:p>
        </w:tc>
        <w:tc>
          <w:tcPr>
            <w:tcW w:w="0" w:type="dxa"/>
            <w:vAlign w:val="bottom"/>
          </w:tcPr>
          <w:p>
            <w:pPr>
              <w:spacing w:after="0"/>
              <w:rPr>
                <w:sz w:val="1"/>
                <w:szCs w:val="1"/>
                <w:color w:val="auto"/>
              </w:rPr>
            </w:pPr>
          </w:p>
        </w:tc>
      </w:tr>
      <w:tr>
        <w:trPr>
          <w:trHeight w:val="216"/>
        </w:trPr>
        <w:tc>
          <w:tcPr>
            <w:tcW w:w="10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any time prior to May 15, 2014, LMI may also redeem all or any part of the Notes, with notice, at a redemption price equal to 100% of the principal amount thereof of the Notes redeemed plus the applicable premium (as defined in the Indenture) as of, and accrued and unpaid interest and additional interest (as defined in the Indenture), if any, to, but not including, the redemption date, subject to the rights of holders of record on the relevant record date to receive interest due on the relevant interest payment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Upon a change of control (as defined in the Indenture), LMI will be required to make an offer to purchase each holder’s Note at a price of 101% of the principal amount thereof, plus accrued and unpaid interest, if any, to the date of purchase.</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LMI or its subsidiaries engage in asset sales (as defined in the Indenture), they generally must either invest the net cash proceeds from those sales in that business within a specified period of time, prepay certain indebtedness or make an offer to purchase a principal amount of the Notes equal to the excess net cash proceeds (as defined in the Indenture), subject to certain exceptions.</w:t>
      </w:r>
    </w:p>
    <w:p>
      <w:pPr>
        <w:spacing w:after="0" w:line="12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Notes are unsecured and are equal in right of payment to all of the existing and future senior debt, including borrowings under its secured credit facilities, subject to the security interest thereof. LMI’s obligations under the Notes are fully and unconditionally guaranteed, jointly and severally, on an unsecured senior basis by Lantheus Intermediate and by one of LMI’s subsidiaries, and the obligations of those guarantors under their guarantees are equal in right of payment to all of their existing and future senior debt.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indenture governing the Notes contains affirmative and negative covenants, as well as restrictions on the ability of LMI and its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our assets; and (viii) enter into certain transactions with our affiliates.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2012, LMI had outstanding the Old Facility with an aggregate principal amount not to exceed $42.5 million and an interest rate of LIBOR plus 3.75% or the Reference Rate (as defined in the agreement) plus 2.75%. The Old Facility also contained an unused line of credit fee of 0.75%, which was payable quarterly. At December 31, 2012, there was no outstanding balance under the Old Facility, other than the $8.8 million unfunded Standby Letter of Credit, and the aggregate borrowing capacity was $33.7 million. On July 3, 2013, LMI, Lantheus Intermediate and Lantheus Real Estate entered into the New Facility which replaced the Old Facility.</w:t>
      </w:r>
    </w:p>
    <w:p>
      <w:pPr>
        <w:spacing w:after="0" w:line="129"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As of December 31, 2013, LMI has a New Facility with an aggregate principal amount not to exceed $42.5 million. The revolving loans under the New Facility bear interest subject to a pricing grid based on average historical excess availability under the New Facility, with pricing based from time to time at the election of the Company at (i) LIBOR plus a spread ranging from 2.00% to 2.50% or (ii) the Reference Rate (as defined in the agreement) plus a spread ranging from 1.00% to 1.50%. The New Facility also includes an unused line fee of 0.375% or 0.5%, depending on the average unused revolving credit commitments.</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New Facility expires on the earlier of (i) July 3, 2018 or (ii) if the outstanding Notes are not refinanced in full, the date that is 91 days before the maturity thereof, at which time all outstanding borrowings are due and payable.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3, 2012, the Company entered into an unfunded Standby Letter of Credit for up to $4.4 million. On April 11, 2012, the unfunded Standby Letter of Credit was increased to $8.8 million. On August 6, 2013, the Company transferred the $8.8 million unfunded Standby Letter of Credit, which expired on February 3, 2014, to a new lender. The unfunded Standby Letter of Credit requires annual fees, payable quarterly, between 2.00% and 2.50% of the face amount, and expires on February 5, 2015, which will automatically renew for a one year period at each anniversary date, unless the Company elects not to renew in writing within 60 days prior to that expiration.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New Facility is secured by a pledge of substantially all of the assets of each of Lantheus Intermediate, LMI and Lantheus Real Estate, including each entity’s accounts receivable, inventory and machinery and equipment, and is guaranteed by each of Lantheus Intermediate and Lantheus Real Estate. Borrowing capacity is determined by reference to a Borrowing Base, which is based on a percentage of certain eligible accounts receivable, inventory and machinery and equipment minus any reserves. As of December 31, 2013, the aggregate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New Facility contains affirmative and negative covenants, as well as restrictions on the ability of Lantheus Intermediate and its subsidiaries to:</w:t>
      </w:r>
    </w:p>
    <w:p>
      <w:pPr>
        <w:spacing w:after="0" w:line="38" w:lineRule="exact"/>
        <w:rPr>
          <w:sz w:val="20"/>
          <w:szCs w:val="20"/>
          <w:color w:val="auto"/>
        </w:rPr>
      </w:pPr>
    </w:p>
    <w:p>
      <w:pPr>
        <w:jc w:val="both"/>
        <w:ind w:right="300" w:firstLine="8"/>
        <w:spacing w:after="0" w:line="300" w:lineRule="auto"/>
        <w:tabs>
          <w:tab w:leader="none" w:pos="21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incur additional indebtedness or issue preferred stock; (ii) repay subordinated indebtedness prior to its stated maturity; (iii) pay dividends on, repurchase or make distributions in respect of capital stock or make other restricted payments; (iv) make certain investments and restricted payments; (v) sell certain assets;</w:t>
      </w:r>
    </w:p>
    <w:p>
      <w:pPr>
        <w:ind w:right="60" w:firstLine="8"/>
        <w:spacing w:after="0" w:line="287" w:lineRule="auto"/>
        <w:tabs>
          <w:tab w:leader="none" w:pos="29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grant liens or negative pledges; (vii) consolidate, merge, sell or otherwise dispose of all or substantially all of its assets; (viii) enter into certain transactions with its affiliates; (ix) change the nature of the business or (x) incur capital expenditures. The New Facility also contains customary default provisions as well as cash dominion provisions which allow the lender to sweep its accounts during the period certain specified events of default are continuing under the New Facility or excess availability under the New Facility falls below (i) the greater of $5.0 million or 15% of the then-current borrowing base for a period of more than five consecutive Business Days or (ii) $3.5 million. During a cash dominion period, Lantheus Intermediate is required to comply with a consolidated fixed charge coverage ratio of not less than 1:00:1:00. The fixed charge coverage ratio is calculated on a consolidated basis for Lantheus Intermediate and its subsidiaries for a trailing four fiscal quarter period basis, as (i) EBITDA minus capital expenditures minus certain restricted payments divided by (ii) interest plus taxes paid or payable in cash plus certain restricted payments made in cash plus scheduled principal payments paid or payable in cash.</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Costs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LMI incurred and capitalized approximately $15.6 million in direct financing fees including $5.2 million associated with the New Restricted Notes issued in March 2011, consisting primarily of underwriting fees and expenses, consent solicitation fee, legal fees, accounting fees and printing costs in connection with the issuance of the New Restricted Notes, the Existing Notes and the Old Facility. Deferred financing costs are being amortized over the life of the Notes, as appropriate, using the effective interest method and are included in interest expense in the accompanying consolidated statements of comprehensive loss.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and 2012, LMI incurred approximately $0.1 million and $0.4 million, respectively, in fees and expenses associated with amendments under the Old Facility. These fees were being amortized over the remaining life of the Old Facility using the straight-line method and was included in interest expense in the accompanying consolidated statements of comprehensive loss. During the year ended December 31, 2013, LMI wrote off $0.6 million of the existing unamortized deferred financing costs related to the Old Facility, which is included in interest expense in the accompanying consolidated statements of comprehensive loss.</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New Facility, LMI incurred approximately $1.1 million in fees and expenses, which are being amortized on a straight-line basis over the term of the New Facility. Beginning in 2013, repurchases of common stock by the Company are held in treasury.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9560" w:hanging="232"/>
        <w:spacing w:after="0" w:line="398" w:lineRule="auto"/>
        <w:tabs>
          <w:tab w:leader="none" w:pos="266"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Authorized Capital</w:t>
      </w:r>
    </w:p>
    <w:p>
      <w:pPr>
        <w:spacing w:after="0" w:line="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December 31, 2013, the authorized capital stock of the Company consisted of 60,000,000 shares of Common Stock, par value $0.001 per share, and 2,000,000 shares of preferred stock, par value $0.001 per share. The common stockholders are entitled to one vote per share.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Former Series A Preferred Stock</w:t>
      </w:r>
    </w:p>
    <w:p>
      <w:pPr>
        <w:spacing w:after="0" w:line="77" w:lineRule="exact"/>
        <w:rPr>
          <w:sz w:val="20"/>
          <w:szCs w:val="20"/>
          <w:color w:val="auto"/>
        </w:rPr>
      </w:pPr>
    </w:p>
    <w:p>
      <w:pPr>
        <w:ind w:left="660" w:right="220" w:hanging="206"/>
        <w:spacing w:after="0" w:line="306"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Dividends—The holders of Series A Preferred were entitled to receive dividends at a rate of 14% per annum. The dividends on the Series A Preferred were cumulative and accrued quarterly. During 2011, the Company accrued for approximately $1.3 million ($3.82 per share) of preferred stock dividends. The dividends were to be payable upon approval from the Company’s Board of Directors and the Company’s senior lenders.</w:t>
      </w:r>
    </w:p>
    <w:p>
      <w:pPr>
        <w:spacing w:after="0" w:line="12" w:lineRule="exact"/>
        <w:rPr>
          <w:rFonts w:ascii="Arial" w:cs="Arial" w:eastAsia="Arial" w:hAnsi="Arial"/>
          <w:sz w:val="16"/>
          <w:szCs w:val="16"/>
          <w:color w:val="auto"/>
        </w:rPr>
      </w:pPr>
    </w:p>
    <w:p>
      <w:pPr>
        <w:ind w:left="660" w:right="100" w:hanging="206"/>
        <w:spacing w:after="0" w:line="256"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Liquidation Preference—Each holder of the Series A Preferred was entitled to receive a liquidation preference from the assets available for distribution to stockholders at an amount equal to the respective purchase price per share plus any accrued but unpaid dividends on that share. This liquidation preference was to be payable upon a liquidation, dissolution or winding up of the business, a merger or consolidation or a sale or other transfer of all or substantially all of the Company’s assets.</w:t>
      </w:r>
    </w:p>
    <w:p>
      <w:pPr>
        <w:spacing w:after="0" w:line="48" w:lineRule="exact"/>
        <w:rPr>
          <w:rFonts w:ascii="Arial" w:cs="Arial" w:eastAsia="Arial" w:hAnsi="Arial"/>
          <w:sz w:val="18"/>
          <w:szCs w:val="18"/>
          <w:color w:val="auto"/>
        </w:rPr>
      </w:pPr>
    </w:p>
    <w:p>
      <w:pPr>
        <w:ind w:left="660" w:right="100" w:hanging="206"/>
        <w:spacing w:after="0" w:line="298"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Redemption—The Company, at its option, at any time had the right redeem any or all of the outstanding shares of Series A Preferred at a redemption price equal to the respective purchase price per share plus any accrued but unpaid dividends on that share. In addition, the Company, upon a change in control or an underwritten public offering of the Company’s common stock pursuant to the Securities Act of 1933 resulting in greater than $50,000,000 of net proceeds, would have been required to redeem the Series A Preferred.</w:t>
      </w:r>
    </w:p>
    <w:p>
      <w:pPr>
        <w:spacing w:after="0" w:line="9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conjunction with the $150.0 million received from the 2011 New Restricted Notes financing, the then remaining 347,120 shares of outstanding Series A Preferred Stock, including accrued dividends, were repurchased for an aggregate of $44.0 million. As of December 31, 2013 and 2012, there was no outstanding preferred stock.</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Series A Preferred Stock redemption, the remaining proceeds received in March 2011 related to the New Restricted Notes were used to pay a $106.0 million dividend to the holders of common stock and a dividend equivalent right, or DER, on all outstanding stock options. A total of $101.1 million was paid out in cash to the common stockholders and vested stock option holders at the date of the transaction. The remaining DER of $4.9 million on all unvested options were placed in escrow and were subject to forfeiture. The DER was recorded as a dividend payable and was scheduled to be paid out ratably on each annual vesting date, provided the stock option holders continued to be employed by the Company for time based options and the performance targets are met for performance based options. In recognition of the Company’s efforts in 2012, the Compensation Committee determined to distribute the balance of the DERs to each eligible active employee. As of December 31, 2013 and 2012, the total long-term dividend payable was $0.4 million, net of forfeitures. As of December 31, 2012, the total current dividend payable was $0.1 million, net of forfeitures and there was no current dividend payable as of December 31, 3013. Total DER forfeitures since the date of the transaction totaled $0.9 million as of December 31, 2013.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Company’s employees are eligible to receive awards under the 2013 Equity Incentive Plan, or the 2013 Plan. The 2013 Plan is administered by the Board of Directors and permits the granting of nonqualified stock options, stock appreciation rights, or SARs, restricted stock and restricted stock units to employees, officers, directors and consultants of the Company. The Board of Directors may, at its sole discretion, grant DERs with respect to any award and is treated as a separate award. On August 5, 2013, the Board of Directors adopted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resolution providing that no further grants be made under the 2008 Equity Incentive Plan, or the 2008 Plan. At the same time, the maximum number of shares that may be issued pursuant to awards under the 2013 Plan was increased from 1,500,000 to 2,700,000. Option awards under the 2013 Plan are granted with an exercise price equal to the fair value of the Company’s common stock at the date of grant, as determined by the Board of Directors. Time based option awards vest based on time, either four or five years, and performance based option awards vest based on the performance criteria specified in the grant. All option awards have a ten-year contractual term. The Company recognizes compensation costs for its time based awards on a straight-line basis equal to the vesting period. The compensation cost for performance based awards is recognized on a graded vesting basis, based on the probability of achieving the performance targets over the requisite service period for the entire award. The fair value of each option award is estimated on the date of grant using a Black-Scholes valuation model that uses the assumptions noted in the following table. Expected volatilities are based on the historic volatility of a selected peer group. Expected dividends represent the dividends expected to be issued at the date of grant. The expected term of options represents the period of time that options granted are expected to be outstanding. The risk-free interest rate assumption is the U.S. Treasury rate at the date of the grant which most closely resembles the expected life of the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uses the following Black-Scholes inputs to determine the fair value of new stock option grants.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gridSpan w:val="2"/>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30 - 37%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36 - 41%</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33 - 40%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dividends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3"/>
              </w:rPr>
              <w:t>3.6 - 6.3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5.5 - 6.5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0.5 - 1.7%</w:t>
            </w:r>
          </w:p>
        </w:tc>
        <w:tc>
          <w:tcPr>
            <w:tcW w:w="1560" w:type="dxa"/>
            <w:vAlign w:val="bottom"/>
            <w:gridSpan w:val="5"/>
          </w:tcPr>
          <w:p>
            <w:pPr>
              <w:jc w:val="right"/>
              <w:ind w:right="300"/>
              <w:spacing w:after="0"/>
              <w:rPr>
                <w:sz w:val="20"/>
                <w:szCs w:val="20"/>
                <w:color w:val="auto"/>
              </w:rPr>
            </w:pPr>
            <w:r>
              <w:rPr>
                <w:rFonts w:ascii="Arial" w:cs="Arial" w:eastAsia="Arial" w:hAnsi="Arial"/>
                <w:sz w:val="18"/>
                <w:szCs w:val="18"/>
                <w:color w:val="auto"/>
              </w:rPr>
              <w:t>0.7 - 1.4%</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1.9 - 2.9%</w:t>
            </w:r>
          </w:p>
        </w:tc>
        <w:tc>
          <w:tcPr>
            <w:tcW w:w="0" w:type="dxa"/>
            <w:vAlign w:val="bottom"/>
          </w:tcPr>
          <w:p>
            <w:pPr>
              <w:spacing w:after="0"/>
              <w:rPr>
                <w:sz w:val="1"/>
                <w:szCs w:val="1"/>
                <w:color w:val="auto"/>
              </w:rPr>
            </w:pPr>
          </w:p>
        </w:tc>
      </w:tr>
      <w:tr>
        <w:trPr>
          <w:trHeight w:val="356"/>
        </w:trPr>
        <w:tc>
          <w:tcPr>
            <w:tcW w:w="4680" w:type="dxa"/>
            <w:vAlign w:val="bottom"/>
          </w:tcPr>
          <w:p>
            <w:pPr>
              <w:ind w:left="460"/>
              <w:spacing w:after="0"/>
              <w:rPr>
                <w:sz w:val="20"/>
                <w:szCs w:val="20"/>
                <w:color w:val="auto"/>
              </w:rPr>
            </w:pPr>
            <w:r>
              <w:rPr>
                <w:rFonts w:ascii="Arial" w:cs="Arial" w:eastAsia="Arial" w:hAnsi="Arial"/>
                <w:sz w:val="18"/>
                <w:szCs w:val="18"/>
                <w:color w:val="auto"/>
                <w:w w:val="92"/>
              </w:rPr>
              <w:t>A summary of option activity for 2013 is presented below:</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Time</w:t>
            </w: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40" w:type="dxa"/>
            <w:vAlign w:val="bottom"/>
          </w:tcPr>
          <w:p>
            <w:pPr>
              <w:spacing w:after="0"/>
              <w:rPr>
                <w:sz w:val="12"/>
                <w:szCs w:val="12"/>
                <w:color w:val="auto"/>
              </w:rPr>
            </w:pPr>
          </w:p>
        </w:tc>
        <w:tc>
          <w:tcPr>
            <w:tcW w:w="11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Based</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Based</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2,326,350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1,002,948</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3,329,298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$ 15,336,000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1,348,177</w:t>
            </w:r>
          </w:p>
        </w:tc>
        <w:tc>
          <w:tcPr>
            <w:tcW w:w="4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600,000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1,948,177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(228,925)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(260,980)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(489,905)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exercised</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(583,750)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(47,768)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(631,518)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 and expired</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(100,815)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(196,775)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2,761,037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1,097,425</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3,858,462</w:t>
            </w:r>
          </w:p>
        </w:tc>
        <w:tc>
          <w:tcPr>
            <w:tcW w:w="20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9"/>
                <w:szCs w:val="19"/>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2,675,020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722,055</w:t>
            </w:r>
          </w:p>
        </w:tc>
        <w:tc>
          <w:tcPr>
            <w:tcW w:w="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3,397,075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Exercisable at December 31, 2013</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2.90</w:t>
            </w:r>
          </w:p>
        </w:tc>
        <w:tc>
          <w:tcPr>
            <w:tcW w:w="1140" w:type="dxa"/>
            <w:vAlign w:val="bottom"/>
            <w:gridSpan w:val="4"/>
            <w:vMerge w:val="restart"/>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line="20" w:lineRule="exact"/>
              <w:rPr>
                <w:sz w:val="1"/>
                <w:szCs w:val="1"/>
                <w:color w:val="auto"/>
              </w:rPr>
            </w:pPr>
          </w:p>
        </w:tc>
        <w:tc>
          <w:tcPr>
            <w:tcW w:w="1020" w:type="dxa"/>
            <w:vAlign w:val="bottom"/>
            <w:gridSpan w:val="4"/>
            <w:vMerge w:val="restart"/>
          </w:tcPr>
          <w:p>
            <w:pPr>
              <w:jc w:val="center"/>
              <w:ind w:right="100"/>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1,491,401</w:t>
            </w:r>
          </w:p>
        </w:tc>
        <w:tc>
          <w:tcPr>
            <w:tcW w:w="4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506,705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1,998,106</w:t>
            </w:r>
          </w:p>
        </w:tc>
        <w:tc>
          <w:tcPr>
            <w:tcW w:w="20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grant-date fair value of stock options granted during the years ended December 31, 2013, 2012 and 2011 was $2.45, $3.29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$4.05, respectively. During the years ended December 31, 2013, 2012 and 2011, 349,605, 710,139 and 362,300 options vested, respectively, with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approximately $1.0 million, $1.0 million and $0.4 million, respectively.</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years ended December 31, 2013, 2012 and 2011, 631,518, 21,220 and 14,650 stock options, respectively, were exercised on a cashless basis for which 459,171, 9,085 and 4,629 shares of common stock, respectively, were issued.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Stock-based compensation expense (income) for both time based and performance based awards was recognized in the consolidated statements of comprehensive loss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center"/>
              <w:ind w:left="19"/>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429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578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Stock-based compensation expense (income) recognized in the consolidated statement of comprehensive loss for the years ended December 31, 2013, 2012, and 2011 are based on awards ultimately expected to vest as well as any changes in the probability of achieving certain performance features as required.</w:t>
      </w:r>
    </w:p>
    <w:p>
      <w:pPr>
        <w:spacing w:after="0" w:line="49"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During the year ended December 31, 2012, the Company recognized approximately $0.6 million of stock-based compensation expense associated with the modification of three option agreements, two of which were effectuated in the first quarter of 2012 and one of which was effectuated in the third quarter of 2012. The modification of these awards affected the vesting terms of the awards, allowing vesting to continue beyond the last day of employment, so long as the option holders, who are no longer employees, continue to provide services to the Company or, in one case, Avista Capital Partners, or Avista, the majority stockholder of Holdings, as applicable. The Company remeasured the fair value of these options at each reporting period until the services were completed.</w:t>
      </w:r>
    </w:p>
    <w:p>
      <w:pPr>
        <w:spacing w:after="0" w:line="102"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Company used the following Black-Scholes inputs to determine the fair value of stock options that were modified during the quarters ended March 31, 2012 and September 30,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92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9"/>
              </w:rPr>
              <w:t>Three Months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480" w:type="dxa"/>
            <w:vAlign w:val="bottom"/>
          </w:tcPr>
          <w:p>
            <w:pPr>
              <w:spacing w:after="0"/>
              <w:rPr>
                <w:sz w:val="12"/>
                <w:szCs w:val="12"/>
                <w:color w:val="auto"/>
              </w:rPr>
            </w:pPr>
          </w:p>
        </w:tc>
        <w:tc>
          <w:tcPr>
            <w:tcW w:w="19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480" w:type="dxa"/>
            <w:vAlign w:val="bottom"/>
          </w:tcPr>
          <w:p>
            <w:pPr>
              <w:spacing w:after="0"/>
              <w:rPr>
                <w:sz w:val="12"/>
                <w:szCs w:val="12"/>
                <w:color w:val="auto"/>
              </w:rPr>
            </w:pPr>
          </w:p>
        </w:tc>
        <w:tc>
          <w:tcPr>
            <w:tcW w:w="19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March 31,</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8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2012</w:t>
            </w:r>
          </w:p>
        </w:tc>
        <w:tc>
          <w:tcPr>
            <w:tcW w:w="1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9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30 - 36%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Expected dividends</w:t>
            </w:r>
          </w:p>
        </w:tc>
        <w:tc>
          <w:tcPr>
            <w:tcW w:w="480" w:type="dxa"/>
            <w:vAlign w:val="bottom"/>
          </w:tcPr>
          <w:p>
            <w:pPr>
              <w:spacing w:after="0"/>
              <w:rPr>
                <w:sz w:val="18"/>
                <w:szCs w:val="18"/>
                <w:color w:val="auto"/>
              </w:rPr>
            </w:pPr>
          </w:p>
        </w:tc>
        <w:tc>
          <w:tcPr>
            <w:tcW w:w="144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w:t>
            </w:r>
          </w:p>
        </w:tc>
        <w:tc>
          <w:tcPr>
            <w:tcW w:w="1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w w:val="88"/>
              </w:rPr>
              <w:t>- 0.8%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13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used the following Black-Scholes inputs to remeasure the fair value of stock options that were modified during 2012 as of December 31, 2012. No remeasurement was required during 2013 since the consulting services had been completed.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10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dividends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r>
      <w:tr>
        <w:trPr>
          <w:trHeight w:val="222"/>
        </w:trPr>
        <w:tc>
          <w:tcPr>
            <w:tcW w:w="10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Upon termination of employment, the Company has the right to call shares held by employees that were purchased or acquired through option exercise. As a result of this right, upon termination of service, vested stock-based awards are reclassified to liability-based awards when it is probable the employee will exercise the option and the Company will exercise its call right. As of December 31, 2013 and 2012, the Company did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have any liability-based awards outstanding. The Company recorded a benefit of approximately $1.0 million in the three-month period ended March 31, 2011 related to 2010 liability awards which expired during the period.</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did not recognize an income tax benefit for the years ended December 31, 2013, 2012 and 2011. As of December 31, 2013, there was approximately $3.0 million of total unrecognized compensation costs related to non-vested stock options granted under the 2013 and 2008 Plans. These costs are expected to be recognized over a weighted average remaining period of 1.7 years. In addition, performance based awards contain certain contingent features, such as change in control provisions, which allow for the vesting of previously forfeited and unvested awards. As of December 31, 2013, there was approximately $1.0 million of unrecognized compensation expense relating to these features, which could be recognized through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Income (Expense),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net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223"/>
        </w:trPr>
        <w:tc>
          <w:tcPr>
            <w:tcW w:w="9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center"/>
              <w:ind w:left="202"/>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9"/>
                <w:szCs w:val="19"/>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(579)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Tax indemnification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1,380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1,161</w:t>
            </w:r>
          </w:p>
        </w:tc>
        <w:tc>
          <w:tcPr>
            <w:tcW w:w="1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1,429</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83"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Company leases certain buildings, hardware and office space under operating leases. In addition, the Company has entered into purchasing arrangements in which minimum quantities of goods or services have been committed to be purchased on an annual basis.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lease and purchase commitments under noncancelable arrangements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70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Operating</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vMerge w:val="continue"/>
          </w:tcPr>
          <w:p>
            <w:pPr>
              <w:spacing w:after="0"/>
              <w:rPr>
                <w:sz w:val="14"/>
                <w:szCs w:val="14"/>
                <w:color w:val="auto"/>
              </w:rPr>
            </w:pPr>
          </w:p>
        </w:tc>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75"/>
              </w:rPr>
              <w:t>Leases</w:t>
            </w:r>
          </w:p>
        </w:tc>
        <w:tc>
          <w:tcPr>
            <w:tcW w:w="52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4"/>
                <w:szCs w:val="14"/>
                <w:color w:val="auto"/>
              </w:rPr>
            </w:pPr>
          </w:p>
        </w:tc>
        <w:tc>
          <w:tcPr>
            <w:tcW w:w="6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898</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$3,416</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2019 and thereafter</w:t>
            </w:r>
          </w:p>
        </w:tc>
        <w:tc>
          <w:tcPr>
            <w:tcW w:w="7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52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70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 expense was $0.9 million, $1.0 million and $1.0 million for the years ended December 31, 2013, 2012 and 2011, respectively.</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an agreement with a supplier to provide API and finished products for Ablavar under which LMI is required to purchase future minimum quantities through September 30, 2014. Annual purchases under this supply agreement were $7.7 million, $1.7 million and $24.8 million for the years ended December 31, 2013, 2012 and 2011, respectively. At December 31, 2013, $1.7 million is included in accounts payable as unpaid purchases under this agreement and an additional $1.8 million of committed purchases remain. At December 31, 2012, there were no unpaid purchases under this agreement that were included in accounts payable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and accrued expenses. As described in Note 9, “Accrued Expenses,” the Company had accrued a contract loss of $1.3 million and $7.5 million at December 31, 2013 and 2012, respectively, associated with the portion of the committed purchases of Ablavar product under this agreement that the Company does not believe it would sell prior to expiry.</w:t>
      </w:r>
    </w:p>
    <w:p>
      <w:pPr>
        <w:spacing w:after="0" w:line="12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has entered into agreements which contain certain percentage volume purchase requirements. The Company has excluded these future purchase commitments from the table above since there are no minimum purchase commitments or minimum payments under these agreements.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a qualified 401(k) plan, or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During the year ended December 31, 2011, the Company matched employee contributions up to 4.5% of eligible compensation and did not contribute an additional non-elective discretionary match. Effective April 2012, the employer match was suspended and was subsequently reinstated in January 2013. The Company did not contribute any additional non-elective discretionary match during the years ended December 31, 2013 and 2012. The Company may also make optional contributions to the 401(k) Plan for any plan year at its discretion. Expense recognized by the Company for matching contributions related to the 401(k) Plan was $1.2 million, $0.4 million and $1.9 million for the years ended December 31, 2013, 2012 and 2011,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Proceedings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 As of December 31, 2013, the Company had no material ongoing litigation in which the Company was a defendant or any material ongoing regulatory or other proceedings and had no knowledge of any investigations by government or regulatory authorities in which the Company is a target that could have a material adverse effect on its current business.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16, 2010, LMI filed suit against one of its insurance carriers seeking to recover business interruption losses associated with the NRU reactor shutdown and the ensuing global Moly supply shortage.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Discovery has commenced and is continuing. At a hearing held on March 28, 2014, the court granted the defendant leave to file a summary judgment motion on June 30, 2014, and the court granted the Company until August 4, 2014 to respond to that motion. The Company cannot be certain what amount, if any, or when, if ever, it will be able to recover for business interruption losses related to this matter.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8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Avista, the Company’s majority shareholder, provides certain advisory services to the Company pursuant to an advisory services and monitoring agreement. The Company is required to pay an annual fee of $1.0 million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60" w:right="2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and other reasonable and customary advisory fees, as applicable, on a quarterly basis. The initial term of the agreement is seven years. Upon termination, all remaining amounts owed under the agreement shall become due immediately. The Company incurred costs associated with this agreement totaling $1.0 million for each of the years ended December 31, 2013, 2012 and 2011. At December 31, 2013 and 2012, $30,000 was included in accrued expenses.</w:t>
      </w:r>
    </w:p>
    <w:p>
      <w:pPr>
        <w:spacing w:after="0" w:line="9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third quarter of 2012, the Company entered into a Master Contract Research Organization Services Agreement with INC Research, LLC, or INC, to provide clinical development services in connection with the flurpiridaz F 18 Phase III program. Avista and certain of its affiliates are principal owners of us and minority owners of INC. The agreement has a term of five years and the Company incurred costs associated with this agreement of approximately $0.5 million and $0.9 million during the years ended December 31, 2013 and 2012, respectively. At December 31, 2012, $0.5 million was included in accounts payable and accrued expenses. There was no balance outstanding at December 31, 2013.</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purchases inventory supplies from VWR Scientific, or VWR. Avista and certain of its affiliates are principal owners of both VWR and the Company. The Company made purchases of approximately $0.3 million during each of the years ended December 31, 2013, 2012 and 2011. At December 31, 2013 and 2012, $1,000 and $19,000, respectively, was included in accounts payable.</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2013 and 2012, the Company had $0.1 million due from an officer of the Company included in accounts receivable, net. These amounts represent U.S. federal and state tax withholdings paid by the Company on behalf of the officer in connection with the relocation of the officer to the United States from 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our chief operating decision maker, the President and Chief Executive Officer. The Company’s segments derive revenues through the manufacturing, marketing, selling and distribution of medical imaging products, focused primarily on cardiovascular diagnostic imaging. The U.S. segment comprises 75.3%, 72.9% and 75.3% of consolidated revenues in 2013, 2012 and 2011, respectively, and 89.9% and 86.7% of consolidated assets at December 31, 2013 and 2012, respectively. All goodwill has been allocated to the U.S. operating segment.</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Included in Cardiolite revenues are branded Cardiolite and generic sestamibi revenues, some of which is produced by the Company and some of which is procured from time to time from third parties. Reflected in the 2011 table below, is the reclassification of $0.8 million of generic sestamibi revenues from “Other” revenues to “Cardiolite” revenues to conform with the current period presentation.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information for each business segment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234,567</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229,926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8"/>
                <w:szCs w:val="18"/>
                <w:color w:val="auto"/>
              </w:rPr>
              <w:t>Revenues, including inter-segment</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304,600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308,020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379,271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(20,928)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from external customers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213,639</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210,011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by product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DEFINITY</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78,094</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51,431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TechneLite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114,249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Cardiolite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34,995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4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Geographical revenue</w:t>
            </w: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340" w:type="dxa"/>
            <w:vAlign w:val="bottom"/>
            <w:gridSpan w:val="2"/>
            <w:vMerge w:val="continue"/>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213,639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210,011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Canada</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income/(loss)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(18,781)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(11,104)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8"/>
                <w:szCs w:val="18"/>
                <w:color w:val="auto"/>
              </w:rPr>
              <w:t>Total operating loss, including inter-segment</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(18,078)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operating income (loss)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color w:val="auto"/>
              </w:rPr>
              <w:t>Operating loss</w:t>
            </w: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(18,891)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(42,915)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(42,014)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income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color w:val="auto"/>
              </w:rPr>
              <w:t>Loss before income taxes</w:t>
            </w: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(60,541)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(42,556)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22,146</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23,918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25,155</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27,402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4,903</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7,353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5,010</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7,920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160" w:type="dxa"/>
            <w:vAlign w:val="bottom"/>
            <w:gridSpan w:val="2"/>
          </w:tcPr>
          <w:p>
            <w:pPr>
              <w:jc w:val="right"/>
              <w:ind w:right="2620"/>
              <w:spacing w:after="0"/>
              <w:rPr>
                <w:sz w:val="20"/>
                <w:szCs w:val="20"/>
                <w:color w:val="auto"/>
              </w:rPr>
            </w:pPr>
            <w:r>
              <w:rPr>
                <w:rFonts w:ascii="Arial" w:cs="Arial" w:eastAsia="Arial" w:hAnsi="Arial"/>
                <w:sz w:val="18"/>
                <w:szCs w:val="18"/>
                <w:color w:val="auto"/>
              </w:rPr>
              <w:t>F-40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5"/>
          </w:tcPr>
          <w:p>
            <w:pPr>
              <w:jc w:val="center"/>
              <w:ind w:left="221"/>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U.S.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w w:val="92"/>
              </w:rPr>
              <w:t>$ 234,899</w:t>
            </w:r>
          </w:p>
        </w:tc>
        <w:tc>
          <w:tcPr>
            <w:tcW w:w="1040" w:type="dxa"/>
            <w:vAlign w:val="bottom"/>
            <w:gridSpan w:val="5"/>
          </w:tcPr>
          <w:p>
            <w:pPr>
              <w:jc w:val="center"/>
              <w:ind w:left="221"/>
              <w:spacing w:after="0"/>
              <w:rPr>
                <w:sz w:val="20"/>
                <w:szCs w:val="20"/>
                <w:color w:val="auto"/>
              </w:rPr>
            </w:pPr>
            <w:r>
              <w:rPr>
                <w:rFonts w:ascii="Arial" w:cs="Arial" w:eastAsia="Arial" w:hAnsi="Arial"/>
                <w:sz w:val="18"/>
                <w:szCs w:val="18"/>
                <w:color w:val="auto"/>
                <w:w w:val="92"/>
              </w:rPr>
              <w:t>$ 281,534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4"/>
            <w:shd w:val="clear" w:color="auto" w:fill="CCEEFF"/>
          </w:tcPr>
          <w:p>
            <w:pPr>
              <w:ind w:left="260"/>
              <w:spacing w:after="0"/>
              <w:rPr>
                <w:sz w:val="20"/>
                <w:szCs w:val="20"/>
                <w:color w:val="auto"/>
              </w:rPr>
            </w:pPr>
            <w:r>
              <w:rPr>
                <w:rFonts w:ascii="Arial" w:cs="Arial" w:eastAsia="Arial" w:hAnsi="Arial"/>
                <w:sz w:val="18"/>
                <w:szCs w:val="18"/>
                <w:color w:val="auto"/>
                <w:w w:val="83"/>
              </w:rPr>
              <w:t>43,118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$ 261,311</w:t>
            </w:r>
          </w:p>
        </w:tc>
        <w:tc>
          <w:tcPr>
            <w:tcW w:w="300" w:type="dxa"/>
            <w:vAlign w:val="bottom"/>
          </w:tcPr>
          <w:p>
            <w:pPr>
              <w:spacing w:after="0"/>
              <w:rPr>
                <w:sz w:val="19"/>
                <w:szCs w:val="19"/>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$ 324,652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5"/>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Long-lived assets</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U.S.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$91,683</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$101,773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97,653</w:t>
            </w:r>
          </w:p>
        </w:tc>
        <w:tc>
          <w:tcPr>
            <w:tcW w:w="10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19. Valuation and Qualifying Accounts</w:t>
            </w: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Charge to</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Costs and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Expenses</w:t>
            </w:r>
          </w:p>
        </w:tc>
        <w:tc>
          <w:tcPr>
            <w:tcW w:w="7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7"/>
              </w:rPr>
              <w:t>Deductions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98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of Fiscal</w:t>
            </w:r>
          </w:p>
        </w:tc>
        <w:tc>
          <w:tcPr>
            <w:tcW w:w="680" w:type="dxa"/>
            <w:vAlign w:val="bottom"/>
          </w:tcPr>
          <w:p>
            <w:pPr>
              <w:spacing w:after="0"/>
              <w:rPr>
                <w:sz w:val="12"/>
                <w:szCs w:val="12"/>
                <w:color w:val="auto"/>
              </w:rPr>
            </w:pPr>
          </w:p>
        </w:tc>
        <w:tc>
          <w:tcPr>
            <w:tcW w:w="14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(Recovery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From</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Fiscal</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14"/>
                <w:szCs w:val="14"/>
                <w:color w:val="auto"/>
              </w:rPr>
            </w:pPr>
          </w:p>
        </w:tc>
        <w:tc>
          <w:tcPr>
            <w:tcW w:w="1420" w:type="dxa"/>
            <w:vAlign w:val="bottom"/>
            <w:gridSpan w:val="3"/>
          </w:tcPr>
          <w:p>
            <w:pPr>
              <w:jc w:val="center"/>
              <w:ind w:right="700"/>
              <w:spacing w:after="0" w:line="148" w:lineRule="exact"/>
              <w:rPr>
                <w:sz w:val="20"/>
                <w:szCs w:val="20"/>
                <w:color w:val="auto"/>
              </w:rPr>
            </w:pPr>
            <w:r>
              <w:rPr>
                <w:rFonts w:ascii="Arial" w:cs="Arial" w:eastAsia="Arial" w:hAnsi="Arial"/>
                <w:sz w:val="14"/>
                <w:szCs w:val="14"/>
                <w:b w:val="1"/>
                <w:bCs w:val="1"/>
                <w:color w:val="auto"/>
                <w:w w:val="88"/>
              </w:rPr>
              <w:t>write-offs)</w:t>
            </w:r>
          </w:p>
        </w:tc>
        <w:tc>
          <w:tcPr>
            <w:tcW w:w="40" w:type="dxa"/>
            <w:vAlign w:val="bottom"/>
          </w:tcPr>
          <w:p>
            <w:pPr>
              <w:spacing w:after="0"/>
              <w:rPr>
                <w:sz w:val="14"/>
                <w:szCs w:val="14"/>
                <w:color w:val="auto"/>
              </w:rPr>
            </w:pPr>
          </w:p>
        </w:tc>
        <w:tc>
          <w:tcPr>
            <w:tcW w:w="720" w:type="dxa"/>
            <w:vAlign w:val="bottom"/>
            <w:gridSpan w:val="5"/>
          </w:tcPr>
          <w:p>
            <w:pPr>
              <w:jc w:val="right"/>
              <w:ind w:right="180"/>
              <w:spacing w:after="0" w:line="148" w:lineRule="exact"/>
              <w:rPr>
                <w:sz w:val="20"/>
                <w:szCs w:val="20"/>
                <w:color w:val="auto"/>
              </w:rPr>
            </w:pPr>
            <w:r>
              <w:rPr>
                <w:rFonts w:ascii="Arial" w:cs="Arial" w:eastAsia="Arial" w:hAnsi="Arial"/>
                <w:sz w:val="14"/>
                <w:szCs w:val="14"/>
                <w:b w:val="1"/>
                <w:bCs w:val="1"/>
                <w:color w:val="auto"/>
                <w:w w:val="83"/>
              </w:rPr>
              <w:t>Reserves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90"/>
        </w:trPr>
        <w:tc>
          <w:tcPr>
            <w:tcW w:w="4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Year ended December 31, 2013:</w:t>
            </w:r>
          </w:p>
        </w:tc>
        <w:tc>
          <w:tcPr>
            <w:tcW w:w="19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Allowance for doubtful accounts</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(74)</w:t>
            </w:r>
          </w:p>
        </w:tc>
        <w:tc>
          <w:tcPr>
            <w:tcW w:w="640" w:type="dxa"/>
            <w:vAlign w:val="bottom"/>
            <w:gridSpan w:val="4"/>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Allowance for doubtful accounts</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(117)</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(44)</w:t>
            </w:r>
          </w:p>
        </w:tc>
        <w:tc>
          <w:tcPr>
            <w:tcW w:w="640" w:type="dxa"/>
            <w:vAlign w:val="bottom"/>
            <w:gridSpan w:val="4"/>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Allowance for doubtful accounts</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6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(635)</w:t>
            </w:r>
          </w:p>
        </w:tc>
        <w:tc>
          <w:tcPr>
            <w:tcW w:w="640" w:type="dxa"/>
            <w:vAlign w:val="bottom"/>
            <w:gridSpan w:val="4"/>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charged to deductions from reserves represent the write-off of uncollectible balances.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Notes, issued by LMI, are guaranteed by Lantheus Intermediate, or the Parent Guarantor, and Lantheus Real Estate, one of Lantheus Intermediate’s wholly-owned consolidated subsidiaries, or the Guarantor Subsidiary. The guarantees are full and unconditional and joint and several. The following supplemental financial information sets forth, on a condensed consolidating basis, balance sheet information as of December 31, 2013 and 2012, and comprehensive (loss) income and cash flow information for the years ended December 31, 2013, 2012 and 2011 for Holdings, or the Parent Non-Guarantor, Lantheus Intermediate, LMI, the Guarantor Subsidiary and Lantheus Intermediate’s other wholly-owned subsidiaries, or the Non-Guarantor Subsidiaries. The supplemental financial information have been prepared on the same basis as the consolidated financial statements of Holdings. The equity method of accounting is followed within this financial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Holdings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Lantheus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(Non-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480" w:type="dxa"/>
            <w:vAlign w:val="bottom"/>
            <w:vMerge w:val="restart"/>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Guarantor</w:t>
            </w:r>
          </w:p>
        </w:tc>
        <w:tc>
          <w:tcPr>
            <w:tcW w:w="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LMI</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1"/>
              </w:rPr>
              <w:t>Parent)</w:t>
            </w:r>
          </w:p>
        </w:tc>
        <w:tc>
          <w:tcPr>
            <w:tcW w:w="10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6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94"/>
              </w:rPr>
              <w:t>(Issuer)</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Subsidiary</w:t>
            </w: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Subsidiaries</w:t>
            </w: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10,811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18,608</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79,245</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97,653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(237,088)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Intercompany note receivable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(235,162)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258,768</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33,358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425,820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25,492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399,037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399,037</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495,856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496,828</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(235,517)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(237,088)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24,674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(235,517)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(235,162)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258,768</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33,358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425,820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F-42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Lantheus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560" w:type="dxa"/>
            <w:vAlign w:val="bottom"/>
            <w:vMerge w:val="restart"/>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LMI</w:t>
            </w:r>
          </w:p>
        </w:tc>
        <w:tc>
          <w:tcPr>
            <w:tcW w:w="1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Guarantor</w:t>
            </w:r>
          </w:p>
        </w:tc>
        <w:tc>
          <w:tcPr>
            <w:tcW w:w="30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10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4"/>
              </w:rPr>
              <w:t>(Issuer)</w:t>
            </w:r>
          </w:p>
        </w:tc>
        <w:tc>
          <w:tcPr>
            <w:tcW w:w="120" w:type="dxa"/>
            <w:vAlign w:val="bottom"/>
          </w:tcPr>
          <w:p>
            <w:pPr>
              <w:spacing w:after="0"/>
              <w:rPr>
                <w:sz w:val="14"/>
                <w:szCs w:val="14"/>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Subsidiary</w:t>
            </w:r>
          </w:p>
        </w:tc>
        <w:tc>
          <w:tcPr>
            <w:tcW w:w="300" w:type="dxa"/>
            <w:vAlign w:val="bottom"/>
          </w:tcPr>
          <w:p>
            <w:pPr>
              <w:spacing w:after="0"/>
              <w:rPr>
                <w:sz w:val="14"/>
                <w:szCs w:val="14"/>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1,726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13,960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11,162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w w:val="79"/>
              </w:rPr>
              <w:t>1,726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28,660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23,195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109,573</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(174,353)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290,540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(172,627)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316,771</w:t>
            </w:r>
          </w:p>
        </w:tc>
        <w:tc>
          <w:tcPr>
            <w:tcW w:w="1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23,195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43,118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288,548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324,652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29,689</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w w:val="73"/>
              </w:rPr>
              <w:t>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w w:val="73"/>
              </w:rPr>
              <w:t>117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398,822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398,822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478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491,124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497,757</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(174,353)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23,195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(173,105)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(172,627)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316,771</w:t>
            </w:r>
          </w:p>
        </w:tc>
        <w:tc>
          <w:tcPr>
            <w:tcW w:w="1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23,195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43,118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288,548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324,652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F-43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Lantheus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Intermediate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(Non-</w:t>
            </w:r>
          </w:p>
        </w:tc>
        <w:tc>
          <w:tcPr>
            <w:tcW w:w="2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8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LMI</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920" w:type="dxa"/>
            <w:vAlign w:val="bottom"/>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w w:val="93"/>
              </w:rPr>
              <w:t>Guarantor)</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(Issuer)</w:t>
            </w: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8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4"/>
                <w:szCs w:val="14"/>
                <w:color w:val="auto"/>
              </w:rPr>
            </w:pPr>
          </w:p>
        </w:tc>
        <w:tc>
          <w:tcPr>
            <w:tcW w:w="90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w w:val="84"/>
              </w:rPr>
              <w:t>Eliminations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$243,079</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61,521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(20,928)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$283,672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169,334</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(20,928)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206,311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77,361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31,668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35,227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30,785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33,036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30,138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30,459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Proceeds from manufacturer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(8,876)</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(9,970)</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(43,011)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(42,915)</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(61,678)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(9,142)</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(61,555)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(60,749)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(60,541)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(61,555)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(61,678)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(61,555)</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Foreign currency translation, net of taxes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Equity in other comprehensive income (loss) of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(63,284)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(63,407)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 (63,407)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(6,486)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137,685</w:t>
            </w:r>
          </w:p>
        </w:tc>
        <w:tc>
          <w:tcPr>
            <w:tcW w:w="16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 (63,284)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right"/>
              <w:ind w:right="740"/>
              <w:spacing w:after="0"/>
              <w:rPr>
                <w:sz w:val="20"/>
                <w:szCs w:val="20"/>
                <w:color w:val="auto"/>
              </w:rPr>
            </w:pPr>
            <w:r>
              <w:rPr>
                <w:rFonts w:ascii="Arial" w:cs="Arial" w:eastAsia="Arial" w:hAnsi="Arial"/>
                <w:sz w:val="18"/>
                <w:szCs w:val="18"/>
                <w:color w:val="auto"/>
                <w:w w:val="97"/>
              </w:rPr>
              <w:t>F-44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LMI</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(in thousands)</w:t>
            </w:r>
          </w:p>
        </w:tc>
        <w:tc>
          <w:tcPr>
            <w:tcW w:w="3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1"/>
              </w:rPr>
              <w:t>Guarantor)</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(Issuer)</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6"/>
              </w:rPr>
              <w:t>Subsidiaries</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6"/>
              </w:rPr>
              <w:t>Eliminations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3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$241,406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66,614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(19,915)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$288,105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211,049</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212,908</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34,220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37,437</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32,520</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40,457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40,604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Proceeds from manufacturer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vMerge w:val="restart"/>
          </w:tcPr>
          <w:p>
            <w:pPr>
              <w:ind w:left="4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(42,014)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82,760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(42,556)</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(42,001)</w:t>
            </w: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other comprehensive income (loss)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964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964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(41,037)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(41,037)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(41,037)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80,068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(41,037)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87"/>
              </w:rPr>
              <w:t>(in thousands)</w:t>
            </w:r>
          </w:p>
        </w:tc>
        <w:tc>
          <w:tcPr>
            <w:tcW w:w="3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LMI</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Non-Guarantor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31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center"/>
              <w:ind w:right="260"/>
              <w:spacing w:after="0" w:line="148"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center"/>
              <w:ind w:right="160"/>
              <w:spacing w:after="0" w:line="148" w:lineRule="exact"/>
              <w:rPr>
                <w:sz w:val="20"/>
                <w:szCs w:val="20"/>
                <w:color w:val="auto"/>
              </w:rPr>
            </w:pPr>
            <w:r>
              <w:rPr>
                <w:rFonts w:ascii="Arial" w:cs="Arial" w:eastAsia="Arial" w:hAnsi="Arial"/>
                <w:sz w:val="14"/>
                <w:szCs w:val="14"/>
                <w:b w:val="1"/>
                <w:bCs w:val="1"/>
                <w:color w:val="auto"/>
                <w:w w:val="93"/>
              </w:rPr>
              <w:t>Guarantor)</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b w:val="1"/>
                <w:bCs w:val="1"/>
                <w:color w:val="auto"/>
              </w:rPr>
              <w:t>(Issuer)</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38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$ 304,305</w:t>
            </w:r>
          </w:p>
        </w:tc>
        <w:tc>
          <w:tcPr>
            <w:tcW w:w="3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ind w:left="38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74,966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(22,979)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$ 356,292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85,574</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34,665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40,387</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(18,813)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(37,658)</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(136,469)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(137,274)</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(51,609)</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(137,258)</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(136,469)</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Income tax expense related to items of other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comprehensive (loss) income</w:t>
            </w:r>
          </w:p>
        </w:tc>
        <w:tc>
          <w:tcPr>
            <w:tcW w:w="10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other comprehensive income (loss)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(136,806)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(136,806)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270,428</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F-46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Lantheus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(Non-</w:t>
            </w: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(Parent</w:t>
            </w:r>
          </w:p>
        </w:tc>
        <w:tc>
          <w:tcPr>
            <w:tcW w:w="6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LMI</w:t>
            </w:r>
          </w:p>
        </w:tc>
        <w:tc>
          <w:tcPr>
            <w:tcW w:w="2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Parent)</w:t>
            </w: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Guarantor)</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provided by (used in) operating</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106</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(17,273)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(15,572)</w:t>
            </w: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Proceeds from dividend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5,268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(5,268)</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to subsidiary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Intercompany note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Cash provided by (used in) investing</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220</w:t>
            </w:r>
          </w:p>
        </w:tc>
        <w:tc>
          <w:tcPr>
            <w:tcW w:w="2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 payable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Payments for common stock repurchase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from parent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Intercompany note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(5,300)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Cash provided by (used in) financing</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(1,094)</w:t>
            </w: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(5,912)</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w w:val="89"/>
              </w:rPr>
              <w:t>Increase (decrease) in cash and cash equivalents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183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(9,286)</w:t>
            </w:r>
          </w:p>
        </w:tc>
        <w:tc>
          <w:tcPr>
            <w:tcW w:w="20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beginning of year</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1,909</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6"/>
              </w:rPr>
              <w:t>$ 11,995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4,674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$ 18,578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F-47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Lantheus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LMI</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Guarantor)</w:t>
            </w: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(Issuer)</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Subsidiaries</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Cash provided by (used in) operating activities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(7,353)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Purchase of certificate of deposit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from subsidiary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Proceeds from dividend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2,949</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(4,629)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 payable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(1,530)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Payments for common stock repurchase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to parent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Payment of dividend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(10,823)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(2,039)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Effect of foreign exchange rate on cash</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(2,839)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20,474</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20,133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46,303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17,635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F-48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(Non-</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LMI</w:t>
            </w:r>
          </w:p>
        </w:tc>
        <w:tc>
          <w:tcPr>
            <w:tcW w:w="1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Parent)</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Guarantor)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(Issuer)</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600</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Proceeds from dividend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149,400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149,400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(298,800)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investing</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149,400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149,400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(298,800)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Consent solicitation fee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of deferred financing costs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Payments for preferred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(43,995)</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for common stock repurchase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Payment of dividend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(101,124)</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(150,000)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(150,000)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(101,124)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Cash provided by (used in) financing</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(145,219)</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(150,000)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300,000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exchange rate on cash</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1"/>
              </w:rPr>
              <w:t>Cash and cash equivalents, beginning of year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13,927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F-49</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12, 2014, the State of New York, BMS, LMI and a relator entered into a Stipulation and Settlement Agreement and other related agreements, or collectively the Settlement Documents, to resolve an investigation by the Office of the Attorney General of New York State, of claims relating to certain New York State and New York City tax matters and related claims under the New York False Claims Act.</w:t>
      </w:r>
    </w:p>
    <w:p>
      <w:pPr>
        <w:spacing w:after="0" w:line="12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claims issue arose during the period from January 1, 2002 through December 31, 2006, which predated the purchase of LMI and LMI’s business by Holdings, which was formed by investment funds affiliated with Avista, from BMS, or the Acquisition, on January 8, 2008. In connection with the Acquisition, BMS had agreed to indemnify the Company for certain liabilities relating to the period prior to the Acquisition, including all payments, penalties and expenses arising from this matter.</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Settlement Documents require BMS to pay (on behalf of itself and LMI) $6.3 million, and neither BMS nor LMI admitted any liability. Upon BMS’s payment of the settlement amounts, LMI will receive a full release with respect to the claims at issue. Because a predecessor entity to LMI was the “nominal person” for New York State and New York City tax purposes prior to the Acquisition, the Settlement Documents state that LMI is technically an obligor for the payment of the settlement amounts. The Settlement Documents provide, however, that BMS, on behalf of itself and LMI, will make all settlement payments.</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Company’s initial publication of the December 31, 2013 financial statements, the Company evaluated subsequent events for financial statement recognition purposes through March 25, 2014. In connection with the Company’s reissuance of its financial statements in the amendment to the registration statement on Form S-1, the Company evaluated subsequent events for disclosure purposes through April 28, 2014.</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20"/>
          </w:cols>
          <w:pgMar w:left="240" w:top="460"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65"/>
          <w:szCs w:val="65"/>
          <w:b w:val="1"/>
          <w:bCs w:val="1"/>
          <w:color w:val="auto"/>
        </w:rPr>
        <w:t>Lantheus Holdings,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795655</wp:posOffset>
            </wp:positionV>
            <wp:extent cx="7289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178435</wp:posOffset>
            </wp:positionV>
            <wp:extent cx="1715135" cy="4800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820"/>
        <w:spacing w:after="0"/>
        <w:rPr>
          <w:sz w:val="20"/>
          <w:szCs w:val="20"/>
          <w:color w:val="auto"/>
        </w:rPr>
      </w:pPr>
      <w:r>
        <w:rPr>
          <w:rFonts w:ascii="Arial" w:cs="Arial" w:eastAsia="Arial" w:hAnsi="Arial"/>
          <w:sz w:val="43"/>
          <w:szCs w:val="43"/>
          <w:b w:val="1"/>
          <w:bCs w:val="1"/>
          <w:color w:val="auto"/>
        </w:rPr>
        <w:t>Citigroup</w:t>
      </w:r>
    </w:p>
    <w:p>
      <w:pPr>
        <w:spacing w:after="0" w:line="55" w:lineRule="exact"/>
        <w:rPr>
          <w:sz w:val="20"/>
          <w:szCs w:val="20"/>
          <w:color w:val="auto"/>
        </w:rPr>
      </w:pPr>
    </w:p>
    <w:p>
      <w:pPr>
        <w:ind w:left="4940"/>
        <w:spacing w:after="0"/>
        <w:rPr>
          <w:sz w:val="20"/>
          <w:szCs w:val="20"/>
          <w:color w:val="auto"/>
        </w:rPr>
      </w:pPr>
      <w:r>
        <w:rPr>
          <w:rFonts w:ascii="Arial" w:cs="Arial" w:eastAsia="Arial" w:hAnsi="Arial"/>
          <w:sz w:val="43"/>
          <w:szCs w:val="43"/>
          <w:b w:val="1"/>
          <w:bCs w:val="1"/>
          <w:color w:val="auto"/>
        </w:rPr>
        <w:t>Jefferies</w:t>
      </w:r>
    </w:p>
    <w:p>
      <w:pPr>
        <w:spacing w:after="0" w:line="28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2014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expenses, other than underwriting commissions, expected to be incurred by Lantheus Holdings, Inc., or the Registrant, in connection with the issuance and distribution of the securities being registered under this Registration Statement are estimated to be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2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736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1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Registrant’s certificate of incorporation authorizes the indemnification of its officers and directors, consistent with Section 145 of the DGCL. 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transaction from which a director derived an improper personal benefit. As permitted by the DGCL, we have included in our certificate of incorporation a provision to eliminate the personal liability of our directors for monetary damages for breach of their fiduciary duties as directors, subject to certain exceptions. In addition, our certificate of incorporation and bylaws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Registrant intends to enter into indemnification agreements with each of its directors. These agreements, among other things, will require the Registrant to indemnify each director to the fullest extent permitted by Delaware law, including indemnification of expenses such as attorneys’ fees, judgments, fines and settlement amounts incurred by the director in any action or proceeding, including any action or proceeding by or in right of the Registrant, arising out of the person’s services as a director.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maintains directors’ and officers’ liability insurance for the benefit of its directors and officers.</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During the three years preceding the filing of this registration statement, the Registrant has not issued its securities without registration under the Securities Act except as described below. The following share numbers and prices of the Registrant’s common stock are based upon an assumed initial public offering price</w:t>
      </w:r>
    </w:p>
    <w:p>
      <w:pPr>
        <w:spacing w:after="0"/>
        <w:tabs>
          <w:tab w:leader="none" w:pos="66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(the midpoint of the price range set forth on the cover of this prospectus):</w:t>
      </w:r>
    </w:p>
    <w:p>
      <w:pPr>
        <w:spacing w:after="0" w:line="7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w w:val="85"/>
              </w:rPr>
              <w:t>On September 9, 2011, the Registrant issued</w:t>
            </w:r>
          </w:p>
        </w:tc>
        <w:tc>
          <w:tcPr>
            <w:tcW w:w="4000" w:type="dxa"/>
            <w:vAlign w:val="bottom"/>
            <w:gridSpan w:val="3"/>
          </w:tcPr>
          <w:p>
            <w:pPr>
              <w:ind w:left="580"/>
              <w:spacing w:after="0"/>
              <w:rPr>
                <w:sz w:val="20"/>
                <w:szCs w:val="20"/>
                <w:color w:val="auto"/>
              </w:rPr>
            </w:pPr>
            <w:r>
              <w:rPr>
                <w:rFonts w:ascii="Arial" w:cs="Arial" w:eastAsia="Arial" w:hAnsi="Arial"/>
                <w:sz w:val="18"/>
                <w:szCs w:val="18"/>
                <w:color w:val="auto"/>
                <w:w w:val="86"/>
              </w:rPr>
              <w:t>shares of common stock at an exercise price of $</w:t>
            </w: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w w:val="84"/>
              </w:rPr>
              <w:t>per share pursuant to a cashless exercise</w:t>
            </w:r>
          </w:p>
        </w:tc>
      </w:tr>
      <w:tr>
        <w:trPr>
          <w:trHeight w:val="222"/>
        </w:trPr>
        <w:tc>
          <w:tcPr>
            <w:tcW w:w="280" w:type="dxa"/>
            <w:vAlign w:val="bottom"/>
          </w:tcPr>
          <w:p>
            <w:pPr>
              <w:spacing w:after="0"/>
              <w:rPr>
                <w:sz w:val="19"/>
                <w:szCs w:val="19"/>
                <w:color w:val="auto"/>
              </w:rPr>
            </w:pPr>
          </w:p>
        </w:tc>
        <w:tc>
          <w:tcPr>
            <w:tcW w:w="7020" w:type="dxa"/>
            <w:vAlign w:val="bottom"/>
            <w:gridSpan w:val="4"/>
          </w:tcPr>
          <w:p>
            <w:pPr>
              <w:ind w:left="160"/>
              <w:spacing w:after="0"/>
              <w:rPr>
                <w:sz w:val="20"/>
                <w:szCs w:val="20"/>
                <w:color w:val="auto"/>
              </w:rPr>
            </w:pPr>
            <w:r>
              <w:rPr>
                <w:rFonts w:ascii="Arial" w:cs="Arial" w:eastAsia="Arial" w:hAnsi="Arial"/>
                <w:sz w:val="18"/>
                <w:szCs w:val="18"/>
                <w:color w:val="auto"/>
                <w:w w:val="95"/>
              </w:rPr>
              <w:t>of options held by a former employee. On March 13, 2012, the Registrant repurchased the</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86"/>
              </w:rPr>
              <w:t>shares at a price of $</w:t>
            </w:r>
          </w:p>
        </w:tc>
        <w:tc>
          <w:tcPr>
            <w:tcW w:w="1960" w:type="dxa"/>
            <w:vAlign w:val="bottom"/>
          </w:tcPr>
          <w:p>
            <w:pPr>
              <w:ind w:left="360"/>
              <w:spacing w:after="0"/>
              <w:rPr>
                <w:sz w:val="20"/>
                <w:szCs w:val="20"/>
                <w:color w:val="auto"/>
              </w:rPr>
            </w:pPr>
            <w:r>
              <w:rPr>
                <w:rFonts w:ascii="Arial" w:cs="Arial" w:eastAsia="Arial" w:hAnsi="Arial"/>
                <w:sz w:val="18"/>
                <w:szCs w:val="18"/>
                <w:color w:val="auto"/>
              </w:rPr>
              <w:t>per share.</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3180" w:type="dxa"/>
            <w:vAlign w:val="bottom"/>
          </w:tcPr>
          <w:p>
            <w:pPr>
              <w:ind w:left="160"/>
              <w:spacing w:after="0"/>
              <w:rPr>
                <w:sz w:val="20"/>
                <w:szCs w:val="20"/>
                <w:color w:val="auto"/>
              </w:rPr>
            </w:pPr>
            <w:r>
              <w:rPr>
                <w:rFonts w:ascii="Arial" w:cs="Arial" w:eastAsia="Arial" w:hAnsi="Arial"/>
                <w:sz w:val="18"/>
                <w:szCs w:val="18"/>
                <w:color w:val="auto"/>
                <w:w w:val="93"/>
              </w:rPr>
              <w:t>On April 27, 2012, the Registrant issued</w:t>
            </w:r>
          </w:p>
        </w:tc>
        <w:tc>
          <w:tcPr>
            <w:tcW w:w="100" w:type="dxa"/>
            <w:vAlign w:val="bottom"/>
          </w:tcPr>
          <w:p>
            <w:pPr>
              <w:spacing w:after="0"/>
              <w:rPr>
                <w:sz w:val="24"/>
                <w:szCs w:val="24"/>
                <w:color w:val="auto"/>
              </w:rPr>
            </w:pPr>
          </w:p>
        </w:tc>
        <w:tc>
          <w:tcPr>
            <w:tcW w:w="3740" w:type="dxa"/>
            <w:vAlign w:val="bottom"/>
            <w:gridSpan w:val="2"/>
          </w:tcPr>
          <w:p>
            <w:pPr>
              <w:ind w:left="280"/>
              <w:spacing w:after="0"/>
              <w:rPr>
                <w:sz w:val="20"/>
                <w:szCs w:val="20"/>
                <w:color w:val="auto"/>
              </w:rPr>
            </w:pPr>
            <w:r>
              <w:rPr>
                <w:rFonts w:ascii="Arial" w:cs="Arial" w:eastAsia="Arial" w:hAnsi="Arial"/>
                <w:sz w:val="18"/>
                <w:szCs w:val="18"/>
                <w:color w:val="auto"/>
                <w:w w:val="87"/>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87"/>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0"/>
              </w:rPr>
              <w:t>options held by a former employee. On June 29, 2012, the Registrant repurchased the</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rPr>
              <w:t>shares at a price of $</w:t>
            </w:r>
          </w:p>
        </w:tc>
        <w:tc>
          <w:tcPr>
            <w:tcW w:w="1960" w:type="dxa"/>
            <w:vAlign w:val="bottom"/>
          </w:tcPr>
          <w:p>
            <w:pPr>
              <w:ind w:left="40"/>
              <w:spacing w:after="0"/>
              <w:rPr>
                <w:sz w:val="20"/>
                <w:szCs w:val="20"/>
                <w:color w:val="auto"/>
              </w:rPr>
            </w:pPr>
            <w:r>
              <w:rPr>
                <w:rFonts w:ascii="Arial" w:cs="Arial" w:eastAsia="Arial" w:hAnsi="Arial"/>
                <w:sz w:val="18"/>
                <w:szCs w:val="18"/>
                <w:color w:val="auto"/>
              </w:rPr>
              <w:t>per share.</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3180" w:type="dxa"/>
            <w:vAlign w:val="bottom"/>
          </w:tcPr>
          <w:p>
            <w:pPr>
              <w:ind w:left="160"/>
              <w:spacing w:after="0"/>
              <w:rPr>
                <w:sz w:val="20"/>
                <w:szCs w:val="20"/>
                <w:color w:val="auto"/>
              </w:rPr>
            </w:pPr>
            <w:r>
              <w:rPr>
                <w:rFonts w:ascii="Arial" w:cs="Arial" w:eastAsia="Arial" w:hAnsi="Arial"/>
                <w:sz w:val="18"/>
                <w:szCs w:val="18"/>
                <w:color w:val="auto"/>
                <w:w w:val="97"/>
              </w:rPr>
              <w:t>On May 1, 2012, the Registrant issued</w:t>
            </w:r>
          </w:p>
        </w:tc>
        <w:tc>
          <w:tcPr>
            <w:tcW w:w="100" w:type="dxa"/>
            <w:vAlign w:val="bottom"/>
          </w:tcPr>
          <w:p>
            <w:pPr>
              <w:spacing w:after="0"/>
              <w:rPr>
                <w:sz w:val="24"/>
                <w:szCs w:val="24"/>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0"/>
              </w:rPr>
              <w:t>shares of common stock at an exercise price of $</w:t>
            </w:r>
          </w:p>
        </w:tc>
        <w:tc>
          <w:tcPr>
            <w:tcW w:w="3480" w:type="dxa"/>
            <w:vAlign w:val="bottom"/>
            <w:gridSpan w:val="3"/>
          </w:tcPr>
          <w:p>
            <w:pPr>
              <w:ind w:left="220"/>
              <w:spacing w:after="0"/>
              <w:rPr>
                <w:sz w:val="20"/>
                <w:szCs w:val="20"/>
                <w:color w:val="auto"/>
              </w:rPr>
            </w:pPr>
            <w:r>
              <w:rPr>
                <w:rFonts w:ascii="Arial" w:cs="Arial" w:eastAsia="Arial" w:hAnsi="Arial"/>
                <w:sz w:val="18"/>
                <w:szCs w:val="18"/>
                <w:color w:val="auto"/>
                <w:w w:val="91"/>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0"/>
              </w:rPr>
              <w:t>options held by a former employee. On June 29, 2012, the Registrant repurchased the</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rPr>
              <w:t>shares at a price of $</w:t>
            </w:r>
          </w:p>
        </w:tc>
        <w:tc>
          <w:tcPr>
            <w:tcW w:w="1960" w:type="dxa"/>
            <w:vAlign w:val="bottom"/>
          </w:tcPr>
          <w:p>
            <w:pPr>
              <w:ind w:left="40"/>
              <w:spacing w:after="0"/>
              <w:rPr>
                <w:sz w:val="20"/>
                <w:szCs w:val="20"/>
                <w:color w:val="auto"/>
              </w:rPr>
            </w:pPr>
            <w:r>
              <w:rPr>
                <w:rFonts w:ascii="Arial" w:cs="Arial" w:eastAsia="Arial" w:hAnsi="Arial"/>
                <w:sz w:val="18"/>
                <w:szCs w:val="18"/>
                <w:color w:val="auto"/>
              </w:rPr>
              <w:t>per share.</w:t>
            </w: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3180" w:type="dxa"/>
            <w:vAlign w:val="bottom"/>
          </w:tcPr>
          <w:p>
            <w:pPr>
              <w:ind w:left="160"/>
              <w:spacing w:after="0"/>
              <w:rPr>
                <w:sz w:val="20"/>
                <w:szCs w:val="20"/>
                <w:color w:val="auto"/>
              </w:rPr>
            </w:pPr>
            <w:r>
              <w:rPr>
                <w:rFonts w:ascii="Arial" w:cs="Arial" w:eastAsia="Arial" w:hAnsi="Arial"/>
                <w:sz w:val="18"/>
                <w:szCs w:val="18"/>
                <w:color w:val="auto"/>
              </w:rPr>
              <w:t>On June 2, 2012, the Registrant sold</w:t>
            </w:r>
          </w:p>
        </w:tc>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shares of common stock at a price of $</w:t>
            </w:r>
          </w:p>
        </w:tc>
        <w:tc>
          <w:tcPr>
            <w:tcW w:w="4120" w:type="dxa"/>
            <w:vAlign w:val="bottom"/>
            <w:gridSpan w:val="4"/>
          </w:tcPr>
          <w:p>
            <w:pPr>
              <w:ind w:left="20"/>
              <w:spacing w:after="0"/>
              <w:rPr>
                <w:sz w:val="20"/>
                <w:szCs w:val="20"/>
                <w:color w:val="auto"/>
              </w:rPr>
            </w:pPr>
            <w:r>
              <w:rPr>
                <w:rFonts w:ascii="Arial" w:cs="Arial" w:eastAsia="Arial" w:hAnsi="Arial"/>
                <w:sz w:val="18"/>
                <w:szCs w:val="18"/>
                <w:color w:val="auto"/>
              </w:rPr>
              <w:t>per share to a new director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5.</w:t>
            </w:r>
          </w:p>
        </w:tc>
        <w:tc>
          <w:tcPr>
            <w:tcW w:w="3180" w:type="dxa"/>
            <w:vAlign w:val="bottom"/>
          </w:tcPr>
          <w:p>
            <w:pPr>
              <w:ind w:left="160"/>
              <w:spacing w:after="0"/>
              <w:rPr>
                <w:sz w:val="20"/>
                <w:szCs w:val="20"/>
                <w:color w:val="auto"/>
              </w:rPr>
            </w:pPr>
            <w:r>
              <w:rPr>
                <w:rFonts w:ascii="Arial" w:cs="Arial" w:eastAsia="Arial" w:hAnsi="Arial"/>
                <w:sz w:val="18"/>
                <w:szCs w:val="18"/>
                <w:color w:val="auto"/>
                <w:w w:val="95"/>
              </w:rPr>
              <w:t>On July 10, 2012, the Registrant issued</w:t>
            </w:r>
          </w:p>
        </w:tc>
        <w:tc>
          <w:tcPr>
            <w:tcW w:w="100" w:type="dxa"/>
            <w:vAlign w:val="bottom"/>
          </w:tcPr>
          <w:p>
            <w:pPr>
              <w:spacing w:after="0"/>
              <w:rPr>
                <w:sz w:val="24"/>
                <w:szCs w:val="24"/>
                <w:color w:val="auto"/>
              </w:rPr>
            </w:pPr>
          </w:p>
        </w:tc>
        <w:tc>
          <w:tcPr>
            <w:tcW w:w="3740" w:type="dxa"/>
            <w:vAlign w:val="bottom"/>
            <w:gridSpan w:val="2"/>
          </w:tcPr>
          <w:p>
            <w:pPr>
              <w:ind w:left="220"/>
              <w:spacing w:after="0"/>
              <w:rPr>
                <w:sz w:val="20"/>
                <w:szCs w:val="20"/>
                <w:color w:val="auto"/>
              </w:rPr>
            </w:pPr>
            <w:r>
              <w:rPr>
                <w:rFonts w:ascii="Arial" w:cs="Arial" w:eastAsia="Arial" w:hAnsi="Arial"/>
                <w:sz w:val="18"/>
                <w:szCs w:val="18"/>
                <w:color w:val="auto"/>
                <w:w w:val="89"/>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w w:val="90"/>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87"/>
              </w:rPr>
              <w:t>options held by a former employee. On February 4, 2013, the Registrant repurchased the</w:t>
            </w:r>
          </w:p>
        </w:tc>
        <w:tc>
          <w:tcPr>
            <w:tcW w:w="2160" w:type="dxa"/>
            <w:vAlign w:val="bottom"/>
            <w:gridSpan w:val="3"/>
          </w:tcPr>
          <w:p>
            <w:pPr>
              <w:ind w:left="580"/>
              <w:spacing w:after="0"/>
              <w:rPr>
                <w:sz w:val="20"/>
                <w:szCs w:val="20"/>
                <w:color w:val="auto"/>
              </w:rPr>
            </w:pPr>
            <w:r>
              <w:rPr>
                <w:rFonts w:ascii="Arial" w:cs="Arial" w:eastAsia="Arial" w:hAnsi="Arial"/>
                <w:sz w:val="18"/>
                <w:szCs w:val="18"/>
                <w:color w:val="auto"/>
              </w:rPr>
              <w:t>shares at a price of</w:t>
            </w:r>
          </w:p>
        </w:tc>
        <w:tc>
          <w:tcPr>
            <w:tcW w:w="1960" w:type="dxa"/>
            <w:vAlign w:val="bottom"/>
          </w:tcPr>
          <w:p>
            <w:pPr>
              <w:ind w:left="300"/>
              <w:spacing w:after="0"/>
              <w:rPr>
                <w:sz w:val="20"/>
                <w:szCs w:val="20"/>
                <w:color w:val="auto"/>
              </w:rPr>
            </w:pPr>
            <w:r>
              <w:rPr>
                <w:rFonts w:ascii="Arial" w:cs="Arial" w:eastAsia="Arial" w:hAnsi="Arial"/>
                <w:sz w:val="18"/>
                <w:szCs w:val="18"/>
                <w:color w:val="auto"/>
              </w:rPr>
              <w:t>per share.</w:t>
            </w: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6.</w:t>
            </w:r>
          </w:p>
        </w:tc>
        <w:tc>
          <w:tcPr>
            <w:tcW w:w="3180" w:type="dxa"/>
            <w:vAlign w:val="bottom"/>
          </w:tcPr>
          <w:p>
            <w:pPr>
              <w:ind w:left="160"/>
              <w:spacing w:after="0"/>
              <w:rPr>
                <w:sz w:val="20"/>
                <w:szCs w:val="20"/>
                <w:color w:val="auto"/>
              </w:rPr>
            </w:pPr>
            <w:r>
              <w:rPr>
                <w:rFonts w:ascii="Arial" w:cs="Arial" w:eastAsia="Arial" w:hAnsi="Arial"/>
                <w:sz w:val="18"/>
                <w:szCs w:val="18"/>
                <w:color w:val="auto"/>
              </w:rPr>
              <w:t>On October 12, 2012, the Registrant</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88"/>
              </w:rPr>
              <w:t>sold shares of common stock at a price of $</w:t>
            </w:r>
          </w:p>
        </w:tc>
        <w:tc>
          <w:tcPr>
            <w:tcW w:w="4120" w:type="dxa"/>
            <w:vAlign w:val="bottom"/>
            <w:gridSpan w:val="4"/>
          </w:tcPr>
          <w:p>
            <w:pPr>
              <w:ind w:left="340"/>
              <w:spacing w:after="0"/>
              <w:rPr>
                <w:sz w:val="20"/>
                <w:szCs w:val="20"/>
                <w:color w:val="auto"/>
              </w:rPr>
            </w:pPr>
            <w:r>
              <w:rPr>
                <w:rFonts w:ascii="Arial" w:cs="Arial" w:eastAsia="Arial" w:hAnsi="Arial"/>
                <w:sz w:val="18"/>
                <w:szCs w:val="18"/>
                <w:color w:val="auto"/>
              </w:rPr>
              <w:t>per share to a new director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7.</w:t>
            </w:r>
          </w:p>
        </w:tc>
        <w:tc>
          <w:tcPr>
            <w:tcW w:w="3180" w:type="dxa"/>
            <w:vAlign w:val="bottom"/>
          </w:tcPr>
          <w:p>
            <w:pPr>
              <w:ind w:left="160"/>
              <w:spacing w:after="0"/>
              <w:rPr>
                <w:sz w:val="20"/>
                <w:szCs w:val="20"/>
                <w:color w:val="auto"/>
              </w:rPr>
            </w:pPr>
            <w:r>
              <w:rPr>
                <w:rFonts w:ascii="Arial" w:cs="Arial" w:eastAsia="Arial" w:hAnsi="Arial"/>
                <w:sz w:val="18"/>
                <w:szCs w:val="18"/>
                <w:color w:val="auto"/>
                <w:w w:val="90"/>
              </w:rPr>
              <w:t>On March 22, 2013, the Registrant issued</w:t>
            </w:r>
          </w:p>
        </w:tc>
        <w:tc>
          <w:tcPr>
            <w:tcW w:w="100" w:type="dxa"/>
            <w:vAlign w:val="bottom"/>
          </w:tcPr>
          <w:p>
            <w:pPr>
              <w:spacing w:after="0"/>
              <w:rPr>
                <w:sz w:val="24"/>
                <w:szCs w:val="24"/>
                <w:color w:val="auto"/>
              </w:rPr>
            </w:pPr>
          </w:p>
        </w:tc>
        <w:tc>
          <w:tcPr>
            <w:tcW w:w="4000" w:type="dxa"/>
            <w:vAlign w:val="bottom"/>
            <w:gridSpan w:val="3"/>
          </w:tcPr>
          <w:p>
            <w:pPr>
              <w:ind w:left="380"/>
              <w:spacing w:after="0"/>
              <w:rPr>
                <w:sz w:val="20"/>
                <w:szCs w:val="20"/>
                <w:color w:val="auto"/>
              </w:rPr>
            </w:pPr>
            <w:r>
              <w:rPr>
                <w:rFonts w:ascii="Arial" w:cs="Arial" w:eastAsia="Arial" w:hAnsi="Arial"/>
                <w:sz w:val="18"/>
                <w:szCs w:val="18"/>
                <w:color w:val="auto"/>
                <w:w w:val="92"/>
              </w:rPr>
              <w:t>shares of common stock at an exercise price of $</w:t>
            </w: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w w:val="85"/>
              </w:rPr>
              <w:t>per share pursuant to a cashless exercise of</w:t>
            </w:r>
          </w:p>
        </w:tc>
      </w:tr>
      <w:tr>
        <w:trPr>
          <w:trHeight w:val="222"/>
        </w:trPr>
        <w:tc>
          <w:tcPr>
            <w:tcW w:w="2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options held by a former employee.</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8.</w:t>
            </w:r>
          </w:p>
        </w:tc>
        <w:tc>
          <w:tcPr>
            <w:tcW w:w="3180" w:type="dxa"/>
            <w:vAlign w:val="bottom"/>
          </w:tcPr>
          <w:p>
            <w:pPr>
              <w:ind w:left="160"/>
              <w:spacing w:after="0"/>
              <w:rPr>
                <w:sz w:val="20"/>
                <w:szCs w:val="20"/>
                <w:color w:val="auto"/>
              </w:rPr>
            </w:pPr>
            <w:r>
              <w:rPr>
                <w:rFonts w:ascii="Arial" w:cs="Arial" w:eastAsia="Arial" w:hAnsi="Arial"/>
                <w:sz w:val="18"/>
                <w:szCs w:val="18"/>
                <w:color w:val="auto"/>
              </w:rPr>
              <w:t>On May 8, 2013, the Registrant sold</w:t>
            </w:r>
          </w:p>
        </w:tc>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shares of common stock at a price of $</w:t>
            </w:r>
          </w:p>
        </w:tc>
        <w:tc>
          <w:tcPr>
            <w:tcW w:w="4120" w:type="dxa"/>
            <w:vAlign w:val="bottom"/>
            <w:gridSpan w:val="4"/>
          </w:tcPr>
          <w:p>
            <w:pPr>
              <w:ind w:left="20"/>
              <w:spacing w:after="0"/>
              <w:rPr>
                <w:sz w:val="20"/>
                <w:szCs w:val="20"/>
                <w:color w:val="auto"/>
              </w:rPr>
            </w:pPr>
            <w:r>
              <w:rPr>
                <w:rFonts w:ascii="Arial" w:cs="Arial" w:eastAsia="Arial" w:hAnsi="Arial"/>
                <w:sz w:val="18"/>
                <w:szCs w:val="18"/>
                <w:color w:val="auto"/>
              </w:rPr>
              <w:t>per share to a new officer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9.</w:t>
            </w:r>
          </w:p>
        </w:tc>
        <w:tc>
          <w:tcPr>
            <w:tcW w:w="3180" w:type="dxa"/>
            <w:vAlign w:val="bottom"/>
          </w:tcPr>
          <w:p>
            <w:pPr>
              <w:ind w:left="160"/>
              <w:spacing w:after="0"/>
              <w:rPr>
                <w:sz w:val="20"/>
                <w:szCs w:val="20"/>
                <w:color w:val="auto"/>
              </w:rPr>
            </w:pPr>
            <w:r>
              <w:rPr>
                <w:rFonts w:ascii="Arial" w:cs="Arial" w:eastAsia="Arial" w:hAnsi="Arial"/>
                <w:sz w:val="18"/>
                <w:szCs w:val="18"/>
                <w:color w:val="auto"/>
                <w:w w:val="94"/>
              </w:rPr>
              <w:t>On May 14, 2013, the Registrant issued</w:t>
            </w:r>
          </w:p>
        </w:tc>
        <w:tc>
          <w:tcPr>
            <w:tcW w:w="100" w:type="dxa"/>
            <w:vAlign w:val="bottom"/>
          </w:tcPr>
          <w:p>
            <w:pPr>
              <w:spacing w:after="0"/>
              <w:rPr>
                <w:sz w:val="24"/>
                <w:szCs w:val="24"/>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w w:val="88"/>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60"/>
              <w:spacing w:after="0"/>
              <w:rPr>
                <w:sz w:val="20"/>
                <w:szCs w:val="20"/>
                <w:color w:val="auto"/>
              </w:rPr>
            </w:pPr>
            <w:r>
              <w:rPr>
                <w:rFonts w:ascii="Arial" w:cs="Arial" w:eastAsia="Arial" w:hAnsi="Arial"/>
                <w:sz w:val="18"/>
                <w:szCs w:val="18"/>
                <w:color w:val="auto"/>
                <w:w w:val="88"/>
              </w:rPr>
              <w:t>per share pursuant to a cashless exercise of</w:t>
            </w:r>
          </w:p>
        </w:tc>
      </w:tr>
      <w:tr>
        <w:trPr>
          <w:trHeight w:val="222"/>
        </w:trPr>
        <w:tc>
          <w:tcPr>
            <w:tcW w:w="2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options held by a former employee.</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60" w:right="259" w:bottom="1440" w:gutter="0" w:footer="0" w:header="0"/>
        </w:sectPr>
      </w:pPr>
    </w:p>
    <w:p>
      <w:pPr>
        <w:spacing w:after="0" w:line="33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color w:val="auto"/>
        </w:rPr>
        <w:t>10.</w:t>
        <w:tab/>
        <w:t>On February 24, 2013, the Registrant issued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at an exercise price of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per share pursuant to a cashless exercise of</w:t>
      </w:r>
    </w:p>
    <w:p>
      <w:pPr>
        <w:spacing w:after="0" w:line="50" w:lineRule="exact"/>
        <w:rPr>
          <w:sz w:val="20"/>
          <w:szCs w:val="20"/>
          <w:color w:val="auto"/>
        </w:rPr>
      </w:pPr>
    </w:p>
    <w:p>
      <w:pPr>
        <w:sectPr>
          <w:pgSz w:w="11900" w:h="16838" w:orient="portrait"/>
          <w:cols w:equalWidth="0" w:num="3">
            <w:col w:w="4000" w:space="580"/>
            <w:col w:w="3400" w:space="400"/>
            <w:col w:w="3020"/>
          </w:cols>
          <w:pgMar w:left="240" w:top="460" w:right="2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options held by a former employee.</w:t>
      </w:r>
    </w:p>
    <w:p>
      <w:pPr>
        <w:sectPr>
          <w:pgSz w:w="11900" w:h="16838" w:orient="portrait"/>
          <w:cols w:equalWidth="0" w:num="1">
            <w:col w:w="11400"/>
          </w:cols>
          <w:pgMar w:left="240" w:top="460" w:right="259" w:bottom="1440" w:gutter="0" w:footer="0" w:header="0"/>
          <w:type w:val="continuous"/>
        </w:sectPr>
      </w:pPr>
    </w:p>
    <w:p>
      <w:pPr>
        <w:spacing w:after="0" w:line="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color w:val="auto"/>
        </w:rPr>
        <w:t>11.</w:t>
        <w:tab/>
        <w:t>On February 27, 2014, the Registrant issued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at an exercise price of $</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per share pursuant to a cashless exercise of</w:t>
      </w:r>
    </w:p>
    <w:p>
      <w:pPr>
        <w:spacing w:after="0" w:line="50" w:lineRule="exact"/>
        <w:rPr>
          <w:sz w:val="20"/>
          <w:szCs w:val="20"/>
          <w:color w:val="auto"/>
        </w:rPr>
      </w:pPr>
    </w:p>
    <w:p>
      <w:pPr>
        <w:sectPr>
          <w:pgSz w:w="11900" w:h="16838" w:orient="portrait"/>
          <w:cols w:equalWidth="0" w:num="3">
            <w:col w:w="4000" w:space="580"/>
            <w:col w:w="3400" w:space="400"/>
            <w:col w:w="3020"/>
          </w:cols>
          <w:pgMar w:left="240" w:top="460" w:right="2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options held by a former employee.</w:t>
      </w:r>
    </w:p>
    <w:p>
      <w:pPr>
        <w:sectPr>
          <w:pgSz w:w="11900" w:h="16838" w:orient="portrait"/>
          <w:cols w:equalWidth="0" w:num="1">
            <w:col w:w="11400"/>
          </w:cols>
          <w:pgMar w:left="240" w:top="460" w:right="259" w:bottom="1440" w:gutter="0" w:footer="0" w:header="0"/>
          <w:type w:val="continuous"/>
        </w:sectPr>
      </w:pPr>
    </w:p>
    <w:p>
      <w:pPr>
        <w:spacing w:after="0" w:line="17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issuances of the above securities were deemed to be exempt from registration under the Securities Act in reliance upon Section 4(2) of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Lantheus Holdings, Inc., to information about Lantheus Holdings, Inc.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77"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00" w:type="dxa"/>
            <w:vAlign w:val="bottom"/>
          </w:tcPr>
          <w:p>
            <w:pPr>
              <w:spacing w:after="0"/>
              <w:rPr>
                <w:sz w:val="14"/>
                <w:szCs w:val="14"/>
                <w:color w:val="auto"/>
              </w:rPr>
            </w:pPr>
          </w:p>
        </w:tc>
        <w:tc>
          <w:tcPr>
            <w:tcW w:w="102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316"/>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1.1*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Amended and Restated Certificate of Incorporation of Lantheus Holdings, Inc.</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Amended and Restated Bylaws of Lantheus Holdings, Inc.</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4.1*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4.2</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3"/>
              </w:rPr>
              <w:t>Indenture, dated as of May 10, 2010, among Lantheus Medical Imaging, Inc., Lantheus MI Intermediate, Inc. and Lantheus MI Real</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6"/>
              </w:rPr>
              <w:t>Estate, LLC as guarantors, and Wilmington Trust FSB, as trustee (incorporated by reference to Exhibit 4.1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Imaging, Inc.’s Registration Statement on Form S-4 filed with the Commission on October 6, 2010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4.3</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First Supplemental Indenture, dated as of March 14, 2011,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Lantheus MI Real Estate, LLC as guarantors, and Wilmington Trust FSB, as trustee (incorporated by reference to Exhibit 4.1 to Lantheus</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Medical Imaging, Inc.’s Current Report on Form 8-K filed with the Commission on March 16, 2011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4.4</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Second Supplemental Indenture, dated as of March 21, 2011,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Lantheus MI Real Estate, LLC as guarantors, and Wilmington Trust FSB, as trustee (incorporated by reference to Exhibit 4.1 to Lantheus</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Medical Imaging, Inc.’s Current Report on Form 8-K filed with the Commission on March 21, 2011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4.3</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0"/>
              </w:rPr>
              <w:t>Registration Rights Agreement, dated May 10, 2010, by and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Lantheus MI Real Estate, LLC, as guarantors, and Jefferies &amp; Company, Inc. (incorporated by reference to Exhibit 4.2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Imaging, Inc.’s Registration Statement on Form S-4 filed with the Commission on October 6, 2010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4.5</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Registration Rights Agreement, dated March 21, 2011, by and among Lantheus Medical Imaging, Inc., Jefferies &amp; Company, Inc., as</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representative of the initial purchasers and the guarantors party thereto (incorporated by reference to Exhibit 4.2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Imaging, Inc.’s Current Report on Form 8-K filed with the Commission on March 21, 2011 (file number 333-169785)).</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9.750% Senior Notes due 2017 (included in Exhibit 4.2).</w:t>
      </w:r>
    </w:p>
    <w:p>
      <w:pPr>
        <w:spacing w:after="0" w:line="11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Weil, Gotshal &amp; Manges LLP.</w:t>
      </w:r>
    </w:p>
    <w:p>
      <w:pPr>
        <w:spacing w:after="0" w:line="117" w:lineRule="exact"/>
        <w:rPr>
          <w:sz w:val="20"/>
          <w:szCs w:val="20"/>
          <w:color w:val="auto"/>
        </w:rPr>
      </w:pPr>
    </w:p>
    <w:p>
      <w:pPr>
        <w:ind w:left="1160" w:right="180" w:hanging="860"/>
        <w:spacing w:after="0" w:line="306"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Advisory Services and Monitoring Agreement, dated January 8, 2007, by and between ACP Lantern Acquisition, Inc. (now known as Lantheus Medical Imaging, Inc.) and Avista Capital Holdings, L.P. (incorporated by reference to Exhibit 10.3 to Lantheus Medical Imaging, Inc.’s Registration Statement on Form S-4 filed with the Commission on October 6, 2010 (file number 333-169785)).</w:t>
      </w:r>
    </w:p>
    <w:p>
      <w:pPr>
        <w:spacing w:after="0" w:line="53" w:lineRule="exact"/>
        <w:rPr>
          <w:sz w:val="20"/>
          <w:szCs w:val="20"/>
          <w:color w:val="auto"/>
        </w:rPr>
      </w:pPr>
    </w:p>
    <w:p>
      <w:pPr>
        <w:ind w:left="1160" w:right="40" w:hanging="860"/>
        <w:spacing w:after="0" w:line="256"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Shareholders Agreement, dated as of February 26, 2008 among Lantheus MI Holdings, Inc., Avista Capital Partners, L.P., Avista Capital Partners (Offshore), L.P., ACP-Lantern Co-Invest, LLC and certain management shareholders named therein (incorporated by reference to Exhibit 10.4 to Lantheus Medical Imaging, Inc.’s Registration Statement on Form S-4 filed with the Commission on October 6, 2010 (file number 333-169785)).</w:t>
      </w:r>
    </w:p>
    <w:p>
      <w:pPr>
        <w:spacing w:after="0" w:line="89" w:lineRule="exact"/>
        <w:rPr>
          <w:sz w:val="20"/>
          <w:szCs w:val="20"/>
          <w:color w:val="auto"/>
        </w:rPr>
      </w:pPr>
    </w:p>
    <w:p>
      <w:pPr>
        <w:ind w:left="1160" w:right="280" w:hanging="860"/>
        <w:spacing w:after="0" w:line="256"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Employee Shareholders Agreement, dated as of May 8, 2008, among Lantheus MI Holdings, Inc., Avista Capital Partners, L.P., Avista Capital Partners (Offshore), L.P., ACP-Lantern Co-Invest, LLC and certain employee shareholders named therein (incorporated by reference to Exhibit 10.5 to Lantheus Medical Imaging, Inc.’s Registration Statement on Form S-4 filed with the Commission on October 6, 2010 (file number 333-169785)).</w:t>
      </w:r>
    </w:p>
    <w:p>
      <w:pPr>
        <w:spacing w:after="0" w:line="89" w:lineRule="exact"/>
        <w:rPr>
          <w:sz w:val="20"/>
          <w:szCs w:val="20"/>
          <w:color w:val="auto"/>
        </w:rPr>
      </w:pPr>
    </w:p>
    <w:p>
      <w:pPr>
        <w:ind w:left="1160" w:right="180" w:hanging="948"/>
        <w:spacing w:after="0" w:line="259"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Sales Agreement, dated as of April 1, 2009, between Lantheus Medical Imaging, Inc. and NTP Radioisotopes (Pty) Ltd. (incorporated by reference to Exhibit 10.9 to Lantheus Medical Imaging, Inc.’s Registration Statement on Form S-4 filed with the Commission on December 23, 2010 (file number 333-169785)).</w:t>
      </w:r>
    </w:p>
    <w:p>
      <w:pPr>
        <w:spacing w:after="0" w:line="86" w:lineRule="exact"/>
        <w:rPr>
          <w:sz w:val="20"/>
          <w:szCs w:val="20"/>
          <w:color w:val="auto"/>
        </w:rPr>
      </w:pPr>
    </w:p>
    <w:p>
      <w:pPr>
        <w:jc w:val="both"/>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No. 1 to Sales Agreement, dated as of January 1, 2010, between Lantheus Medical Imaging, Inc. and NTP Radioisotopes (Pty) Ltd. (incorporated by reference to Exhibit 10.10 to Lantheus Medical Imaging, Inc.’s Registration Statement on Form S-4 filed with the Commission on December 1, 2010 (file number 333-169785)).</w:t>
      </w:r>
    </w:p>
    <w:p>
      <w:pPr>
        <w:spacing w:after="0" w:line="86"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Amendment No. 2 to Sales Agreement, dated as of January 1, 2010, between Lantheus Medical Imaging, Inc. and NTP Radioisotopes (Pty) Ltd. (incorporated by reference to Exhibit 10.1 to Lantheus Medical Imaging, Inc.’s Quarterly Report on Form 10-Q for the quarterly period ended March 31, 2011 (file number 333-169785)).</w:t>
      </w:r>
    </w:p>
    <w:p>
      <w:pPr>
        <w:spacing w:after="0" w:line="86" w:lineRule="exact"/>
        <w:rPr>
          <w:sz w:val="20"/>
          <w:szCs w:val="20"/>
          <w:color w:val="auto"/>
        </w:rPr>
      </w:pPr>
    </w:p>
    <w:p>
      <w:pPr>
        <w:jc w:val="both"/>
        <w:ind w:left="1160" w:hanging="948"/>
        <w:spacing w:after="0" w:line="306"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Purchase and Supply Agreement, dated as of April 1, 2010, between Lantheus Medical Imaging, Inc. and Nordion (Canada) Inc. (formerly known as MDS Nordion, a division of MDS (Canada) Inc.) (incorporated by reference to Exhibit 10.12 to Lantheus Medical Imaging, Inc.’s Registration Statement on Form S-4 filed with the Commission on December 23, 2010 (file number 333-169785)).</w:t>
      </w:r>
    </w:p>
    <w:p>
      <w:pPr>
        <w:spacing w:after="0" w:line="53" w:lineRule="exact"/>
        <w:rPr>
          <w:sz w:val="20"/>
          <w:szCs w:val="20"/>
          <w:color w:val="auto"/>
        </w:rPr>
      </w:pPr>
    </w:p>
    <w:p>
      <w:pPr>
        <w:ind w:left="1160" w:right="100" w:hanging="948"/>
        <w:spacing w:after="0" w:line="259"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No. 1 to the Purchase and Supply Agreement, dated as of December 1, 2010, between Lantheus Medical Imaging, Inc. and Nordion (Canada) Inc. (incorporated by reference to Exhibit 10.13 to Lantheus Medical Imaging, Inc.’s Annual Report on Form 10-K for the fiscal year ended December 31, 2010 (file number 333-169785)).</w:t>
      </w:r>
    </w:p>
    <w:p>
      <w:pPr>
        <w:spacing w:after="0" w:line="86" w:lineRule="exact"/>
        <w:rPr>
          <w:sz w:val="20"/>
          <w:szCs w:val="20"/>
          <w:color w:val="auto"/>
        </w:rPr>
      </w:pPr>
    </w:p>
    <w:p>
      <w:pPr>
        <w:jc w:val="both"/>
        <w:ind w:left="1160" w:right="160" w:hanging="948"/>
        <w:spacing w:after="0" w:line="259"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Cardiolite License and Supply Agreement, dated January 1, 2004, by and between Lantheus Medical Imaging, Inc. and Cardinal Health 414, LLC (incorporated by reference to Exhibit 10.13 to Lantheus Medical Imaging, Inc.’s Registration Statement on Form S-4 filed with the Commission on December 23, 2010 (file number 333-169785)).</w:t>
      </w:r>
    </w:p>
    <w:p>
      <w:pPr>
        <w:spacing w:after="0" w:line="86" w:lineRule="exact"/>
        <w:rPr>
          <w:sz w:val="20"/>
          <w:szCs w:val="20"/>
          <w:color w:val="auto"/>
        </w:rPr>
      </w:pPr>
    </w:p>
    <w:p>
      <w:pPr>
        <w:ind w:left="1160" w:right="160" w:hanging="1036"/>
        <w:spacing w:after="0" w:line="306"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Amendment No. 1 to the Amended and Restated Supply Agreement (Thallium and Generators), dated as of December 29, 2009 between Lantheus Medical Imaging, Inc. and Cardinal Health 414, LLC (incorporated by reference to Exhibit 10.26 to Lantheus Medical Imaging, Inc.’s Registration Statement on Form S-4 filed with the Commission on December 1, 2010 (file number 333-169785)).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200" w:hanging="1029"/>
        <w:spacing w:after="0" w:line="259"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Amended and Restated Supply Agreement (Thallium and Generators), dated October 1, 2004, by and between Lantheus Medical Imaging, Inc. and Cardinal Health 414, LLC (incorporated by reference to Exhibit 10.14 to Lantheus Medical Imaging, Inc.’s Registration Statement on Form S-4 filed with the Commission on December 23, 2010 (file number 333-169785)).</w:t>
      </w:r>
    </w:p>
    <w:p>
      <w:pPr>
        <w:spacing w:after="0" w:line="86" w:lineRule="exact"/>
        <w:rPr>
          <w:sz w:val="20"/>
          <w:szCs w:val="20"/>
          <w:color w:val="auto"/>
        </w:rPr>
      </w:pPr>
    </w:p>
    <w:p>
      <w:pPr>
        <w:ind w:left="1160" w:right="400" w:hanging="1036"/>
        <w:spacing w:after="0" w:line="306"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Distribution Agreement, dated as of October 31, 2001, by and between Bristol-Myers Squibb Pharma Company (now known as Lantheus Medical Imaging, Inc.) and Medi-Physics Inc., doing business as Amersham Health (incorporated by reference to Exhibit 10.16 to Lantheus Medical Imaging, Inc.’s Registration Statement on Form S-4 filed with the Commission on December 29, 2010 (file number 333-169785)).</w:t>
      </w:r>
    </w:p>
    <w:p>
      <w:pPr>
        <w:spacing w:after="0" w:line="53" w:lineRule="exact"/>
        <w:rPr>
          <w:sz w:val="20"/>
          <w:szCs w:val="20"/>
          <w:color w:val="auto"/>
        </w:rPr>
      </w:pPr>
    </w:p>
    <w:p>
      <w:pPr>
        <w:ind w:left="1160" w:right="20" w:hanging="1036"/>
        <w:spacing w:after="0" w:line="256"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First Amendment to Distribution Agreement, dated as of January 1, 2005, by and between Bristol-Myers Squibb Medical Imaging, Inc. (formerly known as Bristol-Myers Squibb Pharma Company and now known as Lantheus Medical Imaging, Inc.) and Medi-Physics Inc., doing business as G.E. Healthcare (incorporated by reference to Exhibit 10.17 to Lantheus Medical Imaging, Inc.’s Registration Statement on Form S-4 filed with the Commission on December 1, 2010 (file number 333-169785)).</w:t>
      </w:r>
    </w:p>
    <w:p>
      <w:pPr>
        <w:spacing w:after="0" w:line="89" w:lineRule="exact"/>
        <w:rPr>
          <w:sz w:val="20"/>
          <w:szCs w:val="20"/>
          <w:color w:val="auto"/>
        </w:rPr>
      </w:pPr>
    </w:p>
    <w:p>
      <w:pPr>
        <w:ind w:left="1160" w:right="60" w:hanging="1036"/>
        <w:spacing w:after="0" w:line="259"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Manufacturing and Supply Agreement, dated as of April 6, 2009, by and between Lantheus Medical Imaging, Inc., and Mallinckrodt Inc. (a subsidiary of Covidien PLC) (incorporated by reference to Exhibit 10.27 to Lantheus Medical Imaging, Inc.’s Registration Statement on Form S-4 filed with the Commission on December 23, 2010 (file number 333-169785)).</w:t>
      </w:r>
    </w:p>
    <w:p>
      <w:pPr>
        <w:spacing w:after="0" w:line="86" w:lineRule="exact"/>
        <w:rPr>
          <w:sz w:val="20"/>
          <w:szCs w:val="20"/>
          <w:color w:val="auto"/>
        </w:rPr>
      </w:pPr>
    </w:p>
    <w:p>
      <w:pPr>
        <w:ind w:left="1160" w:hanging="1036"/>
        <w:spacing w:after="0" w:line="306"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Amendment No. 1 to the Manufacturing and Supply Agreement, dated as of August 2, 2010, by and between Lantheus Medical Imaging, Inc. and Mallinckrodt Inc. (a subsidiary of Covidien PLC) (incorporated by reference to Exhibit 10.28 to Lantheus Medical Imaging, Inc.’s Registration Statement on Form S-4 filed with the Commission on December 1, 2010 (file number 333-169785)).</w:t>
      </w:r>
    </w:p>
    <w:p>
      <w:pPr>
        <w:spacing w:after="0" w:line="53"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No. 2 to the Manufacturing and Supply Agreement, dated as of August 2, 2010, by and between Lantheus Medical Imaging, Inc. and Mallinckrodt Inc. (a subsidiary of Covidien PLC) (incorporated by reference to Exhibit 10.1 to Lantheus Medical Imaging, Inc.’s Quarterly Report on Form 10-Q for the quarterly period ended September 30, 2011 (file number 333-169785)).</w:t>
      </w:r>
    </w:p>
    <w:p>
      <w:pPr>
        <w:spacing w:after="0" w:line="86" w:lineRule="exact"/>
        <w:rPr>
          <w:sz w:val="20"/>
          <w:szCs w:val="20"/>
          <w:color w:val="auto"/>
        </w:rPr>
      </w:pPr>
    </w:p>
    <w:p>
      <w:pPr>
        <w:ind w:left="1160" w:right="660" w:hanging="948"/>
        <w:spacing w:after="0" w:line="332"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Lantheus MI Holdings, Inc. 2008 Equity Incentive Plan (incorporated by reference to Exhibit 10.18 to Lantheus Medical Imaging, Inc.’s Registration Statement on Form S-4 filed with the Commission on October 6, 2010 (file number 333-169785)).</w:t>
      </w:r>
    </w:p>
    <w:p>
      <w:pPr>
        <w:spacing w:after="0" w:line="31" w:lineRule="exact"/>
        <w:rPr>
          <w:sz w:val="20"/>
          <w:szCs w:val="20"/>
          <w:color w:val="auto"/>
        </w:rPr>
      </w:pPr>
    </w:p>
    <w:p>
      <w:pPr>
        <w:ind w:left="1160" w:right="240" w:hanging="948"/>
        <w:spacing w:after="0" w:line="332"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Amendment No. 1 to Lantheus MI Holdings, Inc. 2008 Equity Incentive Plan (incorporated by reference to Exhibit 10.19 to Lantheus Medical Imaging, Inc.’s Registration Statement on Form S-4 filed with the Commission on October 6, 2010 (file number 333-169785)).</w:t>
      </w:r>
    </w:p>
    <w:p>
      <w:pPr>
        <w:spacing w:after="0" w:line="31" w:lineRule="exact"/>
        <w:rPr>
          <w:sz w:val="20"/>
          <w:szCs w:val="20"/>
          <w:color w:val="auto"/>
        </w:rPr>
      </w:pPr>
    </w:p>
    <w:p>
      <w:pPr>
        <w:ind w:left="1160" w:right="240" w:hanging="948"/>
        <w:spacing w:after="0" w:line="332"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Amendment No. 2 to Lantheus MI Holdings, Inc. 2008 Equity Incentive Plan (incorporated by reference to Exhibit 10.20 to Lantheus Medical Imaging, Inc.’s Registration Statement on Form S-4 filed with the Commission on October 6, 2010 (file number 333-169785)).</w:t>
      </w:r>
    </w:p>
    <w:p>
      <w:pPr>
        <w:spacing w:after="0" w:line="31" w:lineRule="exact"/>
        <w:rPr>
          <w:sz w:val="20"/>
          <w:szCs w:val="20"/>
          <w:color w:val="auto"/>
        </w:rPr>
      </w:pPr>
    </w:p>
    <w:p>
      <w:pPr>
        <w:ind w:left="1160" w:right="40" w:hanging="948"/>
        <w:spacing w:after="0" w:line="268"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Option Grant Award Agreement (incorporated by reference to Exhibit 10.21 to Lantheus Medical Imaging, Inc.’s Registration Statement on Form S-4 filed with the Commission on October 6, 2010 (file number 333-169785)).</w:t>
      </w:r>
    </w:p>
    <w:p>
      <w:pPr>
        <w:spacing w:after="0" w:line="78" w:lineRule="exact"/>
        <w:rPr>
          <w:sz w:val="20"/>
          <w:szCs w:val="20"/>
          <w:color w:val="auto"/>
        </w:rPr>
      </w:pPr>
    </w:p>
    <w:p>
      <w:pPr>
        <w:ind w:left="1160" w:right="200" w:hanging="948"/>
        <w:spacing w:after="0" w:line="268"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Lantheus Medical Imaging, Inc. Employee Bonus Plan—2009 (incorporated by reference to Exhibit 10.22 to Lantheus Medical Imaging, Inc.’s Registration Statement on Form S-4 filed with the Commission on October 6, 2010 (file number 333-169785)).</w:t>
      </w:r>
    </w:p>
    <w:p>
      <w:pPr>
        <w:spacing w:after="0" w:line="78" w:lineRule="exact"/>
        <w:rPr>
          <w:sz w:val="20"/>
          <w:szCs w:val="20"/>
          <w:color w:val="auto"/>
        </w:rPr>
      </w:pPr>
    </w:p>
    <w:p>
      <w:pPr>
        <w:ind w:left="1160" w:right="100" w:hanging="948"/>
        <w:spacing w:after="0" w:line="332"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Lantheus Medical Imaging, Inc. 2010 Executive Leadership Team Incentive Bonus Plan (incorporated by reference to Exhibit 10.31 to Lantheus Medical Imaging, Inc.’s Annual Report on Form 10-K for the fiscal year ended December 31, 2010 (file number 333-169785)).</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700" w:hanging="948"/>
        <w:spacing w:after="0" w:line="332"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Lantheus Medical Imaging, Inc. Severance Plan Policy (incorporated by reference to Exhibit 10.24 to Lantheus Medical Imaging, Inc.’s Registration Statement on Form S-4 filed with the Commission on October 6, 2010 (file number 333-169785)).</w:t>
      </w:r>
    </w:p>
    <w:p>
      <w:pPr>
        <w:spacing w:after="0" w:line="31" w:lineRule="exact"/>
        <w:rPr>
          <w:sz w:val="20"/>
          <w:szCs w:val="20"/>
          <w:color w:val="auto"/>
        </w:rPr>
      </w:pPr>
    </w:p>
    <w:p>
      <w:pPr>
        <w:ind w:left="1160" w:right="120" w:hanging="948"/>
        <w:spacing w:after="0" w:line="286"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Employment Agreement, dated March 10, 2008, by and between Lantheus Medical Imaging, Inc. and Michael Duffy (incorporated by reference to Exhibit 10.21 to Lantheus Medical Imaging, Inc.’s Annual Report on Form 10 K for the fiscal year ended December 31, 2011 (file</w:t>
      </w:r>
    </w:p>
    <w:p>
      <w:pPr>
        <w:ind w:left="1160"/>
        <w:spacing w:after="0"/>
        <w:rPr>
          <w:sz w:val="20"/>
          <w:szCs w:val="20"/>
          <w:color w:val="auto"/>
        </w:rPr>
      </w:pPr>
      <w:r>
        <w:rPr>
          <w:rFonts w:ascii="Arial" w:cs="Arial" w:eastAsia="Arial" w:hAnsi="Arial"/>
          <w:sz w:val="18"/>
          <w:szCs w:val="18"/>
          <w:color w:val="auto"/>
        </w:rPr>
        <w:t>number 333-169785)).</w:t>
      </w:r>
    </w:p>
    <w:p>
      <w:pPr>
        <w:spacing w:after="0" w:line="111" w:lineRule="exact"/>
        <w:rPr>
          <w:sz w:val="20"/>
          <w:szCs w:val="20"/>
          <w:color w:val="auto"/>
        </w:rPr>
      </w:pPr>
    </w:p>
    <w:p>
      <w:pPr>
        <w:ind w:left="1160" w:right="120" w:hanging="1036"/>
        <w:spacing w:after="0" w:line="256"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Second Amendment, effective as of January 1, 2012, to the Distribution Agreement, dated as of October 31, 2001, by and between Lantheus Medical Imaging, Inc., formerly known as Bristol-Myers Squibb Medical Imaging, Inc., and Medi-Physics, Inc., doing business as G.E. Healthcare Inc. (incorporated by reference to Exhibit 10.1 to Lantheus Medical Imaging, Inc.’s Quarterly Report on Form 10-Q for the quarterly period ended March 31, 2012 (file number 333-169785)).</w:t>
      </w:r>
    </w:p>
    <w:p>
      <w:pPr>
        <w:spacing w:after="0" w:line="89"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Manufacturing and Supply Agreement, dated as of February 1, 2012, for the manufacture of DEFINITY</w:t>
      </w:r>
      <w:r>
        <w:rPr>
          <w:rFonts w:ascii="Arial" w:cs="Arial" w:eastAsia="Arial" w:hAnsi="Arial"/>
          <w:sz w:val="11"/>
          <w:szCs w:val="11"/>
          <w:color w:val="auto"/>
        </w:rPr>
        <w:t>®</w:t>
      </w:r>
      <w:r>
        <w:rPr>
          <w:rFonts w:ascii="Arial" w:cs="Arial" w:eastAsia="Arial" w:hAnsi="Arial"/>
          <w:sz w:val="18"/>
          <w:szCs w:val="18"/>
          <w:color w:val="auto"/>
        </w:rPr>
        <w:t xml:space="preserve"> by and between Lantheus Medical Imaging, Inc. and Jubilant HollisterStier LLC (incorporated by reference to Exhibit 10.2 to Lantheus Medical Imaging, Inc.’s Quarterly Report on Form 10-Q for the quarterly period ended March 31, 2012 (file number 333-169785)).</w:t>
      </w:r>
    </w:p>
    <w:p>
      <w:pPr>
        <w:spacing w:after="0" w:line="86" w:lineRule="exact"/>
        <w:rPr>
          <w:sz w:val="20"/>
          <w:szCs w:val="20"/>
          <w:color w:val="auto"/>
        </w:rPr>
      </w:pPr>
    </w:p>
    <w:p>
      <w:pPr>
        <w:ind w:left="1160" w:right="280" w:hanging="1036"/>
        <w:spacing w:after="0" w:line="256"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No. 1, effective as of February 9, 2012, to the Amended and Restated Cardiolite License and Supply Agreement by and between Lantheus Medical Imaging, Inc. and Cardinal Health 414, LLC entered into as of January 1, 2009 and effective as of January 1, 2004 (incorporated by reference to Exhibit 10.3 to Lantheus Medical Imaging, Inc.’s Quarterly Report on Form 10-Q for the quarterly period ended March 31, 2012 (file number 333-169785)).</w:t>
      </w:r>
    </w:p>
    <w:p>
      <w:pPr>
        <w:spacing w:after="0" w:line="89" w:lineRule="exact"/>
        <w:rPr>
          <w:sz w:val="20"/>
          <w:szCs w:val="20"/>
          <w:color w:val="auto"/>
        </w:rPr>
      </w:pPr>
    </w:p>
    <w:p>
      <w:pPr>
        <w:ind w:left="1160" w:right="100" w:hanging="1036"/>
        <w:spacing w:after="0" w:line="259"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Settlement and Mutual Release Agreement, effective as of March 20, 2012, by and between Ben Venue Laboratories, Inc. and Lantheus Medical Imaging, Inc. (incorporated by reference to Exhibit 10.4 to Lantheus Medical Imaging, Inc.’s Quarterly Report on Form 10-Q for the quarterly period ended March 31, 2012 (file number 333-169785)).</w:t>
      </w:r>
    </w:p>
    <w:p>
      <w:pPr>
        <w:spacing w:after="0" w:line="86" w:lineRule="exact"/>
        <w:rPr>
          <w:sz w:val="20"/>
          <w:szCs w:val="20"/>
          <w:color w:val="auto"/>
        </w:rPr>
      </w:pPr>
    </w:p>
    <w:p>
      <w:pPr>
        <w:ind w:left="1160" w:right="240" w:hanging="1036"/>
        <w:spacing w:after="0" w:line="259"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Transition Services Agreement, effective as of March 20, 2012, by and between Ben Venue Laboratories, Inc. and Lantheus Medical Imaging, Inc. (incorporated by reference to Exhibit 10.5 to Lantheus Medical Imaging, Inc.’s Quarterly Report on Form 10-Q for the quarterly period ended March 31, 2012 (file number 333-169785)).</w:t>
      </w:r>
    </w:p>
    <w:p>
      <w:pPr>
        <w:spacing w:after="0" w:line="86" w:lineRule="exact"/>
        <w:rPr>
          <w:sz w:val="20"/>
          <w:szCs w:val="20"/>
          <w:color w:val="auto"/>
        </w:rPr>
      </w:pPr>
    </w:p>
    <w:p>
      <w:pPr>
        <w:ind w:left="1160" w:right="120" w:hanging="1036"/>
        <w:spacing w:after="0" w:line="259"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Manufacturing and Service Contract for Commercial Products, entered into as of March 20, 2012, by and between Ben Venue Laboratories, Inc. and Lantheus Medical Imaging, Inc. (incorporated by reference to Exhibit 10.6 to Lantheus Medical Imaging, Inc.’s Quarterly Report on Form 10-Q for the quarterly period ended March 31, 2012 (file number 333-169785)).</w:t>
      </w:r>
    </w:p>
    <w:p>
      <w:pPr>
        <w:spacing w:after="0" w:line="86" w:lineRule="exact"/>
        <w:rPr>
          <w:sz w:val="20"/>
          <w:szCs w:val="20"/>
          <w:color w:val="auto"/>
        </w:rPr>
      </w:pPr>
    </w:p>
    <w:p>
      <w:pPr>
        <w:ind w:left="1160" w:right="140" w:hanging="1036"/>
        <w:spacing w:after="0" w:line="306" w:lineRule="auto"/>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First Amendment to Manufacturing and Supply Agreement, dated as of May 3, 2012, for the manufacture of DEFINITY</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 Imaging, Inc. and Jubilant HollisterStier LLC (incorporated by reference to Exhibit 10.1 to Lantheus Medical Imaging, Inc.’s Quarterly Report on Form 10-Q for the quarterly period ended June 30, 2012 (file number 333-169785)).</w:t>
      </w:r>
    </w:p>
    <w:p>
      <w:pPr>
        <w:spacing w:after="0" w:line="53"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Manufacturing and Supply Agreement, dated as of May 3, 2012, for the manufacture of Cardiolite</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Imaging, Inc. and Jubilant HollisterStier LLC (incorporated by reference to Exhibit 10.2 to Lantheus Medical Imaging, Inc.’s Quarterly Report on</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Form 10-Q for the quarterly period ended June 30, 2012 (file number 333-169785)).</w:t>
      </w:r>
    </w:p>
    <w:p>
      <w:pPr>
        <w:spacing w:after="0" w:line="111"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Manufacturing and Supply Agreement, dated as of May 3, 2012, for the manufacture of Neurolite</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Imaging, Inc. and Jubilant HollisterStier LLC (incorporated by reference to Exhibit 10.3 to Lantheus Medical Imaging, Inc.’s Quarterly Report on</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Form 10-Q for the quarterly period ended June 30, 2012 (file number 333-169785)).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160" w:hanging="1036"/>
        <w:spacing w:after="0" w:line="259" w:lineRule="auto"/>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Amendment No. 2, dated as of October 15, 2012, to the Purchase and Supply Agreement between Lantheus Medical Imaging, Inc. and Nordion (Canada) Inc.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jc w:val="both"/>
        <w:ind w:left="1160" w:right="520" w:hanging="1036"/>
        <w:spacing w:after="0" w:line="259" w:lineRule="auto"/>
        <w:tabs>
          <w:tab w:leader="none" w:pos="11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Amendment No. 3, effective as of October 1, 2012, to Sales Agreement between Lantheus Medical Imaging, Inc. and NTP Radioisotopes (Pty) Ltd.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220" w:hanging="1036"/>
        <w:spacing w:after="0" w:line="306" w:lineRule="auto"/>
        <w:tabs>
          <w:tab w:leader="none" w:pos="11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Amendment No. 2, effective as of December 27, 2012, to the Amended and Restated Supply Agreement (Thallium and Generators) between Lantheus Medical Imaging, Inc. and Cardinal Health 414, LLC (incorporated by reference to Exhibit 10.1 to Lantheus Medical Imaging, Inc.’s Annual Report on Form 10-K for the year ended December 31, 2012 (file number 333-169785)).</w:t>
      </w:r>
    </w:p>
    <w:p>
      <w:pPr>
        <w:spacing w:after="0" w:line="53" w:lineRule="exact"/>
        <w:rPr>
          <w:sz w:val="20"/>
          <w:szCs w:val="20"/>
          <w:color w:val="auto"/>
        </w:rPr>
      </w:pPr>
    </w:p>
    <w:p>
      <w:pPr>
        <w:ind w:left="1160" w:right="60" w:hanging="1036"/>
        <w:spacing w:after="0" w:line="306" w:lineRule="auto"/>
        <w:tabs>
          <w:tab w:leader="none" w:pos="11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Amendment No. 2, effective as of December 27, 2012, to the Amended and Restated Cardiolite</w:t>
      </w:r>
      <w:r>
        <w:rPr>
          <w:rFonts w:ascii="Arial" w:cs="Arial" w:eastAsia="Arial" w:hAnsi="Arial"/>
          <w:sz w:val="10"/>
          <w:szCs w:val="10"/>
          <w:color w:val="auto"/>
        </w:rPr>
        <w:t>®</w:t>
      </w:r>
      <w:r>
        <w:rPr>
          <w:rFonts w:ascii="Arial" w:cs="Arial" w:eastAsia="Arial" w:hAnsi="Arial"/>
          <w:sz w:val="16"/>
          <w:szCs w:val="16"/>
          <w:color w:val="auto"/>
        </w:rPr>
        <w:t xml:space="preserve"> License and Supply Agreement by and between Lantheus Medical Imaging, Inc. and Cardinal Health 414, LLC (incorporated by reference to Exhibit 10.1 to Lantheus Medical Imaging, Inc.’s Annual Report on Form 10-K for the year ended December 31, 2012 (file number 333-169785)).</w:t>
      </w:r>
    </w:p>
    <w:p>
      <w:pPr>
        <w:spacing w:after="0" w:line="53"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License and Distribution Agreement, effective as of January 1, 2013, by and between Lantheus Medical Imaging, Inc. and FUJIFILM RI Pharma Co., Ltd.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80" w:hanging="948"/>
        <w:spacing w:after="0" w:line="259" w:lineRule="auto"/>
        <w:tabs>
          <w:tab w:leader="none" w:pos="11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Separation Agreement, dated February 19, 2013, by and between Lantheus Medical Imaging, Inc. and Don Kiepert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Fission Mo-99 Supply Agreement, effective January 1, 2013, by and between Lantheus Medical Imaging, Inc. and the Institut National des Radioelements (incorporated by reference to Exhibit 10.1 to Lantheus Medical Imaging, Inc.’s Quarterly Report on Form 10-Q for the quarterly period ended March 31, 2013 (file number 333-169785)).</w:t>
      </w:r>
    </w:p>
    <w:p>
      <w:pPr>
        <w:spacing w:after="0" w:line="86" w:lineRule="exact"/>
        <w:rPr>
          <w:sz w:val="20"/>
          <w:szCs w:val="20"/>
          <w:color w:val="auto"/>
        </w:rPr>
      </w:pPr>
    </w:p>
    <w:p>
      <w:pPr>
        <w:ind w:left="1160" w:right="180" w:hanging="948"/>
        <w:spacing w:after="0" w:line="268" w:lineRule="auto"/>
        <w:tabs>
          <w:tab w:leader="none" w:pos="11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Lantheus MI Holdings, Inc. 2013 Equity Incentive Plan (incorporated by reference to Exhibit 10.1 to Lantheus Medical Imaging, Inc.’s Current Report on Form 8-K filed with the Commission on May 6, 2013 (file number 333-169785)).</w:t>
      </w:r>
    </w:p>
    <w:p>
      <w:pPr>
        <w:spacing w:after="0" w:line="78" w:lineRule="exact"/>
        <w:rPr>
          <w:sz w:val="20"/>
          <w:szCs w:val="20"/>
          <w:color w:val="auto"/>
        </w:rPr>
      </w:pPr>
    </w:p>
    <w:p>
      <w:pPr>
        <w:ind w:left="1160" w:right="440" w:hanging="948"/>
        <w:spacing w:after="0" w:line="268" w:lineRule="auto"/>
        <w:tabs>
          <w:tab w:leader="none" w:pos="11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Employee Option Grant Award Agreement (incorporated by reference to Exhibit 10.2 to Lantheus Medical Imaging, Inc.’s Current Report on Form 8-K filed with the Commission on May 6, 2013 (file number 333-169785)).</w:t>
      </w:r>
    </w:p>
    <w:p>
      <w:pPr>
        <w:spacing w:after="0" w:line="78" w:lineRule="exact"/>
        <w:rPr>
          <w:sz w:val="20"/>
          <w:szCs w:val="20"/>
          <w:color w:val="auto"/>
        </w:rPr>
      </w:pPr>
    </w:p>
    <w:p>
      <w:pPr>
        <w:ind w:left="1160" w:right="40" w:hanging="948"/>
        <w:spacing w:after="0" w:line="268" w:lineRule="auto"/>
        <w:tabs>
          <w:tab w:leader="none" w:pos="11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Form of Non-Employee Director Option Grant Award Agreement (incorporated by reference to Exhibit 10.3 to Lantheus Medical Imaging, Inc.’s Current Report on Form 8-K filed with the Commission on May 6, 2013 (file number 333-169785)).</w:t>
      </w:r>
    </w:p>
    <w:p>
      <w:pPr>
        <w:spacing w:after="0" w:line="78" w:lineRule="exact"/>
        <w:rPr>
          <w:sz w:val="20"/>
          <w:szCs w:val="20"/>
          <w:color w:val="auto"/>
        </w:rPr>
      </w:pPr>
    </w:p>
    <w:p>
      <w:pPr>
        <w:ind w:left="1160" w:right="220" w:hanging="948"/>
        <w:spacing w:after="0" w:line="259" w:lineRule="auto"/>
        <w:tabs>
          <w:tab w:leader="none" w:pos="11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Employment Agreement, dated May 8, 2013, by and between Lantheus Medical Imaging, Inc. and Jeffrey Bailey (incorporated by reference to Exhibit 10.1 to Lantheus Medical Imaging, Inc.’s Quarterly Report on Form 10-Q for the quarterly period ended September 30, 2013 (file number 333-169785).</w:t>
      </w:r>
    </w:p>
    <w:p>
      <w:pPr>
        <w:spacing w:after="0" w:line="86" w:lineRule="exact"/>
        <w:rPr>
          <w:sz w:val="20"/>
          <w:szCs w:val="20"/>
          <w:color w:val="auto"/>
        </w:rPr>
      </w:pPr>
    </w:p>
    <w:p>
      <w:pPr>
        <w:ind w:left="1160" w:right="60" w:hanging="948"/>
        <w:spacing w:after="0" w:line="298" w:lineRule="auto"/>
        <w:tabs>
          <w:tab w:leader="none" w:pos="11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Amended and Restated Credit Agreement date as of July 3, 2013, by and among Lantheus Medical Imaging Inc., Lantheus MI Intermediate Inc., Lantheus MI Real Estate, LLC, the lenders from time to time party thereto, and Wells Fargo Bank, National Association collateral agent and administrative agent and as sole lead arranger, back runner and syndication agent (incorporated by reference to Exhibit 10.1 to Lantheus Medical Imaging, Inc.’s Quarterly Report on Form 10-Q for the quarterly period ended June 30, 2013 (file number 333-169785)).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Consulting Agreement, dated July 24, 2013, by and between Lantheus Medical Imaging, Inc. and John Golubieski (incorporated by reference to Exhibit 10.46 to Lantheus Medical Imaging, Inc.’s Annual Report on Form 10-K for the year ended December 31, 2013 (file number 333-169785)).</w:t>
      </w:r>
    </w:p>
    <w:p>
      <w:pPr>
        <w:spacing w:after="0" w:line="86" w:lineRule="exact"/>
        <w:rPr>
          <w:sz w:val="20"/>
          <w:szCs w:val="20"/>
          <w:color w:val="auto"/>
        </w:rPr>
      </w:pPr>
    </w:p>
    <w:p>
      <w:pPr>
        <w:ind w:left="1160" w:right="40" w:hanging="948"/>
        <w:spacing w:after="0" w:line="259" w:lineRule="auto"/>
        <w:tabs>
          <w:tab w:leader="none" w:pos="11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Employment Agreement, effective August 12, 2013, by and between Lantheus Medical Imaging, Inc. and Mary Anne Heino (incorporated by reference to Exhibit 10.47 to Lantheus Medical Imaging, Inc.’s Annual Report on Form 10-K for the year ended December 31, 2013 (file number 333-169785)).</w:t>
      </w:r>
    </w:p>
    <w:p>
      <w:pPr>
        <w:spacing w:after="0" w:line="86" w:lineRule="exact"/>
        <w:rPr>
          <w:sz w:val="20"/>
          <w:szCs w:val="20"/>
          <w:color w:val="auto"/>
        </w:rPr>
      </w:pPr>
    </w:p>
    <w:p>
      <w:pPr>
        <w:ind w:left="1160" w:right="40" w:hanging="948"/>
        <w:spacing w:after="0" w:line="259" w:lineRule="auto"/>
        <w:tabs>
          <w:tab w:leader="none" w:pos="11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Employment Agreement, effective August 12, 2013, by and between Lantheus Medical Imaging, Inc. and Cesare Orlandi (incorporated by reference to Exhibit 10.48 to Lantheus Medical Imaging, Inc.’s Annual Report on Form 10-K for the year ended December 31, 2013 (file number 333-169785)).</w:t>
      </w:r>
    </w:p>
    <w:p>
      <w:pPr>
        <w:spacing w:after="0" w:line="86" w:lineRule="exact"/>
        <w:rPr>
          <w:sz w:val="20"/>
          <w:szCs w:val="20"/>
          <w:color w:val="auto"/>
        </w:rPr>
      </w:pPr>
    </w:p>
    <w:p>
      <w:pPr>
        <w:jc w:val="both"/>
        <w:ind w:left="1160" w:right="80" w:hanging="1036"/>
        <w:spacing w:after="0" w:line="259" w:lineRule="auto"/>
        <w:tabs>
          <w:tab w:leader="none" w:pos="11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Manufacturing and Supply Agreement, effective as of November 12, 2013, by and between Lantheus Medical Imaging, Inc. and Pharmalucence, Inc (incorporated by reference to Exhibit 10.49 to Lantheus Medical Imaging, Inc.’s Annual Report on Form 10-K for the year ended December 31, 2013 (file number 333-169785)).</w:t>
      </w:r>
    </w:p>
    <w:p>
      <w:pPr>
        <w:spacing w:after="0" w:line="86" w:lineRule="exact"/>
        <w:rPr>
          <w:sz w:val="20"/>
          <w:szCs w:val="20"/>
          <w:color w:val="auto"/>
        </w:rPr>
      </w:pPr>
    </w:p>
    <w:p>
      <w:pPr>
        <w:jc w:val="both"/>
        <w:ind w:left="1160" w:right="360" w:hanging="1036"/>
        <w:spacing w:after="0" w:line="259" w:lineRule="auto"/>
        <w:tabs>
          <w:tab w:leader="none" w:pos="11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Settlement and Mutual Release Agreement, dated as of November 12, 2013, by and between Lantheus Medical Imaging, Inc. and Ben Venue Laboratories, Inc (incorporated by reference to Exhibit 10.50 to Lantheus Medical Imaging, Inc.’s Annual Report on Form 10-K for the year ended December 31, 2013 (file number 333-169785)).</w:t>
      </w:r>
    </w:p>
    <w:p>
      <w:pPr>
        <w:spacing w:after="0" w:line="86"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Letter Agreement, dated February 6, 2014, by and between Lantheus Medical Imaging, Inc. and Pharmalucence, Inc (incorporated by reference to Exhibit 10.51 to Lantheus Medical Imaging, Inc.’s Annual Report on Form 10-K for the year ended December 31, 2013 (file number 333-169785)).</w:t>
      </w:r>
    </w:p>
    <w:p>
      <w:pPr>
        <w:spacing w:after="0" w:line="86"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Lantheus Holdings, Inc.</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Independent Registered Public Accounting Firm.</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Weil, Gotshal &amp; Manges LLP (included as part of Exhibit 5.1).</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as part of the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ind w:left="220" w:right="540" w:hanging="212"/>
        <w:spacing w:after="0" w:line="268" w:lineRule="auto"/>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Confidential treatment has been previously requested as to certain portions, which portions have been filed separately with the Securities and Exchange Commission.</w:t>
      </w:r>
    </w:p>
    <w:p>
      <w:pPr>
        <w:spacing w:after="0" w:line="112" w:lineRule="exact"/>
        <w:rPr>
          <w:sz w:val="20"/>
          <w:szCs w:val="20"/>
          <w:color w:val="auto"/>
        </w:rPr>
      </w:pPr>
    </w:p>
    <w:p>
      <w:pPr>
        <w:ind w:left="460" w:right="8660" w:hanging="452"/>
        <w:spacing w:after="0" w:line="353" w:lineRule="auto"/>
        <w:tabs>
          <w:tab w:leader="none" w:pos="449"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77" w:lineRule="exact"/>
        <w:rPr>
          <w:sz w:val="20"/>
          <w:szCs w:val="20"/>
          <w:color w:val="auto"/>
        </w:rPr>
      </w:pPr>
    </w:p>
    <w:p>
      <w:pPr>
        <w:ind w:left="460" w:right="60" w:hanging="452"/>
        <w:spacing w:after="0" w:line="306"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3" w:lineRule="exact"/>
        <w:rPr>
          <w:rFonts w:ascii="Arial" w:cs="Arial" w:eastAsia="Arial" w:hAnsi="Arial"/>
          <w:sz w:val="16"/>
          <w:szCs w:val="16"/>
          <w:color w:val="auto"/>
        </w:rPr>
      </w:pPr>
    </w:p>
    <w:p>
      <w:pPr>
        <w:ind w:left="460" w:hanging="452"/>
        <w:spacing w:after="0" w:line="323" w:lineRule="auto"/>
        <w:tabs>
          <w:tab w:leader="none" w:pos="4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 w:lineRule="exact"/>
        <w:rPr>
          <w:rFonts w:ascii="Arial" w:cs="Arial" w:eastAsia="Arial" w:hAnsi="Arial"/>
          <w:sz w:val="15"/>
          <w:szCs w:val="15"/>
          <w:color w:val="auto"/>
        </w:rPr>
      </w:pPr>
    </w:p>
    <w:p>
      <w:pPr>
        <w:ind w:left="900" w:hanging="446"/>
        <w:spacing w:after="0"/>
        <w:tabs>
          <w:tab w:leader="none" w:pos="9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99" w:lineRule="exact"/>
        <w:rPr>
          <w:rFonts w:ascii="Arial" w:cs="Arial" w:eastAsia="Arial" w:hAnsi="Arial"/>
          <w:sz w:val="16"/>
          <w:szCs w:val="16"/>
          <w:color w:val="auto"/>
        </w:rPr>
      </w:pPr>
    </w:p>
    <w:p>
      <w:pPr>
        <w:ind w:left="900" w:right="100" w:hanging="446"/>
        <w:spacing w:after="0" w:line="268"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7"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gridSpan w:val="3"/>
          </w:tcPr>
          <w:p>
            <w:pPr>
              <w:spacing w:after="0"/>
              <w:rPr>
                <w:sz w:val="20"/>
                <w:szCs w:val="20"/>
                <w:color w:val="auto"/>
              </w:rPr>
            </w:pPr>
            <w:r>
              <w:rPr>
                <w:rFonts w:ascii="Arial" w:cs="Arial" w:eastAsia="Arial" w:hAnsi="Arial"/>
                <w:sz w:val="18"/>
                <w:szCs w:val="18"/>
                <w:color w:val="auto"/>
                <w:w w:val="98"/>
              </w:rPr>
              <w:t>behalf by the undersigned, thereunto duly authorized, in the City of North Billerica, Commonwealth of Massachusetts, on</w:t>
            </w:r>
          </w:p>
        </w:tc>
        <w:tc>
          <w:tcPr>
            <w:tcW w:w="1980" w:type="dxa"/>
            <w:vAlign w:val="bottom"/>
          </w:tcPr>
          <w:p>
            <w:pPr>
              <w:jc w:val="right"/>
              <w:ind w:right="1372"/>
              <w:spacing w:after="0"/>
              <w:rPr>
                <w:sz w:val="20"/>
                <w:szCs w:val="20"/>
                <w:color w:val="auto"/>
              </w:rPr>
            </w:pPr>
            <w:r>
              <w:rPr>
                <w:rFonts w:ascii="Arial" w:cs="Arial" w:eastAsia="Arial" w:hAnsi="Arial"/>
                <w:sz w:val="18"/>
                <w:szCs w:val="18"/>
                <w:color w:val="auto"/>
                <w:w w:val="90"/>
              </w:rPr>
              <w:t>, 2014.</w:t>
            </w:r>
          </w:p>
        </w:tc>
      </w:tr>
      <w:tr>
        <w:trPr>
          <w:trHeight w:val="358"/>
        </w:trPr>
        <w:tc>
          <w:tcPr>
            <w:tcW w:w="9440" w:type="dxa"/>
            <w:vAlign w:val="bottom"/>
            <w:gridSpan w:val="3"/>
          </w:tcPr>
          <w:p>
            <w:pPr>
              <w:ind w:left="6860"/>
              <w:spacing w:after="0"/>
              <w:rPr>
                <w:sz w:val="20"/>
                <w:szCs w:val="20"/>
                <w:color w:val="auto"/>
              </w:rPr>
            </w:pPr>
            <w:r>
              <w:rPr>
                <w:rFonts w:ascii="Arial" w:cs="Arial" w:eastAsia="Arial" w:hAnsi="Arial"/>
                <w:sz w:val="18"/>
                <w:szCs w:val="18"/>
                <w:color w:val="auto"/>
                <w:w w:val="96"/>
              </w:rPr>
              <w:t>LANTHEUS MI HOLDINGS, INC.</w:t>
            </w:r>
          </w:p>
        </w:tc>
        <w:tc>
          <w:tcPr>
            <w:tcW w:w="1980" w:type="dxa"/>
            <w:vAlign w:val="bottom"/>
          </w:tcPr>
          <w:p>
            <w:pPr>
              <w:spacing w:after="0"/>
              <w:rPr>
                <w:sz w:val="24"/>
                <w:szCs w:val="24"/>
                <w:color w:val="auto"/>
              </w:rPr>
            </w:pPr>
          </w:p>
        </w:tc>
      </w:tr>
      <w:tr>
        <w:trPr>
          <w:trHeight w:val="433"/>
        </w:trPr>
        <w:tc>
          <w:tcPr>
            <w:tcW w:w="7320" w:type="dxa"/>
            <w:vAlign w:val="bottom"/>
          </w:tcPr>
          <w:p>
            <w:pPr>
              <w:ind w:left="6880"/>
              <w:spacing w:after="0"/>
              <w:rPr>
                <w:sz w:val="20"/>
                <w:szCs w:val="20"/>
                <w:color w:val="auto"/>
              </w:rPr>
            </w:pPr>
            <w:r>
              <w:rPr>
                <w:rFonts w:ascii="Arial" w:cs="Arial" w:eastAsia="Arial" w:hAnsi="Arial"/>
                <w:sz w:val="18"/>
                <w:szCs w:val="18"/>
                <w:color w:val="auto"/>
              </w:rPr>
              <w:t>By:</w:t>
            </w:r>
          </w:p>
        </w:tc>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r>
        <w:trPr>
          <w:trHeight w:val="216"/>
        </w:trPr>
        <w:tc>
          <w:tcPr>
            <w:tcW w:w="7900" w:type="dxa"/>
            <w:vAlign w:val="bottom"/>
            <w:gridSpan w:val="2"/>
          </w:tcPr>
          <w:p>
            <w:pPr>
              <w:ind w:left="7320"/>
              <w:spacing w:after="0"/>
              <w:rPr>
                <w:sz w:val="20"/>
                <w:szCs w:val="20"/>
                <w:color w:val="auto"/>
              </w:rPr>
            </w:pPr>
            <w:r>
              <w:rPr>
                <w:rFonts w:ascii="Arial" w:cs="Arial" w:eastAsia="Arial" w:hAnsi="Arial"/>
                <w:sz w:val="18"/>
                <w:szCs w:val="18"/>
                <w:color w:val="auto"/>
              </w:rPr>
              <w:t>Name:</w:t>
            </w:r>
          </w:p>
        </w:tc>
        <w:tc>
          <w:tcPr>
            <w:tcW w:w="1540" w:type="dxa"/>
            <w:vAlign w:val="bottom"/>
          </w:tcPr>
          <w:p>
            <w:pPr>
              <w:ind w:left="100"/>
              <w:spacing w:after="0"/>
              <w:rPr>
                <w:sz w:val="20"/>
                <w:szCs w:val="20"/>
                <w:color w:val="auto"/>
              </w:rPr>
            </w:pPr>
            <w:r>
              <w:rPr>
                <w:rFonts w:ascii="Arial" w:cs="Arial" w:eastAsia="Arial" w:hAnsi="Arial"/>
                <w:sz w:val="18"/>
                <w:szCs w:val="18"/>
                <w:color w:val="auto"/>
              </w:rPr>
              <w:t>Jeffrey Bailey</w:t>
            </w:r>
          </w:p>
        </w:tc>
        <w:tc>
          <w:tcPr>
            <w:tcW w:w="1980" w:type="dxa"/>
            <w:vAlign w:val="bottom"/>
          </w:tcPr>
          <w:p>
            <w:pPr>
              <w:spacing w:after="0"/>
              <w:rPr>
                <w:sz w:val="18"/>
                <w:szCs w:val="18"/>
                <w:color w:val="auto"/>
              </w:rPr>
            </w:pPr>
          </w:p>
        </w:tc>
      </w:tr>
      <w:tr>
        <w:trPr>
          <w:trHeight w:val="222"/>
        </w:trPr>
        <w:tc>
          <w:tcPr>
            <w:tcW w:w="7900" w:type="dxa"/>
            <w:vAlign w:val="bottom"/>
            <w:gridSpan w:val="2"/>
          </w:tcPr>
          <w:p>
            <w:pPr>
              <w:ind w:left="7320"/>
              <w:spacing w:after="0"/>
              <w:rPr>
                <w:sz w:val="20"/>
                <w:szCs w:val="20"/>
                <w:color w:val="auto"/>
              </w:rPr>
            </w:pPr>
            <w:r>
              <w:rPr>
                <w:rFonts w:ascii="Arial" w:cs="Arial" w:eastAsia="Arial" w:hAnsi="Arial"/>
                <w:sz w:val="18"/>
                <w:szCs w:val="18"/>
                <w:color w:val="auto"/>
              </w:rPr>
              <w:t>Title:</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4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KNOW ALL MEN BY THESE PRESENTS, that each of the undersigned constitutes and appoints each of Jeffrey Bailey, John Golubieski and Michael P. Duffy,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940" w:type="dxa"/>
            <w:vAlign w:val="bottom"/>
            <w:gridSpan w:val="8"/>
          </w:tcPr>
          <w:p>
            <w:pPr>
              <w:jc w:val="right"/>
              <w:spacing w:after="0"/>
              <w:rPr>
                <w:sz w:val="20"/>
                <w:szCs w:val="20"/>
                <w:color w:val="auto"/>
              </w:rPr>
            </w:pPr>
            <w:r>
              <w:rPr>
                <w:rFonts w:ascii="Arial" w:cs="Arial" w:eastAsia="Arial" w:hAnsi="Arial"/>
                <w:sz w:val="18"/>
                <w:szCs w:val="18"/>
                <w:color w:val="auto"/>
                <w:w w:val="89"/>
              </w:rPr>
              <w:t>Pursuant to the requirements of the Securities Act of 1933, this registration statement has been signed by the following persons in the capacities indicated</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on</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 2014.</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99"/>
        </w:trPr>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24"/>
                <w:szCs w:val="24"/>
                <w:color w:val="auto"/>
              </w:rPr>
            </w:pPr>
          </w:p>
        </w:tc>
        <w:tc>
          <w:tcPr>
            <w:tcW w:w="61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Title</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26"/>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President, Chief Executive Officer and Director</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6"/>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Jeffrey Bailey</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(Principal Executive Officer)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John Golubieski</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Interim Chief Financial Officer (Principal Financial Officer)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23"/>
        </w:trPr>
        <w:tc>
          <w:tcPr>
            <w:tcW w:w="320" w:type="dxa"/>
            <w:vAlign w:val="bottom"/>
          </w:tcPr>
          <w:p>
            <w:pPr>
              <w:spacing w:after="0"/>
              <w:rPr>
                <w:sz w:val="19"/>
                <w:szCs w:val="19"/>
                <w:color w:val="auto"/>
              </w:rPr>
            </w:pPr>
          </w:p>
        </w:tc>
        <w:tc>
          <w:tcPr>
            <w:tcW w:w="38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Jack Crowley</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7"/>
              </w:rPr>
              <w:t>Vice President, Finance</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Brian Markison</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Chairman of the Board of Directors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David Burgstahler</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Samuel Leno</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Patrick O’Neill</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Sriram Venkataraman</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7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20" w:type="dxa"/>
            <w:vAlign w:val="bottom"/>
          </w:tcPr>
          <w:p>
            <w:pPr>
              <w:spacing w:after="0"/>
              <w:rPr>
                <w:sz w:val="24"/>
                <w:szCs w:val="24"/>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Lantheus Holdings, Inc.</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Amended and Restated Bylaws of Lantheus Holdings, Inc.</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Indenture, dated as of May 10, 2010, among Lantheus Medical Imaging, Inc., Lantheus MI Intermediate, Inc. and Lantheus MI Real Estate,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as guarantors, and Wilmington Trust FSB, as trustee (incorporated by reference to Exhibit 4.1 to Lantheus Medical Imaging, Inc.’s Registration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First Supplemental Indenture, dated as of March 14, 2011, among Lantheus Medical Imaging, Inc., Lantheus MI Intermediate, Inc. and Lantheus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MI Real Estate, LLC as guarantors, and Wilmington Trust FSB, as trustee (incorporated by reference to Exhibit 4.1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Current Report on Form 8-K filed with the Commission on March 16, 2011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Second Supplemental Indenture, dated as of March 21, 2011, among Lantheus Medical Imaging, Inc., Lantheus MI Intermediate, Inc.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Lantheus MI Real Estate, LLC as guarantors, and Wilmington Trust FSB, as trustee (incorporated by reference to Exhibit 4.1 to Lantheus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Medical Imaging, Inc.’s Current Report on Form 8-K filed with the Commission on March 21, 2011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May 10, 2010, by and among Lantheus Medical Imaging, Inc., Lantheus MI Intermediate, Inc.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Lantheus MI Real Estate, LLC, as guarantors, and Jefferies &amp; Company, Inc. (incorporated by reference to Exhibit 4.2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Registration Rights Agreement, dated March 21, 2011, by and among Lantheus Medical Imaging, Inc., Jefferies &amp; Company, Inc.,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representative of the initial purchasers and the guarantors party thereto (incorporated by reference to Exhibit 4.2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Current Report on Form 8-K filed with the Commission on March 21, 2011 (file number 333-169785)).</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9.750% Senior Notes due 2017 (included in Exhibit 4.2).</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Opinion of Weil, Gotshal &amp; Manges LLP.</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Advisory Services and Monitoring Agreement, dated January 8, 2007, by and between ACP Lantern Acquisition, Inc. (now known as Lantheus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Medical Imaging, Inc.) and Avista Capital Holdings, L.P. (incorporated by reference to Exhibit 10.3 to Lantheus Medical Imaging, Inc.’s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Amended and Restated Shareholders Agreement, dated as of February 26, 2008 among Lantheus MI Holdings, Inc., Avista Capital Partners, L.P.,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Avista Capital Partners (Offshore), L.P., ACP-Lantern Co-Invest, LLC and certain management shareholders named therein (incorporated by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reference to Exhibit 10.4 to Lantheus Medical Imaging, Inc.’s Registration Statement on Form S-4 filed with the Commission on October 6, 2010</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Employee Shareholders Agreement, dated as of May 8, 2008, among Lantheus MI Holdings, Inc., Avista Capital Partners, L.P., Avista Capital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Partners (Offshore), L.P., ACP-Lantern Co-Invest, LLC and certain employee shareholders named therein (incorporated by reference to</w:t>
            </w:r>
          </w:p>
        </w:tc>
      </w:tr>
    </w:tbl>
    <w:p>
      <w:pPr>
        <w:ind w:left="1160" w:right="540"/>
        <w:spacing w:after="0" w:line="261" w:lineRule="auto"/>
        <w:rPr>
          <w:sz w:val="20"/>
          <w:szCs w:val="20"/>
          <w:color w:val="auto"/>
        </w:rPr>
      </w:pPr>
      <w:r>
        <w:rPr>
          <w:rFonts w:ascii="Arial" w:cs="Arial" w:eastAsia="Arial" w:hAnsi="Arial"/>
          <w:sz w:val="18"/>
          <w:szCs w:val="18"/>
          <w:color w:val="auto"/>
        </w:rPr>
        <w:t>Exhibit 10.5 to Lantheus Medical Imaging, Inc.’s Registration Statement on Form S-4 filed with the Commission on October 6, 2010 (file number 333-169785)).</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6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10.4†</w:t>
            </w:r>
          </w:p>
        </w:tc>
        <w:tc>
          <w:tcPr>
            <w:tcW w:w="58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4"/>
              </w:rPr>
              <w:t>Sales Agreement, dated as of April 1, 2009, between Lantheus Medical Imaging, Inc. and NTP Radioisotopes (Pty) Ltd.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reference to Exhibit 10.9 to Lantheus Medical Imaging, Inc.’s Registration Statement on Form S-4 filed with the Commission on December 23,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Amendment No. 1 to Sales Agreement, dated as of January 1, 2010, between Lantheus Medical Imaging, Inc. and NTP Radioisotopes (Pty) Ltd.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(incorporated by reference to Exhibit 10.10 to Lantheus Medical Imaging, Inc.’s Registration Statement on Form S-4 filed with the Commission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Amendment No. 2 to Sales Agreement, dated as of January 1, 2010, between Lantheus Medical Imaging, Inc. and NTP Radioisotopes (Pty) Ltd.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Exhibit 10.1 to Lantheus Medical Imaging, Inc.’s Quarterly Report on Form 10-Q for the quarterly period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March 31, 2011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Purchase and Supply Agreement, dated as of April 1, 2010, between Lantheus Medical Imaging, Inc. and Nordion (Canada) Inc. (formerly known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as MDS Nordion, a division of MDS (Canada) Inc.) (incorporated by reference to Exhibit 10.12 to Lantheus Medical Imaging, Inc.’s Registration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Amendment No. 1 to the Purchase and Supply Agreement, dated as of December 1, 2010, between Lantheus Medical Imaging, Inc. and Nordion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(Canada) Inc. (incorporated by reference to Exhibit 10.13 to Lantheus Medical Imaging, Inc.’s Annual Report on Form 10-K for the fiscal year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Amended and Restated Cardiolite License and Supply Agreement, dated January 1, 2004,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Cardinal Health 414, LLC (incorporated by reference to Exhibit 10.13 to Lantheus Medical Imaging, Inc.’s Registration Statement on Form S-4</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Amendment No. 1 to the Amended and Restated Supply Agreement (Thallium and Generators), dated as of December 29, 2009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10.26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Supply Agreement (Thallium and Generators), dated October 1, 2004, by and between Lantheus Medical Imaging,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and Cardinal Health 414, LLC (incorporated by reference to Exhibit 10.14 to Lantheus Medical Imaging, Inc.’s Registration Statement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S-4 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Distribution Agreement, dated as of October 31, 2001, by and between Bristol-Myers Squibb Pharma Company (now known as Lantheus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Medical Imaging, Inc.) and Medi-Physics Inc., doing business as Amersham Health (incorporated by reference to Exhibit 10.16 to Lantheus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Medical Imaging, Inc.’s Registration Statement on Form S-4 filed with the Commission on December 29,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First Amendment to Distribution Agreement, dated as of January 1, 2005, by and between Bristol-Myers Squibb Medical Imaging, Inc. (formerly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known as Bristol-Myers Squibb Pharma Company and now known as Lantheus Medical Imaging, Inc.) and Medi-Physics Inc., doing business 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G.E. Healthcare (incorporated by reference to Exhibit 10.17 to Lantheus Medical Imaging, Inc.’s Registration Statement on Form S-4 filed with</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Manufacturing and Supply Agreement, dated as of April 6, 2009, by and between Lantheus Medical Imaging, Inc., and Mallinckrodt Inc. (a</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subsidiary of Covidien PLC) (incorporated by reference to Exhibit 10.27 to Lantheus Medical Imaging, Inc.’s Registration Statement on Form 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4 filed with the Commission on December 23, 2010 (file number 333-169785)).</w:t>
            </w: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10.15†</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88"/>
              </w:rPr>
              <w:t>Amendment No. 1 to the Manufacturing and Supply Agreement, dated as of August 2, 2010,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Mallinckrodt Inc. (a subsidiary of Covidien PLC) (incorporated by reference to Exhibit 10.28 to Lantheus Medical Imaging, Inc.’s Registration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Amendment No. 2 to the Manufacturing and Supply Agreement, dated as of August 2, 2010,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Mallinckrodt Inc. (a subsidiary of Covidien PLC) (incorporated by reference to Exhibit 10.1 to Lantheus Medical Imaging, Inc.’s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10-Q for the quarterly period ended September 30, 2011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Lantheus MI Holdings, Inc. 2008 Equity Incentive Plan (incorporated by reference to Exhibit 10.18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1 to Lantheus MI Holdings, Inc. 2008 Equity Incentive Plan (incorporated by reference to Exhibit 10.19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2 to Lantheus MI Holdings, Inc. 2008 Equity Incentive Plan (incorporated by reference to Exhibit 10.20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Form of Option Grant Award Agreement (incorporated by reference to Exhibit 10.21 to Lantheus Medical Imaging, Inc.’s Registration Statement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Employee Bonus Plan—2009 (incorporated by reference to Exhibit 10.22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Lantheus Medical Imaging, Inc. 2010 Executive Leadership Team Incentive Bonus Plan (incorporated by reference to Exhibit 10.31 to Lantheus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Medical Imaging, Inc.’s Annual Report on Form 10-K for the fiscal year ended December 31,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Lantheus Medical Imaging, Inc. Severance Plan Policy (incorporated by reference to Exhibit 10.24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March 10, 2008, by and between Lantheus Medical Imaging, Inc. and Michael Duffy (incorporated by reference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8"/>
              </w:rPr>
              <w:t>to Exhibit 10.21 to Lantheus Medical Imaging, Inc.’s Annual Report on Form 10 K for the fiscal year ended December 31, 2011 (file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Second Amendment, effective as of January 1, 2012, to the Distribution Agreement, dated as of October 31, 2001, by and between Lantheus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Medical Imaging, Inc., formerly known as Bristol-Myers Squibb Medical Imaging, Inc., and Medi-Physics, Inc., doing business as G.E.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Healthcare Inc. (incorporated by reference to Exhibit 10.1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Manufacturing and Supply Agreement, dated as of February 1, 2012, for the manufacture of DEFINITY</w:t>
            </w:r>
            <w:r>
              <w:rPr>
                <w:rFonts w:ascii="Arial" w:cs="Arial" w:eastAsia="Arial" w:hAnsi="Arial"/>
                <w:sz w:val="11"/>
                <w:szCs w:val="11"/>
                <w:color w:val="auto"/>
                <w:w w:val="92"/>
              </w:rPr>
              <w:t>®</w:t>
            </w:r>
            <w:r>
              <w:rPr>
                <w:rFonts w:ascii="Arial" w:cs="Arial" w:eastAsia="Arial" w:hAnsi="Arial"/>
                <w:sz w:val="18"/>
                <w:szCs w:val="18"/>
                <w:color w:val="auto"/>
                <w:w w:val="92"/>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10.2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Amendment No. 1, effective as of February 9, 2012, to the Amended and Restated Cardiolite License and Supply Agreement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Lantheus Medical Imaging, Inc. and Cardinal Health 414, LLC entered into as of January 1, 2009 and effective as of January 1, 2004</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Exhibit 10.3 to Lantheus Medical Imaging, Inc.’s Quarterly Report on Form 10-Q for the quarterly period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March 31, 2012 (file number 333-169785)).</w:t>
            </w:r>
          </w:p>
        </w:tc>
      </w:tr>
    </w:tbl>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10.28†</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88"/>
              </w:rPr>
              <w:t>Settlement and Mutual Release Agreement, effective as of March 20, 2012, by and between Ben Venue Laboratories, Inc. and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Imaging, Inc. (incorporated by reference to Exhibit 10.4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Transition Services Agreement, effective as of March 20, 2012, by and between Ben Venue Laboratories, Inc. and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Imaging, Inc. (incorporated by reference to Exhibit 10.5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Manufacturing and Service Contract for Commercial Products, entered into as of March 20, 2012, by and between Ben Venue Laboratories,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and Lantheus Medical Imaging, Inc. (incorporated by reference to Exhibit 10.6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First Amendment to Manufacturing and Supply Agreement, dated as of May 3, 2012, for the manufacture of DEFINITY</w:t>
            </w:r>
            <w:r>
              <w:rPr>
                <w:rFonts w:ascii="Arial" w:cs="Arial" w:eastAsia="Arial" w:hAnsi="Arial"/>
                <w:sz w:val="11"/>
                <w:szCs w:val="11"/>
                <w:color w:val="auto"/>
                <w:w w:val="94"/>
              </w:rPr>
              <w:t>®</w:t>
            </w:r>
            <w:r>
              <w:rPr>
                <w:rFonts w:ascii="Arial" w:cs="Arial" w:eastAsia="Arial" w:hAnsi="Arial"/>
                <w:sz w:val="18"/>
                <w:szCs w:val="18"/>
                <w:color w:val="auto"/>
                <w:w w:val="94"/>
              </w:rPr>
              <w:t xml:space="preserve">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Jubilant HollisterStier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Manufacturing and Supply Agreement, dated as of May 3, 2012, for the manufacture of Cardiolite</w:t>
            </w:r>
            <w:r>
              <w:rPr>
                <w:rFonts w:ascii="Arial" w:cs="Arial" w:eastAsia="Arial" w:hAnsi="Arial"/>
                <w:sz w:val="11"/>
                <w:szCs w:val="11"/>
                <w:color w:val="auto"/>
                <w:w w:val="96"/>
              </w:rPr>
              <w:t>®</w:t>
            </w:r>
            <w:r>
              <w:rPr>
                <w:rFonts w:ascii="Arial" w:cs="Arial" w:eastAsia="Arial" w:hAnsi="Arial"/>
                <w:sz w:val="18"/>
                <w:szCs w:val="18"/>
                <w:color w:val="auto"/>
                <w:w w:val="96"/>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10.2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Manufacturing and Supply Agreement, dated as of May 3, 2012, for the manufacture of Neurolite</w:t>
            </w:r>
            <w:r>
              <w:rPr>
                <w:rFonts w:ascii="Arial" w:cs="Arial" w:eastAsia="Arial" w:hAnsi="Arial"/>
                <w:sz w:val="11"/>
                <w:szCs w:val="11"/>
                <w:color w:val="auto"/>
                <w:w w:val="96"/>
              </w:rPr>
              <w:t>®</w:t>
            </w:r>
            <w:r>
              <w:rPr>
                <w:rFonts w:ascii="Arial" w:cs="Arial" w:eastAsia="Arial" w:hAnsi="Arial"/>
                <w:sz w:val="18"/>
                <w:szCs w:val="18"/>
                <w:color w:val="auto"/>
                <w:w w:val="96"/>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10.3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Amendment No. 2, dated as of October 15, 2012, to the Purchase and Supply Agreement between Lantheus Medical Imaging, Inc. and Nordion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(Canada) Inc.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Amendment No. 3, effective as of October 1, 2012, to Sales Agreement between Lantheus Medical Imaging, Inc. and NTP Radioisotopes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(Pty) Ltd.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2, effective as of December 27, 2012, to the Amended and Restated Supply Agreement (Thallium and Generators)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Amendment No. 2, effective as of December 27, 2012, to the Amended and Restated Cardiolite</w:t>
            </w:r>
            <w:r>
              <w:rPr>
                <w:rFonts w:ascii="Arial" w:cs="Arial" w:eastAsia="Arial" w:hAnsi="Arial"/>
                <w:sz w:val="11"/>
                <w:szCs w:val="11"/>
                <w:color w:val="auto"/>
                <w:w w:val="88"/>
              </w:rPr>
              <w:t>®</w:t>
            </w:r>
            <w:r>
              <w:rPr>
                <w:rFonts w:ascii="Arial" w:cs="Arial" w:eastAsia="Arial" w:hAnsi="Arial"/>
                <w:sz w:val="18"/>
                <w:szCs w:val="18"/>
                <w:color w:val="auto"/>
                <w:w w:val="88"/>
              </w:rPr>
              <w:t xml:space="preserve"> License and Supply Agreement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License and Distribution Agreement, effective as of January 1, 2013, by and between Lantheus Medical Imaging, Inc. and FUJIFILM RI</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Pharma Co., Ltd.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Separation Agreement, dated February 19, 2013, by and between Lantheus Medical Imaging, Inc. and Don Kiepert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Exhibit 10.1 to Lantheus Medical Imaging, Inc.’s Annual Report on Form 10-K for the year ended December 31, 2012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bl>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10.40</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93"/>
              </w:rPr>
              <w:t>Fission Mo-99 Supply Agreement, effective January 1, 2013, by and between Lantheus Medical Imaging, Inc. and the Institut National des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Radioelements (incorporated by reference to Exhibit 10.1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MI Holdings, Inc. 2013 Equity Incentive Plan (incorporated by reference to Exhibit 10.1 to Lantheus Medical Imaging, Inc.’s Current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Form of Employee Option Grant Award Agreement (incorporated by reference to Exhibit 10.2 to Lantheus Medical Imaging, Inc.’s Current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Non-Employee Director Option Grant Award Agreement (incorporated by reference to Exhibit 10.3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Current 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May 8, 2013, by and between Lantheus Medical Imaging, Inc. and Jeffrey Bailey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10.1 to Lantheus Medical Imaging, Inc.’s Quarterly Report on Form 10-Q for the quarterly period ended September 30, 2013 (file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Amended and Restated Credit Agreement date as of July 3, 2013, by and among Lantheus Medical Imaging Inc., Lantheus MI Intermediate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Lantheus MI Real Estate, LLC, the lenders from time to time party thereto, and Wells Fargo Bank, National Association collateral agent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administrative agent and as sole lead arranger, back runner and syndication agent (incorporated by reference to Exhibit 10.1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Quarterly Report on Form 10-Q for the quarterly period ended June 30,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Consulting Agreement, dated July 24, 2013, by and between Lantheus Medical Imaging, Inc. and John Golubieski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10.46 to Lantheus Medical Imaging, Inc.’s Annual Report on Form 10-K for the year ended December 31, 2013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Employment Agreement, effective August 12, 2013, by and between Lantheus Medical Imaging, Inc. and Mary Anne Heino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reference to Exhibit 10.47 to Lantheus Medical Imaging, Inc.’s Annual Report on Form 10-K for the year ended December 31, 2013 (file number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Employment Agreement, effective August 12, 2013, by and between Lantheus Medical Imaging, Inc. and Cesare Orlandi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reference to Exhibit 10.48 to Lantheus Medical Imaging, Inc.’s Annual Report on Form 10-K for the year ended December 31, 2013 (file number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Manufacturing and Supply Agreement, effective as of November 12, 2013, by and between Lantheus Medical Imaging, Inc. and Pharmalucence,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Inc (incorporated by reference to Exhibit 10.49 to Lantheus Medical Imaging, Inc.’s Annual Report on Form 10-K for the year ended December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Settlement and Mutual Release Agreement, dated as of November 12, 2013, by and between Lantheus Medical Imaging, Inc. and Ben Venue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Laboratories, Inc (incorporated by reference to Exhibit 10.50 to Lantheus Medical Imaging, Inc.’s Annual Report on Form 10-K for the year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7"/>
              </w:rPr>
              <w:t>Letter Agreement, dated February 6, 2014, by and between Lantheus Medical Imaging, Inc. and Pharmalucence, Inc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10.51 to Lantheus Medical Imaging, Inc.’s Annual Report on Form 10-K for the year ended December 31, 2013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bl>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540" w:type="dxa"/>
            <w:vAlign w:val="bottom"/>
            <w:vMerge w:val="restart"/>
          </w:tcPr>
          <w:p>
            <w:pPr>
              <w:ind w:left="800"/>
              <w:spacing w:after="0"/>
              <w:rPr>
                <w:sz w:val="20"/>
                <w:szCs w:val="20"/>
                <w:color w:val="auto"/>
              </w:rPr>
            </w:pPr>
            <w:r>
              <w:rPr>
                <w:rFonts w:ascii="Arial" w:cs="Arial" w:eastAsia="Arial" w:hAnsi="Arial"/>
                <w:sz w:val="18"/>
                <w:szCs w:val="18"/>
                <w:color w:val="auto"/>
              </w:rPr>
              <w:t>Subsidiaries of Lantheus Holdings, Inc.</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21.1*</w:t>
            </w:r>
          </w:p>
        </w:tc>
        <w:tc>
          <w:tcPr>
            <w:tcW w:w="554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6760" w:type="dxa"/>
            <w:vAlign w:val="bottom"/>
            <w:gridSpan w:val="3"/>
          </w:tcPr>
          <w:p>
            <w:pPr>
              <w:ind w:left="800"/>
              <w:spacing w:after="0"/>
              <w:rPr>
                <w:sz w:val="20"/>
                <w:szCs w:val="20"/>
                <w:color w:val="auto"/>
              </w:rPr>
            </w:pPr>
            <w:r>
              <w:rPr>
                <w:rFonts w:ascii="Arial" w:cs="Arial" w:eastAsia="Arial" w:hAnsi="Arial"/>
                <w:sz w:val="18"/>
                <w:szCs w:val="18"/>
                <w:color w:val="auto"/>
                <w:w w:val="89"/>
              </w:rPr>
              <w:t>Consent of Deloitte &amp; Touche LLP Independent Registered Public Accounting Firm.</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6760" w:type="dxa"/>
            <w:vAlign w:val="bottom"/>
            <w:gridSpan w:val="3"/>
          </w:tcPr>
          <w:p>
            <w:pPr>
              <w:ind w:left="800"/>
              <w:spacing w:after="0"/>
              <w:rPr>
                <w:sz w:val="20"/>
                <w:szCs w:val="20"/>
                <w:color w:val="auto"/>
              </w:rPr>
            </w:pPr>
            <w:r>
              <w:rPr>
                <w:rFonts w:ascii="Arial" w:cs="Arial" w:eastAsia="Arial" w:hAnsi="Arial"/>
                <w:sz w:val="18"/>
                <w:szCs w:val="18"/>
                <w:color w:val="auto"/>
              </w:rPr>
              <w:t>Consent of Weil, Gotshal &amp; Manges LLP (included as part of Exhibit 5.1).</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6760" w:type="dxa"/>
            <w:vAlign w:val="bottom"/>
            <w:gridSpan w:val="3"/>
          </w:tcPr>
          <w:p>
            <w:pPr>
              <w:ind w:left="800"/>
              <w:spacing w:after="0"/>
              <w:rPr>
                <w:sz w:val="20"/>
                <w:szCs w:val="20"/>
                <w:color w:val="auto"/>
              </w:rPr>
            </w:pPr>
            <w:r>
              <w:rPr>
                <w:rFonts w:ascii="Arial" w:cs="Arial" w:eastAsia="Arial" w:hAnsi="Arial"/>
                <w:sz w:val="18"/>
                <w:szCs w:val="18"/>
                <w:color w:val="auto"/>
              </w:rPr>
              <w:t>Power of Attorney (included as part of the signature pages 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ind w:left="220" w:hanging="212"/>
        <w:spacing w:after="0" w:line="268"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Confidential treatment has been previously requested as to certain portions, which portions have been filed separately with the Securities and Exchange Commission.</w:t>
      </w:r>
    </w:p>
    <w:p>
      <w:pPr>
        <w:sectPr>
          <w:pgSz w:w="11900" w:h="16838" w:orient="portrait"/>
          <w:cols w:equalWidth="0" w:num="1">
            <w:col w:w="10860"/>
          </w:cols>
          <w:pgMar w:left="240" w:top="459" w:right="7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4916805</wp:posOffset>
            </wp:positionH>
            <wp:positionV relativeFrom="page">
              <wp:posOffset>88900</wp:posOffset>
            </wp:positionV>
            <wp:extent cx="2487295"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2487295" cy="171450"/>
                    </a:xfrm>
                    <a:prstGeom prst="rect">
                      <a:avLst/>
                    </a:prstGeom>
                    <a:noFill/>
                  </pic:spPr>
                </pic:pic>
              </a:graphicData>
            </a:graphic>
          </wp:anchor>
        </w:drawing>
        <w:t>767 Fifth Avenue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Lantheus MI Holdings,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Submitted March 25, 2014 (CIK No. 0001521036)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behalf of our client, Lantheus MI Holdings, Inc., a Delaware corporation (the “Company”), we are confidentially submitting herewith electronically via EDGAR, Amendment No. 1 (“Amendment No. 1”) to the Draft Registration Statement on Form S-1 of the Company (the “Registration Statement”) initially submitted on March 25, 2014. In connection with such submission, set forth below are the Company’s responses to the comments of the Staff communicated in its letter addressed to the Company, dated April 17, 2014. We are sending to the Staff under separate cover courtesy copies of Amendment No. 1, including copies marked to show the changes effected by Amendment No. 1.</w:t>
      </w:r>
    </w:p>
    <w:p>
      <w:pPr>
        <w:spacing w:after="0" w:line="18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For ease of reference, each of the Staff’s comments is reproduced below in bold and is followed by the Company’s response. In addition, unless otherwise indicated, all references to page numbers in such responses are to page numbers in Amendment No.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Please submit all exhibits as soon as practicable. We may have further comments upon examination of these exhibits.</w:t>
      </w:r>
    </w:p>
    <w:p>
      <w:pPr>
        <w:spacing w:after="0" w:line="121"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The Company acknowledges the Staff’s comment and respectfully advises the Staff that it intends to incorporate by reference exhibits from filings of its subsidiary, Lantheus Medical Imaging, Inc. Such exhibits consist of nearly all of the proposed exhibits to be filed by the Company in connection with the Registration Statement. The Company also respectfully advises the Staff that the remaining proposed exhibits will not be available until a later date and will be included in subsequent amendments.</w:t>
      </w:r>
    </w:p>
    <w:p>
      <w:pPr>
        <w:spacing w:after="0" w:line="88" w:lineRule="exact"/>
        <w:rPr>
          <w:rFonts w:ascii="Arial" w:cs="Arial" w:eastAsia="Arial" w:hAnsi="Arial"/>
          <w:sz w:val="18"/>
          <w:szCs w:val="18"/>
          <w:color w:val="auto"/>
        </w:rPr>
      </w:pPr>
    </w:p>
    <w:p>
      <w:pPr>
        <w:ind w:left="460" w:right="60" w:hanging="452"/>
        <w:spacing w:after="0" w:line="266"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Please confirm that the images included in your draft registration statement are all of the graphic, visual or photographic information you will be including. If you intend to use any additional images, please provide us proofs of such materials. Please note that we may have comments regarding this material.</w:t>
      </w:r>
    </w:p>
    <w:p>
      <w:pPr>
        <w:spacing w:after="0" w:line="72" w:lineRule="exact"/>
        <w:rPr>
          <w:rFonts w:ascii="Arial" w:cs="Arial" w:eastAsia="Arial" w:hAnsi="Arial"/>
          <w:sz w:val="18"/>
          <w:szCs w:val="18"/>
          <w:color w:val="auto"/>
        </w:rPr>
      </w:pPr>
    </w:p>
    <w:p>
      <w:pPr>
        <w:ind w:left="460" w:right="380"/>
        <w:spacing w:after="0" w:line="277" w:lineRule="auto"/>
        <w:rPr>
          <w:rFonts w:ascii="Arial" w:cs="Arial" w:eastAsia="Arial" w:hAnsi="Arial"/>
          <w:sz w:val="18"/>
          <w:szCs w:val="18"/>
          <w:color w:val="auto"/>
        </w:rPr>
      </w:pPr>
      <w:r>
        <w:rPr>
          <w:rFonts w:ascii="Arial" w:cs="Arial" w:eastAsia="Arial" w:hAnsi="Arial"/>
          <w:sz w:val="18"/>
          <w:szCs w:val="18"/>
          <w:color w:val="auto"/>
        </w:rPr>
        <w:t>The Company acknowledges the Staff’s comment and respectfully advises the Staff that it will supplementally provide mock-ups of any additional graphic, visual or photographic information when available.</w:t>
      </w:r>
    </w:p>
    <w:p>
      <w:pPr>
        <w:sectPr>
          <w:pgSz w:w="11900" w:h="16838" w:orient="portrait"/>
          <w:cols w:equalWidth="0" w:num="1">
            <w:col w:w="11420"/>
          </w:cols>
          <w:pgMar w:left="240" w:top="612" w:right="239" w:bottom="1440" w:gutter="0" w:footer="0" w:header="0"/>
        </w:sectPr>
      </w:pPr>
    </w:p>
    <w:bookmarkStart w:id="228" w:name="page229"/>
    <w:bookmarkEnd w:id="228"/>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26"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ind w:left="460" w:right="180" w:hanging="452"/>
        <w:spacing w:after="0" w:line="277" w:lineRule="auto"/>
        <w:tabs>
          <w:tab w:leader="none" w:pos="46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pacing w:after="0" w:line="64" w:lineRule="exact"/>
        <w:rPr>
          <w:rFonts w:ascii="Arial" w:cs="Arial" w:eastAsia="Arial" w:hAnsi="Arial"/>
          <w:sz w:val="17"/>
          <w:szCs w:val="17"/>
          <w:color w:val="auto"/>
        </w:rPr>
      </w:pPr>
    </w:p>
    <w:p>
      <w:pPr>
        <w:ind w:left="460" w:right="20"/>
        <w:spacing w:after="0" w:line="312" w:lineRule="auto"/>
        <w:rPr>
          <w:rFonts w:ascii="Arial" w:cs="Arial" w:eastAsia="Arial" w:hAnsi="Arial"/>
          <w:sz w:val="17"/>
          <w:szCs w:val="17"/>
          <w:color w:val="auto"/>
        </w:rPr>
      </w:pPr>
      <w:r>
        <w:rPr>
          <w:rFonts w:ascii="Arial" w:cs="Arial" w:eastAsia="Arial" w:hAnsi="Arial"/>
          <w:sz w:val="16"/>
          <w:szCs w:val="16"/>
          <w:color w:val="auto"/>
        </w:rPr>
        <w:t>The Company acknowledges the Staff’s comment and respectfully advises the Staff that to date no such written communications have been made and that to date no such research reports have been published or distributed. In the event such written communications are made or such research reports are published or distributed, the Company respectfully advises the Staff that it undertakes to supplementally provide such materials to the Staff.</w:t>
      </w:r>
    </w:p>
    <w:p>
      <w:pPr>
        <w:spacing w:after="0" w:line="48" w:lineRule="exact"/>
        <w:rPr>
          <w:rFonts w:ascii="Arial" w:cs="Arial" w:eastAsia="Arial" w:hAnsi="Arial"/>
          <w:sz w:val="17"/>
          <w:szCs w:val="17"/>
          <w:color w:val="auto"/>
        </w:rPr>
      </w:pPr>
    </w:p>
    <w:p>
      <w:pPr>
        <w:ind w:left="460" w:right="580" w:hanging="452"/>
        <w:spacing w:after="0" w:line="282"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Please disclose the approximate number of holders of your common stock as of the latest practicable date, as required by Item 201(b) of Regulation S-K.</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The Company respectfully acknowledges the Staff’s comment and has revised the disclosure on page 135 in response to the Staff’s comment.</w:t>
      </w:r>
    </w:p>
    <w:p>
      <w:pPr>
        <w:spacing w:after="0" w:line="138" w:lineRule="exact"/>
        <w:rPr>
          <w:rFonts w:ascii="Arial" w:cs="Arial" w:eastAsia="Arial" w:hAnsi="Arial"/>
          <w:sz w:val="18"/>
          <w:szCs w:val="18"/>
          <w:color w:val="auto"/>
        </w:rPr>
      </w:pPr>
    </w:p>
    <w:p>
      <w:pPr>
        <w:ind w:left="460" w:right="520" w:hanging="452"/>
        <w:spacing w:after="0" w:line="282"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Any comments to your confidential treatment request will be sent in a separate letter. Please be advised that any such comments must be resolved prior to requesting effectiveness of the registration statement you will file.</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Please define the following scientific terms at their first use to provide a reasonable investor with an understanding of such terms: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“radiolabeled;”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“single-photon emission computed tomography;”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“positron emission tomography;”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b w:val="1"/>
          <w:bCs w:val="1"/>
          <w:color w:val="auto"/>
        </w:rPr>
        <w:t>“radioisotope;”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b w:val="1"/>
          <w:bCs w:val="1"/>
          <w:color w:val="auto"/>
        </w:rPr>
        <w:t>“nuclear myocardial perfusion imaging;”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b w:val="1"/>
          <w:bCs w:val="1"/>
          <w:color w:val="auto"/>
        </w:rPr>
        <w:t>“cyclotrons.”</w:t>
      </w:r>
    </w:p>
    <w:p>
      <w:pPr>
        <w:sectPr>
          <w:pgSz w:w="11900" w:h="16838" w:orient="portrait"/>
          <w:cols w:equalWidth="0" w:num="1">
            <w:col w:w="11420"/>
          </w:cols>
          <w:pgMar w:left="240" w:top="270" w:right="239" w:bottom="1440" w:gutter="0" w:footer="0" w:header="0"/>
          <w:type w:val="continuous"/>
        </w:sectPr>
      </w:pPr>
    </w:p>
    <w:bookmarkStart w:id="229" w:name="page230"/>
    <w:bookmarkEnd w:id="229"/>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30"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jc w:val="center"/>
        <w:ind w:right="-39"/>
        <w:spacing w:after="0"/>
        <w:rPr>
          <w:sz w:val="20"/>
          <w:szCs w:val="20"/>
          <w:color w:val="auto"/>
        </w:rPr>
      </w:pPr>
      <w:r>
        <w:rPr>
          <w:rFonts w:ascii="Arial" w:cs="Arial" w:eastAsia="Arial" w:hAnsi="Arial"/>
          <w:sz w:val="17"/>
          <w:szCs w:val="17"/>
          <w:color w:val="auto"/>
        </w:rPr>
        <w:t>The Company acknowledges the Staff’s comment and has revised the disclosure on the pages identified below in response to the Staff’s comment.</w:t>
      </w:r>
    </w:p>
    <w:p>
      <w:pPr>
        <w:spacing w:after="0" w:line="142" w:lineRule="exact"/>
        <w:rPr>
          <w:sz w:val="20"/>
          <w:szCs w:val="20"/>
          <w:color w:val="auto"/>
        </w:rPr>
      </w:pPr>
    </w:p>
    <w:p>
      <w:pPr>
        <w:ind w:left="900" w:hanging="446"/>
        <w:spacing w:after="0"/>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“radiolabeling” – page 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“single-photon emission computed tomography” – page 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“positron emission tomography” – page 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“radioisotope” – page 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“nuclear myocardial perfusion imaging” – page 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“cyclotrons” – page 2</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Please include an organization chart of the structure of your company and its subsidiaries.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 and has provided a chart on page 10 in response to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Business, page 8</w:t>
      </w:r>
    </w:p>
    <w:p>
      <w:pPr>
        <w:spacing w:after="0" w:line="13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Please expand the list to include bullets to briefly describe your losses and level of indebtedness.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 and has revised the disclosure on page 9 in response to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 General, page 15</w:t>
      </w:r>
    </w:p>
    <w:p>
      <w:pPr>
        <w:spacing w:after="0" w:line="13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Please include a risk factor to address your losses for at least each of the past two years and cumulatively.</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 and has revised the disclosure on page 22 in response to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will not be able to further develop.,” page 29</w:t>
      </w:r>
    </w:p>
    <w:p>
      <w:pPr>
        <w:spacing w:after="0" w:line="13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Please disclose any past difficulty you have experienced engaging strategic partners.</w:t>
      </w:r>
    </w:p>
    <w:p>
      <w:pPr>
        <w:spacing w:after="0" w:line="121" w:lineRule="exact"/>
        <w:rPr>
          <w:rFonts w:ascii="Arial" w:cs="Arial" w:eastAsia="Arial" w:hAnsi="Arial"/>
          <w:sz w:val="18"/>
          <w:szCs w:val="18"/>
          <w:color w:val="auto"/>
        </w:rPr>
      </w:pPr>
    </w:p>
    <w:p>
      <w:pPr>
        <w:ind w:left="460" w:right="80"/>
        <w:spacing w:after="0" w:line="257" w:lineRule="auto"/>
        <w:rPr>
          <w:rFonts w:ascii="Arial" w:cs="Arial" w:eastAsia="Arial" w:hAnsi="Arial"/>
          <w:sz w:val="18"/>
          <w:szCs w:val="18"/>
          <w:color w:val="auto"/>
        </w:rPr>
      </w:pPr>
      <w:r>
        <w:rPr>
          <w:rFonts w:ascii="Arial" w:cs="Arial" w:eastAsia="Arial" w:hAnsi="Arial"/>
          <w:sz w:val="18"/>
          <w:szCs w:val="18"/>
          <w:color w:val="auto"/>
        </w:rPr>
        <w:t>The Company acknowledges the Staff’s comment and supplementally advises the Staff that the Company has not experienced any past difficulty in engaging strategic partners in meaningful discussions about the possibility of entering into strategic arrangements. Depending upon a specific partner’s time horizons, risk profile, return expectations and amount of capital available to deploy, the Company may be limited in the number of possible strategic partners that are willing to enter into definitive strategic arrangements with us. The Company has revised the disclosure on page 31 in response to the Staff’s comment.</w:t>
      </w:r>
    </w:p>
    <w:p>
      <w:pPr>
        <w:sectPr>
          <w:pgSz w:w="11900" w:h="16838" w:orient="portrait"/>
          <w:cols w:equalWidth="0" w:num="1">
            <w:col w:w="11420"/>
          </w:cols>
          <w:pgMar w:left="240" w:top="270" w:right="239" w:bottom="1440" w:gutter="0" w:footer="0" w:header="0"/>
          <w:type w:val="continuous"/>
        </w:sectPr>
      </w:pPr>
    </w:p>
    <w:bookmarkStart w:id="230" w:name="page231"/>
    <w:bookmarkEnd w:id="23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26"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“In the ordinary course of business, we may be subject.,” page 30</w:t>
      </w:r>
    </w:p>
    <w:p>
      <w:pPr>
        <w:spacing w:after="0" w:line="131"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Please clarify whether you have obtained product liability coverage and, if so, please state the amount of coverage you have obtained.</w:t>
      </w:r>
    </w:p>
    <w:p>
      <w:pPr>
        <w:spacing w:after="0" w:line="132" w:lineRule="exact"/>
        <w:rPr>
          <w:rFonts w:ascii="Arial" w:cs="Arial" w:eastAsia="Arial" w:hAnsi="Arial"/>
          <w:sz w:val="17"/>
          <w:szCs w:val="17"/>
          <w:color w:val="auto"/>
        </w:rPr>
      </w:pPr>
    </w:p>
    <w:p>
      <w:pPr>
        <w:ind w:left="460" w:right="60"/>
        <w:spacing w:after="0" w:line="255" w:lineRule="auto"/>
        <w:rPr>
          <w:rFonts w:ascii="Arial" w:cs="Arial" w:eastAsia="Arial" w:hAnsi="Arial"/>
          <w:sz w:val="17"/>
          <w:szCs w:val="17"/>
          <w:color w:val="auto"/>
        </w:rPr>
      </w:pPr>
      <w:r>
        <w:rPr>
          <w:rFonts w:ascii="Arial" w:cs="Arial" w:eastAsia="Arial" w:hAnsi="Arial"/>
          <w:sz w:val="18"/>
          <w:szCs w:val="18"/>
          <w:color w:val="auto"/>
        </w:rPr>
        <w:t>The Company respectfully acknowledges the Staff’s comment and has revised the relevant disclosure on page 32 to include the Company’s belief that the limits are customary and adequate to provide it with coverage for foreseeable risks. The Company supplementally advises the Staff that the Company believes that since this information is not typically disclosed by other companies of comparable size in the industry, such disclosure would not be meaningful to the Company’s investors in assessing whether or not such coverage is adequate. Further, the Company believes that the amount of coverage constitutes commercially sensitive information, the disclosure of which could be harmful to the Company and is not in the best interest of its stockholders.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not be able to hire or retain.,” page 35</w:t>
      </w:r>
    </w:p>
    <w:p>
      <w:pPr>
        <w:spacing w:after="0" w:line="13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Please disclose any past difficulty you have had either hiring or retaining qualified personnel.</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Company acknowledges the Staff’s comment and has revised the relevant disclosure on pages 37 and 38 in response to the Staff’s comment.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49</w:t>
      </w:r>
    </w:p>
    <w:p>
      <w:pPr>
        <w:spacing w:after="0" w:line="131" w:lineRule="exact"/>
        <w:rPr>
          <w:sz w:val="20"/>
          <w:szCs w:val="20"/>
          <w:color w:val="auto"/>
        </w:rPr>
      </w:pPr>
    </w:p>
    <w:p>
      <w:pPr>
        <w:ind w:left="460" w:hanging="452"/>
        <w:spacing w:after="0" w:line="266"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The second paragraph of the introductory section proposes to disclose what appears to be historical net tangible book value and the related per share amount. The dilution table that follows starts with pro forma net tangible book value per share. Please revise your disclosure to correct this inconsistency and disclose what the pro forma amount represents.</w:t>
      </w:r>
    </w:p>
    <w:p>
      <w:pPr>
        <w:spacing w:after="0" w:line="7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 and has revised the disclosure on page 52 in response to the Staff’s comment.</w:t>
      </w:r>
    </w:p>
    <w:p>
      <w:pPr>
        <w:sectPr>
          <w:pgSz w:w="11900" w:h="16838" w:orient="portrait"/>
          <w:cols w:equalWidth="0" w:num="1">
            <w:col w:w="11420"/>
          </w:cols>
          <w:pgMar w:left="240" w:top="270" w:right="239" w:bottom="1440" w:gutter="0" w:footer="0" w:header="0"/>
          <w:type w:val="continuous"/>
        </w:sectPr>
      </w:pPr>
    </w:p>
    <w:bookmarkStart w:id="231" w:name="page232"/>
    <w:bookmarkEnd w:id="231"/>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25"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Non-GAAP Financial Measures, page 50</w:t>
      </w:r>
    </w:p>
    <w:p>
      <w:pPr>
        <w:spacing w:after="0" w:line="131" w:lineRule="exact"/>
        <w:rPr>
          <w:sz w:val="20"/>
          <w:szCs w:val="20"/>
          <w:color w:val="auto"/>
        </w:rPr>
      </w:pPr>
    </w:p>
    <w:p>
      <w:pPr>
        <w:ind w:left="460" w:right="300" w:hanging="452"/>
        <w:spacing w:after="0" w:line="277" w:lineRule="auto"/>
        <w:tabs>
          <w:tab w:leader="none" w:pos="46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Refer to your reconciliation to the calculation of Adjusted EBITDA and Adjusted EBITDA before Run-Rate Savings in Summary Consolidated Financial and Other Data. Footnote 1(h) discloses run-rate savings includes cost-savings expected to be realized that are calculated on a pro forma basis. Please explain to us how combining cost savings realized and to be realized on a pro forma basis in one line item is meaningful to investors. Also, explain to us how the cost savings to be realized adjustment is factually supportable and how your presentation complies with the disclosure requirements of Rule 11-02(b)(6) of Regulation S-X.</w:t>
      </w:r>
    </w:p>
    <w:p>
      <w:pPr>
        <w:spacing w:after="0" w:line="64" w:lineRule="exact"/>
        <w:rPr>
          <w:rFonts w:ascii="Arial" w:cs="Arial" w:eastAsia="Arial" w:hAnsi="Arial"/>
          <w:sz w:val="17"/>
          <w:szCs w:val="17"/>
          <w:color w:val="auto"/>
        </w:rPr>
      </w:pPr>
    </w:p>
    <w:p>
      <w:pPr>
        <w:ind w:left="460" w:right="20"/>
        <w:spacing w:after="0" w:line="254" w:lineRule="auto"/>
        <w:rPr>
          <w:rFonts w:ascii="Arial" w:cs="Arial" w:eastAsia="Arial" w:hAnsi="Arial"/>
          <w:sz w:val="17"/>
          <w:szCs w:val="17"/>
          <w:color w:val="auto"/>
        </w:rPr>
      </w:pPr>
      <w:r>
        <w:rPr>
          <w:rFonts w:ascii="Arial" w:cs="Arial" w:eastAsia="Arial" w:hAnsi="Arial"/>
          <w:sz w:val="18"/>
          <w:szCs w:val="18"/>
          <w:color w:val="auto"/>
        </w:rPr>
        <w:t>The Company acknowledges the Staff’s comment and has revised the disclosure on page 53 and on footnote 1(h) on page 16 in response to the Staff’s comment by noting that run-rate cost savings, operating expense reductions and other expense and cost-savings which were realized for the years ended December 31, 2013 and 2012 primarily related to our strategic shift from in-house research and development to an external partnering model of research and development, and those savings have now been realized. The Company respectfully advises the Staff that under the Company’s bank facility, run-rate savings are an allowable add-back to the definition of Consolidated EBITDA as indicative of management’s near-term operating plans. The Company respectfully advises the Staff that the Company’s use of the term “pro forma” was not intended to mean “pro forma” pursuant to Article 11 of Regulation S-X but rather to give effect to run-rate savings. With these revisions, the Company believes Article 11 of Regulation S-X is not applicable.</w:t>
      </w:r>
    </w:p>
    <w:p>
      <w:pPr>
        <w:spacing w:after="0" w:line="93" w:lineRule="exact"/>
        <w:rPr>
          <w:rFonts w:ascii="Arial" w:cs="Arial" w:eastAsia="Arial" w:hAnsi="Arial"/>
          <w:sz w:val="17"/>
          <w:szCs w:val="17"/>
          <w:color w:val="auto"/>
        </w:rPr>
      </w:pPr>
    </w:p>
    <w:p>
      <w:pPr>
        <w:ind w:left="460" w:right="300" w:hanging="452"/>
        <w:spacing w:after="0" w:line="261"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Further, please expand your disclosure to explain how you use your non-GAAP measures for additional purposes, such as executive compensation, as required by Item 10(e)(1)(i)(D) of Regulation S-K. Also, you disclose on page 122 that your actual EBITDA relative to performance vesting of options in 2013 was $46.4 million. Please reconcile this amount to the EBITDA amount disclosed on page 13 in your reconciliation of net income (loss) to Adjusted EBITDA.</w:t>
      </w:r>
    </w:p>
    <w:p>
      <w:pPr>
        <w:spacing w:after="0" w:line="7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The Company acknowledges the Staff’s comment and has revised the disclosure on pages 53 and 127 in response to the Staff’s comment.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 General, page 52</w:t>
      </w:r>
    </w:p>
    <w:p>
      <w:pPr>
        <w:spacing w:after="0" w:line="131" w:lineRule="exact"/>
        <w:rPr>
          <w:sz w:val="20"/>
          <w:szCs w:val="20"/>
          <w:color w:val="auto"/>
        </w:rPr>
      </w:pPr>
    </w:p>
    <w:p>
      <w:pPr>
        <w:ind w:left="460" w:right="180" w:hanging="452"/>
        <w:spacing w:after="0" w:line="266"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Please provide the quantitative disclosures about market risk using one of the three disclosure alternatives required by Rule 305(a) of Regulation S-K and provide qualitative information describing your primary market risk within each category, as required by Rule 305(b)(i) of Regulation S- K.</w:t>
      </w:r>
    </w:p>
    <w:p>
      <w:pPr>
        <w:spacing w:after="0" w:line="7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The Company acknowledges the Staff’s comment and has revised the disclosure on pages 82 through 84 in response to the Staff’s comment.</w:t>
      </w:r>
    </w:p>
    <w:p>
      <w:pPr>
        <w:sectPr>
          <w:pgSz w:w="11900" w:h="16838" w:orient="portrait"/>
          <w:cols w:equalWidth="0" w:num="1">
            <w:col w:w="11420"/>
          </w:cols>
          <w:pgMar w:left="240" w:top="270" w:right="239" w:bottom="1440" w:gutter="0" w:footer="0" w:header="0"/>
          <w:type w:val="continuous"/>
        </w:sectPr>
      </w:pPr>
    </w:p>
    <w:bookmarkStart w:id="232" w:name="page233"/>
    <w:bookmarkEnd w:id="232"/>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25"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Key Factors Affecting Our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Growth of DEFINITY, page 54</w:t>
      </w:r>
    </w:p>
    <w:p>
      <w:pPr>
        <w:spacing w:after="0" w:line="112" w:lineRule="exact"/>
        <w:rPr>
          <w:sz w:val="20"/>
          <w:szCs w:val="20"/>
          <w:color w:val="auto"/>
        </w:rPr>
      </w:pPr>
    </w:p>
    <w:p>
      <w:pPr>
        <w:ind w:left="460" w:right="100" w:hanging="452"/>
        <w:spacing w:after="0" w:line="347" w:lineRule="auto"/>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You disclose that DEFINITY is currently your largest, fastest growing and highest margin commercial product. However, the table on page 53 shows that DEFINITY has the second largest product revenue. Please revise your disclosure to clarify this apparent inconsistency.</w:t>
      </w:r>
    </w:p>
    <w:p>
      <w:pPr>
        <w:spacing w:after="0" w:line="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The Company acknowledges the Staff’s comment and has revised the disclosure on pages 57 and 92 in response to the Staff’s comment.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Isotope Supply, page 54</w:t>
      </w:r>
    </w:p>
    <w:p>
      <w:pPr>
        <w:spacing w:after="0" w:line="131" w:lineRule="exact"/>
        <w:rPr>
          <w:sz w:val="20"/>
          <w:szCs w:val="20"/>
          <w:color w:val="auto"/>
        </w:rPr>
      </w:pPr>
    </w:p>
    <w:p>
      <w:pPr>
        <w:ind w:left="460" w:right="260" w:hanging="452"/>
        <w:spacing w:after="0" w:line="266"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During Nordion’s shutdown period, you do not currently believe that you will be able to supply all of your standing order customer demand for Xenon during the outage. Please revise your disclosure to quantify the effect this supply issue will have on your results of operations, financial condition and cash flows.</w:t>
      </w:r>
    </w:p>
    <w:p>
      <w:pPr>
        <w:spacing w:after="0" w:line="72" w:lineRule="exact"/>
        <w:rPr>
          <w:rFonts w:ascii="Arial" w:cs="Arial" w:eastAsia="Arial" w:hAnsi="Arial"/>
          <w:sz w:val="18"/>
          <w:szCs w:val="18"/>
          <w:color w:val="auto"/>
        </w:rPr>
      </w:pPr>
    </w:p>
    <w:p>
      <w:pPr>
        <w:jc w:val="both"/>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acknowledges the Staff’s comment and has revised the disclosure on pages 57 and 58 in response to the Staff’s comment. The Company respectfully advises the Staff that it does not believe the impact of the effect of the supply issue during the four week shutdown period is quantitatively or qualitatively material to investors because the shutdown is an annual event and the impact of the shutdown is reflected consistently in the prior year financial results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Years ended December 31, 2013, 2012 and 2011, page 57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 page 57</w:t>
      </w:r>
    </w:p>
    <w:p>
      <w:pPr>
        <w:spacing w:after="0" w:line="131" w:lineRule="exact"/>
        <w:rPr>
          <w:sz w:val="20"/>
          <w:szCs w:val="20"/>
          <w:color w:val="auto"/>
        </w:rPr>
      </w:pPr>
    </w:p>
    <w:p>
      <w:pPr>
        <w:ind w:left="460" w:right="40" w:hanging="452"/>
        <w:spacing w:after="0" w:line="282"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We note you present the break out of the total U.S. revenues by product, but you present international revenues in one lump sum. Please tell us and disclose similar breakout of your international revenues by product for all of the periods presented.</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 and has revised the disclosure on page 60 in response to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 page 66</w:t>
      </w:r>
    </w:p>
    <w:p>
      <w:pPr>
        <w:spacing w:after="0" w:line="13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Please expand your disclosure to discuss the factors that lead to the increase in the valuation allowance in 2011.</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The Company acknowledges the Staff’s comment and has revised the disclosure on pages 69 and 70 in response to the Staff’s comment.</w:t>
      </w:r>
    </w:p>
    <w:p>
      <w:pPr>
        <w:sectPr>
          <w:pgSz w:w="11900" w:h="16838" w:orient="portrait"/>
          <w:cols w:equalWidth="0" w:num="1">
            <w:col w:w="11420"/>
          </w:cols>
          <w:pgMar w:left="240" w:top="270" w:right="239" w:bottom="1440" w:gutter="0" w:footer="0" w:header="0"/>
          <w:type w:val="continuous"/>
        </w:sectPr>
      </w:pPr>
    </w:p>
    <w:bookmarkStart w:id="233" w:name="page234"/>
    <w:bookmarkEnd w:id="233"/>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26"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Recent Accounting Standards, page 74</w:t>
      </w:r>
    </w:p>
    <w:p>
      <w:pPr>
        <w:spacing w:after="0" w:line="131" w:lineRule="exact"/>
        <w:rPr>
          <w:sz w:val="20"/>
          <w:szCs w:val="20"/>
          <w:color w:val="auto"/>
        </w:rPr>
      </w:pPr>
    </w:p>
    <w:p>
      <w:pPr>
        <w:ind w:left="460" w:right="240" w:hanging="452"/>
        <w:spacing w:after="0" w:line="347" w:lineRule="auto"/>
        <w:tabs>
          <w:tab w:leader="none" w:pos="460"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You disclose the anticipated impact of adopting ASU 2013-11 on your financial statements; however it appears that you have not specifically disclosed your election under Section 107(b) of the JOBS Act. Please revise your disclosure in the applicable section of the filing to state:</w:t>
      </w:r>
    </w:p>
    <w:p>
      <w:pPr>
        <w:spacing w:after="0" w:line="21" w:lineRule="exact"/>
        <w:rPr>
          <w:rFonts w:ascii="Arial" w:cs="Arial" w:eastAsia="Arial" w:hAnsi="Arial"/>
          <w:sz w:val="16"/>
          <w:szCs w:val="16"/>
          <w:color w:val="auto"/>
        </w:rPr>
      </w:pPr>
    </w:p>
    <w:p>
      <w:pPr>
        <w:ind w:left="1460" w:right="80" w:hanging="547"/>
        <w:spacing w:after="0" w:line="282"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If you have elected to opt out of the extended transition period for complying with new or revised accounting standards pursuant to Section 107(b), include a statement that the election is irrevocable; or</w:t>
      </w:r>
    </w:p>
    <w:p>
      <w:pPr>
        <w:spacing w:after="0" w:line="67" w:lineRule="exact"/>
        <w:rPr>
          <w:rFonts w:ascii="Arial" w:cs="Arial" w:eastAsia="Arial" w:hAnsi="Arial"/>
          <w:sz w:val="18"/>
          <w:szCs w:val="18"/>
          <w:color w:val="auto"/>
        </w:rPr>
      </w:pPr>
    </w:p>
    <w:p>
      <w:pPr>
        <w:ind w:left="1460" w:hanging="547"/>
        <w:spacing w:after="0"/>
        <w:tabs>
          <w:tab w:leader="none" w:pos="1460" w:val="left"/>
        </w:tabs>
        <w:numPr>
          <w:ilvl w:val="1"/>
          <w:numId w:val="144"/>
        </w:numPr>
        <w:rPr>
          <w:rFonts w:ascii="Arial" w:cs="Arial" w:eastAsia="Arial" w:hAnsi="Arial"/>
          <w:sz w:val="17"/>
          <w:szCs w:val="17"/>
          <w:color w:val="auto"/>
        </w:rPr>
      </w:pPr>
      <w:r>
        <w:rPr>
          <w:rFonts w:ascii="Arial" w:cs="Arial" w:eastAsia="Arial" w:hAnsi="Arial"/>
          <w:sz w:val="17"/>
          <w:szCs w:val="17"/>
          <w:b w:val="1"/>
          <w:bCs w:val="1"/>
          <w:color w:val="auto"/>
        </w:rPr>
        <w:t>If you have elected to use the extended transition period for complying with new or revised accounting standards under</w:t>
      </w:r>
    </w:p>
    <w:p>
      <w:pPr>
        <w:spacing w:after="0" w:line="38" w:lineRule="exact"/>
        <w:rPr>
          <w:rFonts w:ascii="Arial" w:cs="Arial" w:eastAsia="Arial" w:hAnsi="Arial"/>
          <w:sz w:val="17"/>
          <w:szCs w:val="17"/>
          <w:color w:val="auto"/>
        </w:rPr>
      </w:pPr>
    </w:p>
    <w:p>
      <w:pPr>
        <w:ind w:left="1460" w:right="80"/>
        <w:spacing w:after="0" w:line="295" w:lineRule="auto"/>
        <w:rPr>
          <w:rFonts w:ascii="Arial" w:cs="Arial" w:eastAsia="Arial" w:hAnsi="Arial"/>
          <w:sz w:val="17"/>
          <w:szCs w:val="17"/>
          <w:color w:val="auto"/>
        </w:rPr>
      </w:pPr>
      <w:r>
        <w:rPr>
          <w:rFonts w:ascii="Arial" w:cs="Arial" w:eastAsia="Arial" w:hAnsi="Arial"/>
          <w:sz w:val="16"/>
          <w:szCs w:val="16"/>
          <w:b w:val="1"/>
          <w:bCs w:val="1"/>
          <w:color w:val="auto"/>
        </w:rPr>
        <w:t>Section 102(b)(1), provide a risk factor explaining that this election allows you to delay the adoption of new or revised accounting standards that have different effective dates for public and private companies until those standards apply to private companies. Please state in your risk factor that, as a result of this election, your financial statements may not be comparable to companies that comply with public company effective dates. Include a similar statement in your critical accounting policy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the Staff’s comment and has revised the disclosure on pages 8 and 78 in response to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and 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Outstanding Equity Awards at 2013 Fiscal Year-End, page 125</w:t>
      </w:r>
    </w:p>
    <w:p>
      <w:pPr>
        <w:spacing w:after="0" w:line="112" w:lineRule="exact"/>
        <w:rPr>
          <w:sz w:val="20"/>
          <w:szCs w:val="20"/>
          <w:color w:val="auto"/>
        </w:rPr>
      </w:pPr>
    </w:p>
    <w:p>
      <w:pPr>
        <w:ind w:left="460" w:right="460" w:hanging="452"/>
        <w:spacing w:after="0" w:line="282"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We note that this table appears two pages earlier on page 123. Please remove one of the tables to avoid providing unnecessary duplicative disclosure.</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 and has removed the duplicate table in response to the Staff’s comment.</w:t>
      </w:r>
    </w:p>
    <w:p>
      <w:pPr>
        <w:sectPr>
          <w:pgSz w:w="11900" w:h="16838" w:orient="portrait"/>
          <w:cols w:equalWidth="0" w:num="1">
            <w:col w:w="11420"/>
          </w:cols>
          <w:pgMar w:left="240" w:top="270" w:right="239" w:bottom="1440" w:gutter="0" w:footer="0" w:header="0"/>
          <w:type w:val="continuous"/>
        </w:sectPr>
      </w:pPr>
    </w:p>
    <w:bookmarkStart w:id="234" w:name="page235"/>
    <w:bookmarkEnd w:id="234"/>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26"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Shares Eligible for Future Sale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Lock-Up Agreements, page 140</w:t>
      </w:r>
    </w:p>
    <w:p>
      <w:pPr>
        <w:spacing w:after="0" w:line="112"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When available, please file a form of lock-up agreement as an exhibit.</w:t>
      </w:r>
    </w:p>
    <w:p>
      <w:pPr>
        <w:spacing w:after="0" w:line="121"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The Company acknowledges the Staff’s comment and supplementally advises the Staff that it will file the form of lock-up agreement as an exhibit in a subsequent amendment.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ind w:right="7860" w:firstLine="8"/>
        <w:spacing w:after="0" w:line="261" w:lineRule="auto"/>
        <w:tabs>
          <w:tab w:leader="none" w:pos="180" w:val="left"/>
        </w:tabs>
        <w:numPr>
          <w:ilvl w:val="0"/>
          <w:numId w:val="14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Summary of Significant Accounting Policies Revenue Recognition, page F-9</w:t>
      </w:r>
    </w:p>
    <w:p>
      <w:pPr>
        <w:spacing w:after="0" w:line="85" w:lineRule="exact"/>
        <w:rPr>
          <w:sz w:val="20"/>
          <w:szCs w:val="20"/>
          <w:color w:val="auto"/>
        </w:rPr>
      </w:pPr>
    </w:p>
    <w:p>
      <w:pPr>
        <w:ind w:left="460" w:right="240" w:hanging="452"/>
        <w:spacing w:after="0" w:line="295" w:lineRule="auto"/>
        <w:tabs>
          <w:tab w:leader="none" w:pos="460"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Please refer to the first amendment to the 2009 license and supply agreement on page F-10 where you disclose that revenue under this arrangement is being recognized at an average selling price as the units are shipped. Since the Agreement required you to deliver a specified number of product unit shipments at various prices please tell us what price is billed to record accounts receivable on the date you ship products to your customer as well as the amounts of revenues and any deferred revenues recorded. Provide us an example journal entry showing how you record the transaction. Also, please provide us your analysis demonstrating that the price of the units shipped is fixed or determinable at the date of shipment and is not contingent on the end-market sale by the customer.</w:t>
      </w:r>
    </w:p>
    <w:p>
      <w:pPr>
        <w:spacing w:after="0" w:line="51" w:lineRule="exact"/>
        <w:rPr>
          <w:rFonts w:ascii="Arial" w:cs="Arial" w:eastAsia="Arial" w:hAnsi="Arial"/>
          <w:sz w:val="16"/>
          <w:szCs w:val="16"/>
          <w:color w:val="auto"/>
        </w:rPr>
      </w:pPr>
    </w:p>
    <w:p>
      <w:pPr>
        <w:ind w:left="460" w:right="20"/>
        <w:spacing w:after="0" w:line="270" w:lineRule="auto"/>
        <w:rPr>
          <w:rFonts w:ascii="Arial" w:cs="Arial" w:eastAsia="Arial" w:hAnsi="Arial"/>
          <w:sz w:val="16"/>
          <w:szCs w:val="16"/>
          <w:color w:val="auto"/>
        </w:rPr>
      </w:pPr>
      <w:r>
        <w:rPr>
          <w:rFonts w:ascii="Arial" w:cs="Arial" w:eastAsia="Arial" w:hAnsi="Arial"/>
          <w:sz w:val="17"/>
          <w:szCs w:val="17"/>
          <w:color w:val="auto"/>
        </w:rPr>
        <w:t>The Company acknowledges the Staff’s comment and supplementally advises the Staff that, as disclosed on page F-10, the amendment to the Agreement (the “Amendment”) contains specific pricing for the same product to be shipped at stages throughout the Amendment term. Under the terms of the Amendment, the units shipped prior to the Amendment period had a substantially higher unit selling price than the units shipped later in the 11-month contractual Amendment period. The amount the Company recorded as accounts receivable upon shipment of units was based upon the specific unit price contained in the Amendment and represented the amount the Company was legally entitled to receive for that specific unit shipment. The revenue recorded upon the unit shipment, however, was based on the average selling price per unit, which was calculated by dividing the total units to be shipped under the Amendment by the total amount of cash to be received for all units under the Amendment. As a result, the Company recorded deferred revenues for the amount by which the specific unit selling price specified under the Amendment exceeded the average selling price under the Amendment as calculated by the Company. An example of a journal entry to reflect this is as follows:</w:t>
      </w:r>
    </w:p>
    <w:p>
      <w:pPr>
        <w:sectPr>
          <w:pgSz w:w="11900" w:h="16838" w:orient="portrait"/>
          <w:cols w:equalWidth="0" w:num="1">
            <w:col w:w="11420"/>
          </w:cols>
          <w:pgMar w:left="240" w:top="270" w:right="239" w:bottom="1440" w:gutter="0" w:footer="0" w:header="0"/>
          <w:type w:val="continuous"/>
        </w:sectPr>
      </w:pPr>
    </w:p>
    <w:bookmarkStart w:id="235" w:name="page236"/>
    <w:bookmarkEnd w:id="235"/>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30"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ind w:left="460"/>
        <w:spacing w:after="0"/>
        <w:rPr>
          <w:sz w:val="20"/>
          <w:szCs w:val="20"/>
          <w:color w:val="auto"/>
        </w:rPr>
      </w:pPr>
      <w:r>
        <w:rPr>
          <w:rFonts w:ascii="Arial" w:cs="Arial" w:eastAsia="Arial" w:hAnsi="Arial"/>
          <w:sz w:val="18"/>
          <w:szCs w:val="18"/>
          <w:u w:val="single" w:color="auto"/>
          <w:color w:val="auto"/>
        </w:rPr>
        <w:t>Example journal entries: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Assumptions:</w:t>
      </w:r>
    </w:p>
    <w:p>
      <w:pPr>
        <w:spacing w:after="0" w:line="131" w:lineRule="exact"/>
        <w:rPr>
          <w:sz w:val="20"/>
          <w:szCs w:val="20"/>
          <w:color w:val="auto"/>
        </w:rPr>
      </w:pPr>
    </w:p>
    <w:p>
      <w:pPr>
        <w:ind w:left="1480" w:hanging="567"/>
        <w:spacing w:after="0"/>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Ship 100 units on January 2012 at a selling price of $100 per unit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Ship 100 units on October 2012 at a selling price of $20 per unit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Average selling price per unit – $60</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January 2012 - To record accounts receivable and revenue at time of shipment.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Dr. Accounts receivable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spacing w:after="0"/>
              <w:rPr>
                <w:sz w:val="18"/>
                <w:szCs w:val="18"/>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Cr. Deferred revenue</w:t>
            </w:r>
          </w:p>
        </w:tc>
        <w:tc>
          <w:tcPr>
            <w:tcW w:w="2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 Revenue</w:t>
            </w:r>
          </w:p>
        </w:tc>
        <w:tc>
          <w:tcPr>
            <w:tcW w:w="2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October 2012 - To record accounts receivable and revenue at time of shipment.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Dr. Accounts receivable</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Dr. Deferred revenue</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4,000</w:t>
            </w:r>
          </w:p>
        </w:tc>
        <w:tc>
          <w:tcPr>
            <w:tcW w:w="600" w:type="dxa"/>
            <w:vAlign w:val="bottom"/>
          </w:tcPr>
          <w:p>
            <w:pPr>
              <w:spacing w:after="0"/>
              <w:rPr>
                <w:sz w:val="18"/>
                <w:szCs w:val="18"/>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 Revenue</w:t>
            </w:r>
          </w:p>
        </w:tc>
        <w:tc>
          <w:tcPr>
            <w:tcW w:w="2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bl>
    <w:p>
      <w:pPr>
        <w:spacing w:after="0" w:line="94" w:lineRule="exact"/>
        <w:rPr>
          <w:sz w:val="20"/>
          <w:szCs w:val="20"/>
          <w:color w:val="auto"/>
        </w:rPr>
      </w:pPr>
    </w:p>
    <w:p>
      <w:pPr>
        <w:ind w:left="460" w:right="200"/>
        <w:spacing w:after="0" w:line="257" w:lineRule="auto"/>
        <w:rPr>
          <w:sz w:val="20"/>
          <w:szCs w:val="20"/>
          <w:color w:val="auto"/>
        </w:rPr>
      </w:pPr>
      <w:r>
        <w:rPr>
          <w:rFonts w:ascii="Arial" w:cs="Arial" w:eastAsia="Arial" w:hAnsi="Arial"/>
          <w:sz w:val="18"/>
          <w:szCs w:val="18"/>
          <w:color w:val="auto"/>
        </w:rPr>
        <w:t>The price was clearly stated in the Amendment and was not contingent upon the end-market sale by the customer. Payments under this Amendment were also subject to the Company’s normal payment terms and there were no extended payment terms. Shipments under this Amendment were based on FOB destination shipping terms and were subject to the Company’s normal return policy, which permits returns for nonconforming product only. Finally, there were no other contingencies to the unit selling price contained in the Amendment. Accordingly, the Company concluded that the price was fixed and determinable in accordance with ASC 605.</w:t>
      </w:r>
    </w:p>
    <w:p>
      <w:pPr>
        <w:spacing w:after="0" w:line="188" w:lineRule="exact"/>
        <w:rPr>
          <w:sz w:val="20"/>
          <w:szCs w:val="20"/>
          <w:color w:val="auto"/>
        </w:rPr>
      </w:pPr>
    </w:p>
    <w:p>
      <w:pPr>
        <w:ind w:left="5180"/>
        <w:spacing w:after="0"/>
        <w:tabs>
          <w:tab w:leader="none" w:pos="564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ectPr>
          <w:pgSz w:w="11900" w:h="16838" w:orient="portrait"/>
          <w:cols w:equalWidth="0" w:num="1">
            <w:col w:w="11420"/>
          </w:cols>
          <w:pgMar w:left="240" w:top="270" w:right="239" w:bottom="1440" w:gutter="0" w:footer="0" w:header="0"/>
          <w:type w:val="continuous"/>
        </w:sectPr>
      </w:pPr>
    </w:p>
    <w:bookmarkStart w:id="236" w:name="page237"/>
    <w:bookmarkEnd w:id="236"/>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Weil, Gotshal &amp; Manages LLP</w:t>
      </w:r>
    </w:p>
    <w:p>
      <w:pPr>
        <w:spacing w:after="0" w:line="630" w:lineRule="exact"/>
        <w:rPr>
          <w:sz w:val="20"/>
          <w:szCs w:val="20"/>
          <w:color w:val="auto"/>
        </w:rPr>
      </w:pPr>
    </w:p>
    <w:p>
      <w:pPr>
        <w:sectPr>
          <w:pgSz w:w="11900" w:h="16838" w:orient="portrait"/>
          <w:cols w:equalWidth="0" w:num="2">
            <w:col w:w="8340" w:space="720"/>
            <w:col w:w="2360"/>
          </w:cols>
          <w:pgMar w:left="240" w:top="270" w:right="239" w:bottom="1440" w:gutter="0" w:footer="0" w:header="0"/>
        </w:sectPr>
      </w:pPr>
    </w:p>
    <w:p>
      <w:pPr>
        <w:ind w:right="200" w:firstLine="456"/>
        <w:spacing w:after="0" w:line="277" w:lineRule="auto"/>
        <w:rPr>
          <w:sz w:val="20"/>
          <w:szCs w:val="20"/>
          <w:color w:val="auto"/>
        </w:rPr>
      </w:pPr>
      <w:r>
        <w:rPr>
          <w:rFonts w:ascii="Arial" w:cs="Arial" w:eastAsia="Arial" w:hAnsi="Arial"/>
          <w:sz w:val="18"/>
          <w:szCs w:val="18"/>
          <w:color w:val="auto"/>
        </w:rPr>
        <w:t>Should any questions arise in connection with the filing or this response letter, please contact the undersigned at (212) 310-8849 or Noah B. Kressler, Esq. at (212) 310-8360.</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Heather L. Emmel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Heather L. Emmel, Esq.</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Weil, Gotshal &amp; Manges LLP</w:t>
      </w:r>
    </w:p>
    <w:p>
      <w:pPr>
        <w:spacing w:after="0" w:line="238"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Michael P. Duffy</w:t>
      </w:r>
    </w:p>
    <w:p>
      <w:pPr>
        <w:spacing w:after="0" w:line="23" w:lineRule="exact"/>
        <w:rPr>
          <w:rFonts w:ascii="Arial" w:cs="Arial" w:eastAsia="Arial" w:hAnsi="Arial"/>
          <w:sz w:val="18"/>
          <w:szCs w:val="18"/>
          <w:color w:val="auto"/>
        </w:rPr>
      </w:pPr>
    </w:p>
    <w:p>
      <w:pPr>
        <w:ind w:left="460" w:right="7580"/>
        <w:spacing w:after="0" w:line="261" w:lineRule="auto"/>
        <w:rPr>
          <w:rFonts w:ascii="Arial" w:cs="Arial" w:eastAsia="Arial" w:hAnsi="Arial"/>
          <w:sz w:val="18"/>
          <w:szCs w:val="18"/>
          <w:color w:val="auto"/>
        </w:rPr>
      </w:pPr>
      <w:r>
        <w:rPr>
          <w:rFonts w:ascii="Arial" w:cs="Arial" w:eastAsia="Arial" w:hAnsi="Arial"/>
          <w:sz w:val="18"/>
          <w:szCs w:val="18"/>
          <w:color w:val="auto"/>
        </w:rPr>
        <w:t>Vice President, General Counsel and Secretary Lantheus MI Holdings, Inc.</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lvl w:ilvl="1">
      <w:lvlJc w:val="left"/>
      <w:lvlText w:val="•"/>
      <w:numFmt w:val="bullet"/>
      <w:start w:val="1"/>
    </w:lvl>
  </w:abstractNum>
  <w:abstractNum w:abstractNumId="4">
    <w:nsid w:val="A0382C5"/>
    <w:multiLevelType w:val="hybridMultilevel"/>
    <w:lvl w:ilvl="0">
      <w:lvlJc w:val="left"/>
      <w:lvlText w:val="•"/>
      <w:numFmt w:val="bullet"/>
      <w:start w:val="1"/>
    </w:lvl>
    <w:lvl w:ilvl="1">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1)"/>
      <w:numFmt w:val="decimal"/>
      <w:start w:val="2"/>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1)"/>
      <w:numFmt w:val="decimal"/>
      <w:start w:val="1"/>
    </w:lvl>
  </w:abstractNum>
  <w:abstractNum w:abstractNumId="22">
    <w:nsid w:val="76272110"/>
    <w:multiLevelType w:val="hybridMultilevel"/>
    <w:lvl w:ilvl="0">
      <w:lvlJc w:val="left"/>
      <w:lvlText w:val="(%1)"/>
      <w:numFmt w:val="lowerLetter"/>
      <w:start w:val="1"/>
    </w:lvl>
  </w:abstractNum>
  <w:abstractNum w:abstractNumId="23">
    <w:nsid w:val="4C04A8AF"/>
    <w:multiLevelType w:val="hybridMultilevel"/>
    <w:lvl w:ilvl="0">
      <w:lvlJc w:val="left"/>
      <w:lvlText w:val="%1"/>
      <w:numFmt w:val="decimal"/>
      <w:start w:val="1"/>
    </w:lvl>
    <w:lvl w:ilvl="1">
      <w:lvlJc w:val="left"/>
      <w:lvlText w:val="(%2)"/>
      <w:numFmt w:val="lowerLetter"/>
      <w:start w:val="2"/>
    </w:lvl>
  </w:abstractNum>
  <w:abstractNum w:abstractNumId="24">
    <w:nsid w:val="1716703B"/>
    <w:multiLevelType w:val="hybridMultilevel"/>
    <w:lvl w:ilvl="0">
      <w:lvlJc w:val="left"/>
      <w:lvlText w:val="(%1)"/>
      <w:numFmt w:val="decimal"/>
      <w:start w:val="2"/>
    </w:lvl>
    <w:lvl w:ilvl="1">
      <w:lvlJc w:val="left"/>
      <w:lvlText w:val="%2"/>
      <w:numFmt w:val="lowerLetter"/>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lvl w:ilvl="1">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1)"/>
      <w:numFmt w:val="decimal"/>
      <w:start w:val="1"/>
    </w:lvl>
  </w:abstractNum>
  <w:abstractNum w:abstractNumId="48">
    <w:nsid w:val="6A5F7029"/>
    <w:multiLevelType w:val="hybridMultilevel"/>
    <w:lvl w:ilvl="0">
      <w:lvlJc w:val="left"/>
      <w:lvlText w:val="(%1)"/>
      <w:numFmt w:val="decimal"/>
      <w:start w:val="2"/>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1)"/>
      <w:numFmt w:val="lowerRoman"/>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1)"/>
      <w:numFmt w:val="decimal"/>
      <w:start w:val="1"/>
    </w:lvl>
  </w:abstractNum>
  <w:abstractNum w:abstractNumId="57">
    <w:nsid w:val="71C91298"/>
    <w:multiLevelType w:val="hybridMultilevel"/>
    <w:lvl w:ilvl="0">
      <w:lvlJc w:val="left"/>
      <w:lvlText w:val="(%1)"/>
      <w:numFmt w:val="decimal"/>
      <w:start w:val="2"/>
    </w:lvl>
  </w:abstractNum>
  <w:abstractNum w:abstractNumId="58">
    <w:nsid w:val="9DAF632"/>
    <w:multiLevelType w:val="hybridMultilevel"/>
    <w:lvl w:ilvl="0">
      <w:lvlJc w:val="left"/>
      <w:lvlText w:val="(%1)"/>
      <w:numFmt w:val="lowerLetter"/>
      <w:start w:val="1"/>
    </w:lvl>
  </w:abstractNum>
  <w:abstractNum w:abstractNumId="59">
    <w:nsid w:val="53299938"/>
    <w:multiLevelType w:val="hybridMultilevel"/>
    <w:lvl w:ilvl="0">
      <w:lvlJc w:val="left"/>
      <w:lvlText w:val="(%1)"/>
      <w:numFmt w:val="lowerLetter"/>
      <w:start w:val="7"/>
    </w:lvl>
  </w:abstractNum>
  <w:abstractNum w:abstractNumId="60">
    <w:nsid w:val="1FBFE8E0"/>
    <w:multiLevelType w:val="hybridMultilevel"/>
    <w:lvl w:ilvl="0">
      <w:lvlJc w:val="left"/>
      <w:lvlText w:val="(%1)"/>
      <w:numFmt w:val="decimal"/>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lvl w:ilvl="1">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1)"/>
      <w:numFmt w:val="decimal"/>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1)"/>
      <w:numFmt w:val="decimal"/>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
      <w:numFmt w:val="bullet"/>
      <w:start w:val="1"/>
    </w:lvl>
  </w:abstractNum>
  <w:abstractNum w:abstractNumId="87">
    <w:nsid w:val="6AA7B75C"/>
    <w:multiLevelType w:val="hybridMultilevel"/>
    <w:lvl w:ilvl="0">
      <w:lvlJc w:val="left"/>
      <w:lvlText w:val="•"/>
      <w:numFmt w:val="bullet"/>
      <w:start w:val="1"/>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1)"/>
      <w:numFmt w:val="decimal"/>
      <w:start w:val="1"/>
    </w:lvl>
  </w:abstractNum>
  <w:abstractNum w:abstractNumId="91">
    <w:nsid w:val="3DB012B3"/>
    <w:multiLevelType w:val="hybridMultilevel"/>
    <w:lvl w:ilvl="0">
      <w:lvlJc w:val="left"/>
      <w:lvlText w:val="(%1)"/>
      <w:numFmt w:val="decimal"/>
      <w:start w:val="8"/>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1)"/>
      <w:numFmt w:val="decimal"/>
      <w:start w:val="1"/>
    </w:lvl>
  </w:abstractNum>
  <w:abstractNum w:abstractNumId="94">
    <w:nsid w:val="175DFCF0"/>
    <w:multiLevelType w:val="hybridMultilevel"/>
    <w:lvl w:ilvl="0">
      <w:lvlJc w:val="left"/>
      <w:lvlText w:val="(%1)"/>
      <w:numFmt w:val="decimal"/>
      <w:start w:val="2"/>
    </w:lvl>
  </w:abstractNum>
  <w:abstractNum w:abstractNumId="95">
    <w:nsid w:val="4F97E3E4"/>
    <w:multiLevelType w:val="hybridMultilevel"/>
    <w:lvl w:ilvl="0">
      <w:lvlJc w:val="left"/>
      <w:lvlText w:val=","/>
      <w:numFmt w:val="bullet"/>
      <w:start w:val="1"/>
    </w:lvl>
  </w:abstractNum>
  <w:abstractNum w:abstractNumId="96">
    <w:nsid w:val="53B0A9E"/>
    <w:multiLevelType w:val="hybridMultilevel"/>
    <w:lvl w:ilvl="0">
      <w:lvlJc w:val="left"/>
      <w:lvlText w:val="(%1)"/>
      <w:numFmt w:val="decimal"/>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
      <w:numFmt w:val="bullet"/>
      <w:start w:val="1"/>
    </w:lvl>
  </w:abstractNum>
  <w:abstractNum w:abstractNumId="99">
    <w:nsid w:val="56438D15"/>
    <w:multiLevelType w:val="hybridMultilevel"/>
    <w:lvl w:ilvl="0">
      <w:lvlJc w:val="left"/>
      <w:lvlText w:val="*"/>
      <w:numFmt w:val="bullet"/>
      <w:start w:val="1"/>
    </w:lvl>
  </w:abstractNum>
  <w:abstractNum w:abstractNumId="100">
    <w:nsid w:val="519E3149"/>
    <w:multiLevelType w:val="hybridMultilevel"/>
    <w:lvl w:ilvl="0">
      <w:lvlJc w:val="left"/>
      <w:lvlText w:val="(%1)"/>
      <w:numFmt w:val="decimal"/>
      <w:start w:val="3"/>
    </w:lvl>
  </w:abstractNum>
  <w:abstractNum w:abstractNumId="101">
    <w:nsid w:val="2C6E4AFD"/>
    <w:multiLevelType w:val="hybridMultilevel"/>
    <w:lvl w:ilvl="0">
      <w:lvlJc w:val="left"/>
      <w:lvlText w:val="(%1)"/>
      <w:numFmt w:val="lowerRoman"/>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
      <w:numFmt w:val="bullet"/>
      <w:start w:val="1"/>
    </w:lvl>
    <w:lvl w:ilvl="1">
      <w:lvlJc w:val="left"/>
      <w:lvlText w:val="•"/>
      <w:numFmt w:val="bullet"/>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
      <w:numFmt w:val="bullet"/>
      <w:start w:val="1"/>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1)"/>
      <w:numFmt w:val="decimal"/>
      <w:start w:val="978"/>
    </w:lvl>
  </w:abstractNum>
  <w:abstractNum w:abstractNumId="114">
    <w:nsid w:val="B37E80A"/>
    <w:multiLevelType w:val="hybridMultilevel"/>
    <w:lvl w:ilvl="0">
      <w:lvlJc w:val="left"/>
      <w:lvlText w:val="•"/>
      <w:numFmt w:val="bullet"/>
      <w:start w:val="1"/>
    </w:lvl>
  </w:abstractNum>
  <w:abstractNum w:abstractNumId="115">
    <w:nsid w:val="2157F6BC"/>
    <w:multiLevelType w:val="hybridMultilevel"/>
    <w:lvl w:ilvl="0">
      <w:lvlJc w:val="left"/>
      <w:lvlText w:val="%1."/>
      <w:numFmt w:val="decimal"/>
      <w:start w:val="2"/>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1."/>
      <w:numFmt w:val="decimal"/>
      <w:start w:val="10"/>
    </w:lvl>
  </w:abstractNum>
  <w:abstractNum w:abstractNumId="118">
    <w:nsid w:val="BFFAE18"/>
    <w:multiLevelType w:val="hybridMultilevel"/>
    <w:lvl w:ilvl="0">
      <w:lvlJc w:val="left"/>
      <w:lvlText w:val="(%1)"/>
      <w:numFmt w:val="lowerRoman"/>
      <w:start w:val="1"/>
    </w:lvl>
  </w:abstractNum>
  <w:abstractNum w:abstractNumId="119">
    <w:nsid w:val="E3E47A8"/>
    <w:multiLevelType w:val="hybridMultilevel"/>
    <w:lvl w:ilvl="0">
      <w:lvlJc w:val="left"/>
      <w:lvlText w:val="(%1)"/>
      <w:numFmt w:val="lowerRoman"/>
      <w:start w:val="6"/>
    </w:lvl>
  </w:abstractNum>
  <w:abstractNum w:abstractNumId="120">
    <w:nsid w:val="2E48F044"/>
    <w:multiLevelType w:val="hybridMultilevel"/>
    <w:lvl w:ilvl="0">
      <w:lvlJc w:val="left"/>
      <w:lvlText w:val="%1."/>
      <w:numFmt w:val="decimal"/>
      <w:start w:val="11"/>
    </w:lvl>
  </w:abstractNum>
  <w:abstractNum w:abstractNumId="121">
    <w:nsid w:val="49D0FEAC"/>
    <w:multiLevelType w:val="hybridMultilevel"/>
    <w:lvl w:ilvl="0">
      <w:lvlJc w:val="left"/>
      <w:lvlText w:val="•"/>
      <w:numFmt w:val="bullet"/>
      <w:start w:val="1"/>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1)"/>
      <w:numFmt w:val="lowerLetter"/>
      <w:start w:val="2"/>
    </w:lvl>
  </w:abstractNum>
  <w:abstractNum w:abstractNumId="125">
    <w:nsid w:val="634C574C"/>
    <w:multiLevelType w:val="hybridMultilevel"/>
    <w:lvl w:ilvl="0">
      <w:lvlJc w:val="left"/>
      <w:lvlText w:val="(%1)"/>
      <w:numFmt w:val="decimal"/>
      <w:start w:val="1"/>
    </w:lvl>
    <w:lvl w:ilvl="1">
      <w:lvlJc w:val="left"/>
      <w:lvlText w:val="(%2)"/>
      <w:numFmt w:val="lowerLetter"/>
      <w:start w:val="1"/>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1."/>
      <w:numFmt w:val="decimal"/>
      <w:start w:val="1"/>
    </w:lvl>
  </w:abstractNum>
  <w:abstractNum w:abstractNumId="128">
    <w:nsid w:val="1849C29B"/>
    <w:multiLevelType w:val="hybridMultilevel"/>
    <w:lvl w:ilvl="0">
      <w:lvlJc w:val="left"/>
      <w:lvlText w:val="%1."/>
      <w:numFmt w:val="decimal"/>
      <w:start w:val="3"/>
    </w:lvl>
  </w:abstractNum>
  <w:abstractNum w:abstractNumId="129">
    <w:nsid w:val="7DFF9D09"/>
    <w:multiLevelType w:val="hybridMultilevel"/>
    <w:lvl w:ilvl="0">
      <w:lvlJc w:val="left"/>
      <w:lvlText w:val="%1."/>
      <w:numFmt w:val="decimal"/>
      <w:start w:val="6"/>
    </w:lvl>
    <w:lvl w:ilvl="1">
      <w:lvlJc w:val="left"/>
      <w:lvlText w:val="•"/>
      <w:numFmt w:val="bullet"/>
      <w:start w:val="1"/>
    </w:lvl>
  </w:abstractNum>
  <w:abstractNum w:abstractNumId="130">
    <w:nsid w:val="754342"/>
    <w:multiLevelType w:val="hybridMultilevel"/>
    <w:lvl w:ilvl="0">
      <w:lvlJc w:val="left"/>
      <w:lvlText w:val="%1."/>
      <w:numFmt w:val="decimal"/>
      <w:start w:val="6"/>
    </w:lvl>
    <w:lvl w:ilvl="1">
      <w:lvlJc w:val="left"/>
      <w:lvlText w:val="•"/>
      <w:numFmt w:val="bullet"/>
      <w:start w:val="1"/>
    </w:lvl>
  </w:abstractNum>
  <w:abstractNum w:abstractNumId="131">
    <w:nsid w:val="69E7F3E5"/>
    <w:multiLevelType w:val="hybridMultilevel"/>
    <w:lvl w:ilvl="0">
      <w:lvlJc w:val="left"/>
      <w:lvlText w:val="%1."/>
      <w:numFmt w:val="decimal"/>
      <w:start w:val="8"/>
    </w:lvl>
  </w:abstractNum>
  <w:abstractNum w:abstractNumId="132">
    <w:nsid w:val="2A6DE806"/>
    <w:multiLevelType w:val="hybridMultilevel"/>
    <w:lvl w:ilvl="0">
      <w:lvlJc w:val="left"/>
      <w:lvlText w:val="%1."/>
      <w:numFmt w:val="decimal"/>
      <w:start w:val="9"/>
    </w:lvl>
  </w:abstractNum>
  <w:abstractNum w:abstractNumId="133">
    <w:nsid w:val="1816F8C4"/>
    <w:multiLevelType w:val="hybridMultilevel"/>
    <w:lvl w:ilvl="0">
      <w:lvlJc w:val="left"/>
      <w:lvlText w:val="%1."/>
      <w:numFmt w:val="decimal"/>
      <w:start w:val="10"/>
    </w:lvl>
  </w:abstractNum>
  <w:abstractNum w:abstractNumId="134">
    <w:nsid w:val="37DF2233"/>
    <w:multiLevelType w:val="hybridMultilevel"/>
    <w:lvl w:ilvl="0">
      <w:lvlJc w:val="left"/>
      <w:lvlText w:val="%1."/>
      <w:numFmt w:val="decimal"/>
      <w:start w:val="11"/>
    </w:lvl>
  </w:abstractNum>
  <w:abstractNum w:abstractNumId="135">
    <w:nsid w:val="7AB49DAF"/>
    <w:multiLevelType w:val="hybridMultilevel"/>
    <w:lvl w:ilvl="0">
      <w:lvlJc w:val="left"/>
      <w:lvlText w:val="%1."/>
      <w:numFmt w:val="decimal"/>
      <w:start w:val="12"/>
    </w:lvl>
  </w:abstractNum>
  <w:abstractNum w:abstractNumId="136">
    <w:nsid w:val="759F82CD"/>
    <w:multiLevelType w:val="hybridMultilevel"/>
    <w:lvl w:ilvl="0">
      <w:lvlJc w:val="left"/>
      <w:lvlText w:val="%1."/>
      <w:numFmt w:val="decimal"/>
      <w:start w:val="13"/>
    </w:lvl>
  </w:abstractNum>
  <w:abstractNum w:abstractNumId="137">
    <w:nsid w:val="61E74EA3"/>
    <w:multiLevelType w:val="hybridMultilevel"/>
    <w:lvl w:ilvl="0">
      <w:lvlJc w:val="left"/>
      <w:lvlText w:val="%1."/>
      <w:numFmt w:val="decimal"/>
      <w:start w:val="14"/>
    </w:lvl>
  </w:abstractNum>
  <w:abstractNum w:abstractNumId="138">
    <w:nsid w:val="597B4D84"/>
    <w:multiLevelType w:val="hybridMultilevel"/>
    <w:lvl w:ilvl="0">
      <w:lvlJc w:val="left"/>
      <w:lvlText w:val="%1."/>
      <w:numFmt w:val="decimal"/>
      <w:start w:val="16"/>
    </w:lvl>
  </w:abstractNum>
  <w:abstractNum w:abstractNumId="139">
    <w:nsid w:val="F819E7F"/>
    <w:multiLevelType w:val="hybridMultilevel"/>
    <w:lvl w:ilvl="0">
      <w:lvlJc w:val="left"/>
      <w:lvlText w:val="%1."/>
      <w:numFmt w:val="decimal"/>
      <w:start w:val="17"/>
    </w:lvl>
  </w:abstractNum>
  <w:abstractNum w:abstractNumId="140">
    <w:nsid w:val="57C7D42D"/>
    <w:multiLevelType w:val="hybridMultilevel"/>
    <w:lvl w:ilvl="0">
      <w:lvlJc w:val="left"/>
      <w:lvlText w:val="%1."/>
      <w:numFmt w:val="decimal"/>
      <w:start w:val="18"/>
    </w:lvl>
  </w:abstractNum>
  <w:abstractNum w:abstractNumId="141">
    <w:nsid w:val="312167AD"/>
    <w:multiLevelType w:val="hybridMultilevel"/>
    <w:lvl w:ilvl="0">
      <w:lvlJc w:val="left"/>
      <w:lvlText w:val="%1."/>
      <w:numFmt w:val="decimal"/>
      <w:start w:val="19"/>
    </w:lvl>
  </w:abstractNum>
  <w:abstractNum w:abstractNumId="142">
    <w:nsid w:val="631B64D4"/>
    <w:multiLevelType w:val="hybridMultilevel"/>
    <w:lvl w:ilvl="0">
      <w:lvlJc w:val="left"/>
      <w:lvlText w:val="%1."/>
      <w:numFmt w:val="decimal"/>
      <w:start w:val="20"/>
    </w:lvl>
  </w:abstractNum>
  <w:abstractNum w:abstractNumId="143">
    <w:nsid w:val="78B5E776"/>
    <w:multiLevelType w:val="hybridMultilevel"/>
    <w:lvl w:ilvl="0">
      <w:lvlJc w:val="left"/>
      <w:lvlText w:val="%1."/>
      <w:numFmt w:val="decimal"/>
      <w:start w:val="21"/>
    </w:lvl>
    <w:lvl w:ilvl="1">
      <w:lvlJc w:val="left"/>
      <w:lvlText w:val="•"/>
      <w:numFmt w:val="bullet"/>
      <w:start w:val="1"/>
    </w:lvl>
  </w:abstractNum>
  <w:abstractNum w:abstractNumId="144">
    <w:nsid w:val="75486E47"/>
    <w:multiLevelType w:val="hybridMultilevel"/>
    <w:lvl w:ilvl="0">
      <w:lvlJc w:val="left"/>
      <w:lvlText w:val="%1."/>
      <w:numFmt w:val="decimal"/>
      <w:start w:val="22"/>
    </w:lvl>
  </w:abstractNum>
  <w:abstractNum w:abstractNumId="145">
    <w:nsid w:val="6E534CDE"/>
    <w:multiLevelType w:val="hybridMultilevel"/>
    <w:lvl w:ilvl="0">
      <w:lvlJc w:val="left"/>
      <w:lvlText w:val="%1."/>
      <w:numFmt w:val="decimal"/>
      <w:start w:val="23"/>
    </w:lvl>
  </w:abstractNum>
  <w:abstractNum w:abstractNumId="146">
    <w:nsid w:val="1A0DDE32"/>
    <w:multiLevelType w:val="hybridMultilevel"/>
    <w:lvl w:ilvl="0">
      <w:lvlJc w:val="left"/>
      <w:lvlText w:val="%1."/>
      <w:numFmt w:val="decimal"/>
      <w:start w:val="2"/>
    </w:lvl>
  </w:abstractNum>
  <w:abstractNum w:abstractNumId="147">
    <w:nsid w:val="65968C1C"/>
    <w:multiLevelType w:val="hybridMultilevel"/>
    <w:lvl w:ilvl="0">
      <w:lvlJc w:val="left"/>
      <w:lvlText w:val="%1."/>
      <w:numFmt w:val="decimal"/>
      <w:start w:val="24"/>
    </w:lvl>
  </w:abstractNum>
  <w:abstractNum w:abstractNumId="148">
    <w:nsid w:val="46263DEC"/>
    <w:multiLevelType w:val="hybridMultilevel"/>
    <w:lvl w:ilvl="0">
      <w:lvlJc w:val="left"/>
      <w:lvlText w:val="%1"/>
      <w:numFmt w:val="decimal"/>
      <w:start w:val="1"/>
    </w:lvl>
    <w:lvl w:ilvl="1">
      <w:lvlJc w:val="left"/>
      <w:lvlText w:val="%2."/>
      <w:numFmt w:val="lowerLetter"/>
      <w:start w:val="1"/>
    </w:lvl>
  </w:abstractNum>
  <w:abstractNum w:abstractNumId="149">
    <w:nsid w:val="260D8C4A"/>
    <w:multiLevelType w:val="hybridMultilevel"/>
    <w:lvl w:ilvl="0">
      <w:lvlJc w:val="left"/>
      <w:lvlText w:val="%1)"/>
      <w:numFmt w:val="decimal"/>
      <w:start w:val="1"/>
    </w:lvl>
    <w:lvl w:ilvl="1">
      <w:lvlJc w:val="left"/>
      <w:lvlText w:val="%2"/>
      <w:numFmt w:val="lowerLetter"/>
      <w:start w:val="1"/>
    </w:lvl>
  </w:abstractNum>
  <w:abstractNum w:abstractNumId="150">
    <w:nsid w:val="73D4D3C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2019-12-08T01:48:15Z</dcterms:created>
  <dcterms:modified xsi:type="dcterms:W3CDTF">2019-12-08T01:48:15Z</dcterms:modified>
</cp:coreProperties>
</file>