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7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646430</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586105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46" w:lineRule="exact"/>
        <w:rPr>
          <w:sz w:val="24"/>
          <w:szCs w:val="24"/>
          <w:color w:val="auto"/>
        </w:rPr>
      </w:pPr>
    </w:p>
    <w:p>
      <w:pPr>
        <w:jc w:val="center"/>
        <w:ind w:right="-179"/>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4"/>
          <w:szCs w:val="24"/>
          <w:color w:val="auto"/>
        </w:rPr>
      </w:pPr>
    </w:p>
    <w:p>
      <w:pPr>
        <w:jc w:val="center"/>
        <w:ind w:right="-17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2782570</wp:posOffset>
            </wp:positionH>
            <wp:positionV relativeFrom="paragraph">
              <wp:posOffset>210185</wp:posOffset>
            </wp:positionV>
            <wp:extent cx="157734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77340" cy="8890"/>
                    </a:xfrm>
                    <a:prstGeom prst="rect">
                      <a:avLst/>
                    </a:prstGeom>
                    <a:noFill/>
                  </pic:spPr>
                </pic:pic>
              </a:graphicData>
            </a:graphic>
          </wp:anchor>
        </w:drawing>
      </w:r>
    </w:p>
    <w:p>
      <w:pPr>
        <w:spacing w:after="0" w:line="200" w:lineRule="exact"/>
        <w:rPr>
          <w:sz w:val="24"/>
          <w:szCs w:val="24"/>
          <w:color w:val="auto"/>
        </w:rPr>
      </w:pPr>
    </w:p>
    <w:p>
      <w:pPr>
        <w:spacing w:after="0" w:line="353" w:lineRule="exact"/>
        <w:rPr>
          <w:sz w:val="24"/>
          <w:szCs w:val="24"/>
          <w:color w:val="auto"/>
        </w:rPr>
      </w:pPr>
    </w:p>
    <w:p>
      <w:pPr>
        <w:jc w:val="center"/>
        <w:ind w:right="-17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2782570</wp:posOffset>
            </wp:positionH>
            <wp:positionV relativeFrom="paragraph">
              <wp:posOffset>229870</wp:posOffset>
            </wp:positionV>
            <wp:extent cx="157734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77340" cy="8255"/>
                    </a:xfrm>
                    <a:prstGeom prst="rect">
                      <a:avLst/>
                    </a:prstGeom>
                    <a:noFill/>
                  </pic:spPr>
                </pic:pic>
              </a:graphicData>
            </a:graphic>
          </wp:anchor>
        </w:drawing>
      </w:r>
    </w:p>
    <w:p>
      <w:pPr>
        <w:spacing w:after="0" w:line="200" w:lineRule="exact"/>
        <w:rPr>
          <w:sz w:val="24"/>
          <w:szCs w:val="24"/>
          <w:color w:val="auto"/>
        </w:rPr>
      </w:pPr>
    </w:p>
    <w:p>
      <w:pPr>
        <w:spacing w:after="0" w:line="398" w:lineRule="exact"/>
        <w:rPr>
          <w:sz w:val="24"/>
          <w:szCs w:val="24"/>
          <w:color w:val="auto"/>
        </w:rPr>
      </w:pPr>
    </w:p>
    <w:p>
      <w:pPr>
        <w:jc w:val="center"/>
        <w:ind w:right="-179"/>
        <w:spacing w:after="0"/>
        <w:rPr>
          <w:sz w:val="20"/>
          <w:szCs w:val="20"/>
          <w:color w:val="auto"/>
        </w:rPr>
      </w:pPr>
      <w:r>
        <w:rPr>
          <w:rFonts w:ascii="Arial" w:cs="Arial" w:eastAsia="Arial" w:hAnsi="Arial"/>
          <w:sz w:val="22"/>
          <w:szCs w:val="22"/>
          <w:b w:val="1"/>
          <w:bCs w:val="1"/>
          <w:color w:val="auto"/>
        </w:rPr>
        <w:t>CURRENT REPORT</w:t>
      </w:r>
    </w:p>
    <w:p>
      <w:pPr>
        <w:spacing w:after="0" w:line="27" w:lineRule="exact"/>
        <w:rPr>
          <w:sz w:val="24"/>
          <w:szCs w:val="24"/>
          <w:color w:val="auto"/>
        </w:rPr>
      </w:pPr>
    </w:p>
    <w:p>
      <w:pPr>
        <w:jc w:val="center"/>
        <w:ind w:right="-179"/>
        <w:spacing w:after="0"/>
        <w:rPr>
          <w:sz w:val="20"/>
          <w:szCs w:val="20"/>
          <w:color w:val="auto"/>
        </w:rPr>
      </w:pPr>
      <w:r>
        <w:rPr>
          <w:rFonts w:ascii="Arial" w:cs="Arial" w:eastAsia="Arial" w:hAnsi="Arial"/>
          <w:sz w:val="19"/>
          <w:szCs w:val="19"/>
          <w:b w:val="1"/>
          <w:bCs w:val="1"/>
          <w:color w:val="auto"/>
        </w:rPr>
        <w:t>Pursuant to Section 13 or 15(d) of the Securities Exchange Act of 1934</w:t>
      </w:r>
    </w:p>
    <w:p>
      <w:pPr>
        <w:spacing w:after="0" w:line="230" w:lineRule="exact"/>
        <w:rPr>
          <w:sz w:val="24"/>
          <w:szCs w:val="24"/>
          <w:color w:val="auto"/>
        </w:rPr>
      </w:pPr>
    </w:p>
    <w:p>
      <w:pPr>
        <w:jc w:val="center"/>
        <w:ind w:right="-179"/>
        <w:spacing w:after="0"/>
        <w:rPr>
          <w:sz w:val="20"/>
          <w:szCs w:val="20"/>
          <w:color w:val="auto"/>
        </w:rPr>
      </w:pPr>
      <w:r>
        <w:rPr>
          <w:rFonts w:ascii="Arial" w:cs="Arial" w:eastAsia="Arial" w:hAnsi="Arial"/>
          <w:sz w:val="21"/>
          <w:szCs w:val="21"/>
          <w:b w:val="1"/>
          <w:bCs w:val="1"/>
          <w:color w:val="auto"/>
        </w:rPr>
        <w:t>Date of Report (Date of earliest event reported): September 30, 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2782570</wp:posOffset>
            </wp:positionH>
            <wp:positionV relativeFrom="paragraph">
              <wp:posOffset>232410</wp:posOffset>
            </wp:positionV>
            <wp:extent cx="157734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77340" cy="8255"/>
                    </a:xfrm>
                    <a:prstGeom prst="rect">
                      <a:avLst/>
                    </a:prstGeom>
                    <a:noFill/>
                  </pic:spPr>
                </pic:pic>
              </a:graphicData>
            </a:graphic>
          </wp:anchor>
        </w:drawing>
      </w:r>
    </w:p>
    <w:p>
      <w:pPr>
        <w:spacing w:after="0" w:line="200" w:lineRule="exact"/>
        <w:rPr>
          <w:sz w:val="24"/>
          <w:szCs w:val="24"/>
          <w:color w:val="auto"/>
        </w:rPr>
      </w:pPr>
    </w:p>
    <w:p>
      <w:pPr>
        <w:spacing w:after="0" w:line="265" w:lineRule="exact"/>
        <w:rPr>
          <w:sz w:val="24"/>
          <w:szCs w:val="24"/>
          <w:color w:val="auto"/>
        </w:rPr>
      </w:pPr>
    </w:p>
    <w:p>
      <w:pPr>
        <w:jc w:val="center"/>
        <w:ind w:right="-179"/>
        <w:spacing w:after="0"/>
        <w:rPr>
          <w:sz w:val="20"/>
          <w:szCs w:val="20"/>
          <w:color w:val="auto"/>
        </w:rPr>
      </w:pPr>
      <w:r>
        <w:rPr>
          <w:rFonts w:ascii="Arial" w:cs="Arial" w:eastAsia="Arial" w:hAnsi="Arial"/>
          <w:sz w:val="43"/>
          <w:szCs w:val="43"/>
          <w:b w:val="1"/>
          <w:bCs w:val="1"/>
          <w:color w:val="auto"/>
        </w:rPr>
        <w:t>LANTHEUS HOLDINGS, INC.</w:t>
      </w:r>
    </w:p>
    <w:p>
      <w:pPr>
        <w:spacing w:after="0" w:line="50"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2782570</wp:posOffset>
            </wp:positionH>
            <wp:positionV relativeFrom="paragraph">
              <wp:posOffset>210185</wp:posOffset>
            </wp:positionV>
            <wp:extent cx="157734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77340" cy="8255"/>
                    </a:xfrm>
                    <a:prstGeom prst="rect">
                      <a:avLst/>
                    </a:prstGeom>
                    <a:noFill/>
                  </pic:spPr>
                </pic:pic>
              </a:graphicData>
            </a:graphic>
          </wp:anchor>
        </w:drawing>
      </w:r>
    </w:p>
    <w:p>
      <w:pPr>
        <w:sectPr>
          <w:pgSz w:w="11900" w:h="16838" w:orient="portrait"/>
          <w:cols w:equalWidth="0" w:num="1">
            <w:col w:w="11080"/>
          </w:cols>
          <w:pgMar w:left="320" w:top="1232" w:right="499" w:bottom="1440" w:gutter="0" w:footer="0" w:header="0"/>
        </w:sectPr>
      </w:pPr>
    </w:p>
    <w:p>
      <w:pPr>
        <w:spacing w:after="0" w:line="200" w:lineRule="exact"/>
        <w:rPr>
          <w:sz w:val="24"/>
          <w:szCs w:val="24"/>
          <w:color w:val="auto"/>
        </w:rPr>
      </w:pPr>
    </w:p>
    <w:p>
      <w:pPr>
        <w:spacing w:after="0" w:line="302" w:lineRule="exact"/>
        <w:rPr>
          <w:sz w:val="24"/>
          <w:szCs w:val="24"/>
          <w:color w:val="auto"/>
        </w:rPr>
      </w:pPr>
    </w:p>
    <w:p>
      <w:pPr>
        <w:ind w:left="150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82" w:lineRule="exact"/>
        <w:rPr>
          <w:sz w:val="24"/>
          <w:szCs w:val="24"/>
          <w:color w:val="auto"/>
        </w:rPr>
      </w:pPr>
    </w:p>
    <w:p>
      <w:pPr>
        <w:jc w:val="center"/>
        <w:ind w:right="2200"/>
        <w:spacing w:after="0"/>
        <w:rPr>
          <w:sz w:val="20"/>
          <w:szCs w:val="20"/>
          <w:color w:val="auto"/>
        </w:rPr>
      </w:pPr>
      <w:r>
        <w:rPr>
          <w:rFonts w:ascii="Arial" w:cs="Arial" w:eastAsia="Arial" w:hAnsi="Arial"/>
          <w:sz w:val="16"/>
          <w:szCs w:val="16"/>
          <w:b w:val="1"/>
          <w:bCs w:val="1"/>
          <w:color w:val="auto"/>
        </w:rPr>
        <w:t>001-36569</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82"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35-2318913</w:t>
      </w:r>
    </w:p>
    <w:p>
      <w:pPr>
        <w:spacing w:after="0" w:line="31" w:lineRule="exact"/>
        <w:rPr>
          <w:sz w:val="24"/>
          <w:szCs w:val="24"/>
          <w:color w:val="auto"/>
        </w:rPr>
      </w:pPr>
    </w:p>
    <w:p>
      <w:pPr>
        <w:sectPr>
          <w:pgSz w:w="11900" w:h="16838" w:orient="portrait"/>
          <w:cols w:equalWidth="0" w:num="3">
            <w:col w:w="4500" w:space="720"/>
            <w:col w:w="2980" w:space="720"/>
            <w:col w:w="2160"/>
          </w:cols>
          <w:pgMar w:left="320" w:top="1232" w:right="499" w:bottom="1440" w:gutter="0" w:footer="0" w:header="0"/>
          <w:type w:val="continuous"/>
        </w:sectPr>
      </w:pPr>
    </w:p>
    <w:p>
      <w:pPr>
        <w:spacing w:after="0" w:line="12" w:lineRule="exact"/>
        <w:rPr>
          <w:sz w:val="24"/>
          <w:szCs w:val="24"/>
          <w:color w:val="auto"/>
        </w:rPr>
      </w:pPr>
    </w:p>
    <w:p>
      <w:pPr>
        <w:jc w:val="center"/>
        <w:ind w:right="720"/>
        <w:spacing w:after="0"/>
        <w:rPr>
          <w:sz w:val="20"/>
          <w:szCs w:val="20"/>
          <w:color w:val="auto"/>
        </w:rPr>
      </w:pPr>
      <w:r>
        <w:rPr>
          <w:rFonts w:ascii="Arial" w:cs="Arial" w:eastAsia="Arial" w:hAnsi="Arial"/>
          <w:sz w:val="13"/>
          <w:szCs w:val="13"/>
          <w:b w:val="1"/>
          <w:bCs w:val="1"/>
          <w:color w:val="auto"/>
        </w:rPr>
        <w:t>(State or other jurisdiction</w:t>
      </w:r>
    </w:p>
    <w:p>
      <w:pPr>
        <w:jc w:val="center"/>
        <w:ind w:right="720"/>
        <w:spacing w:after="0"/>
        <w:rPr>
          <w:sz w:val="20"/>
          <w:szCs w:val="20"/>
          <w:color w:val="auto"/>
        </w:rPr>
      </w:pPr>
      <w:r>
        <w:rPr>
          <w:rFonts w:ascii="Arial" w:cs="Arial" w:eastAsia="Arial" w:hAnsi="Arial"/>
          <w:sz w:val="14"/>
          <w:szCs w:val="14"/>
          <w:b w:val="1"/>
          <w:bCs w:val="1"/>
          <w:color w:val="auto"/>
        </w:rPr>
        <w:t>of incorporation)</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2"/>
          <w:szCs w:val="12"/>
          <w:b w:val="1"/>
          <w:bCs w:val="1"/>
          <w:color w:val="auto"/>
        </w:rPr>
        <w:t>(Commission</w:t>
      </w:r>
    </w:p>
    <w:p>
      <w:pPr>
        <w:spacing w:after="0" w:line="4"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File Number)</w:t>
      </w:r>
    </w:p>
    <w:p>
      <w:pPr>
        <w:spacing w:after="0" w:line="20" w:lineRule="exact"/>
        <w:rPr>
          <w:sz w:val="24"/>
          <w:szCs w:val="24"/>
          <w:color w:val="auto"/>
        </w:rPr>
      </w:pPr>
      <w:r>
        <w:rPr>
          <w:sz w:val="24"/>
          <w:szCs w:val="24"/>
          <w:color w:val="auto"/>
        </w:rPr>
        <w:br w:type="column"/>
      </w:r>
    </w:p>
    <w:p>
      <w:pPr>
        <w:jc w:val="center"/>
        <w:ind w:right="1160"/>
        <w:spacing w:after="0"/>
        <w:rPr>
          <w:sz w:val="20"/>
          <w:szCs w:val="20"/>
          <w:color w:val="auto"/>
        </w:rPr>
      </w:pPr>
      <w:r>
        <w:rPr>
          <w:rFonts w:ascii="Arial" w:cs="Arial" w:eastAsia="Arial" w:hAnsi="Arial"/>
          <w:sz w:val="14"/>
          <w:szCs w:val="14"/>
          <w:b w:val="1"/>
          <w:bCs w:val="1"/>
          <w:color w:val="auto"/>
        </w:rPr>
        <w:t>(IRS Employer</w:t>
      </w:r>
    </w:p>
    <w:p>
      <w:pPr>
        <w:jc w:val="center"/>
        <w:ind w:right="1160"/>
        <w:spacing w:after="0"/>
        <w:rPr>
          <w:sz w:val="20"/>
          <w:szCs w:val="20"/>
          <w:color w:val="auto"/>
        </w:rPr>
      </w:pPr>
      <w:r>
        <w:rPr>
          <w:rFonts w:ascii="Arial" w:cs="Arial" w:eastAsia="Arial" w:hAnsi="Arial"/>
          <w:sz w:val="13"/>
          <w:szCs w:val="13"/>
          <w:b w:val="1"/>
          <w:bCs w:val="1"/>
          <w:color w:val="auto"/>
        </w:rPr>
        <w:t>Identification No.)</w:t>
      </w:r>
    </w:p>
    <w:p>
      <w:pPr>
        <w:spacing w:after="0" w:line="149" w:lineRule="exact"/>
        <w:rPr>
          <w:sz w:val="24"/>
          <w:szCs w:val="24"/>
          <w:color w:val="auto"/>
        </w:rPr>
      </w:pPr>
    </w:p>
    <w:p>
      <w:pPr>
        <w:sectPr>
          <w:pgSz w:w="11900" w:h="16838" w:orient="portrait"/>
          <w:cols w:equalWidth="0" w:num="3">
            <w:col w:w="4480" w:space="720"/>
            <w:col w:w="2880" w:space="720"/>
            <w:col w:w="2280"/>
          </w:cols>
          <w:pgMar w:left="320" w:top="1232" w:right="499" w:bottom="1440" w:gutter="0" w:footer="0" w:header="0"/>
          <w:type w:val="continuous"/>
        </w:sectPr>
      </w:pPr>
    </w:p>
    <w:p>
      <w:pPr>
        <w:ind w:left="1560"/>
        <w:spacing w:after="0"/>
        <w:rPr>
          <w:sz w:val="20"/>
          <w:szCs w:val="20"/>
          <w:color w:val="auto"/>
        </w:rPr>
      </w:pPr>
      <w:r>
        <w:rPr>
          <w:rFonts w:ascii="Arial" w:cs="Arial" w:eastAsia="Arial" w:hAnsi="Arial"/>
          <w:sz w:val="16"/>
          <w:szCs w:val="16"/>
          <w:b w:val="1"/>
          <w:bCs w:val="1"/>
          <w:color w:val="auto"/>
        </w:rPr>
        <w:t>331 Treble Cove Road, North Billerica, MA</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b w:val="1"/>
          <w:bCs w:val="1"/>
          <w:color w:val="auto"/>
        </w:rPr>
        <w:t>01862</w:t>
      </w:r>
    </w:p>
    <w:p>
      <w:pPr>
        <w:spacing w:after="0" w:line="50" w:lineRule="exact"/>
        <w:rPr>
          <w:sz w:val="24"/>
          <w:szCs w:val="24"/>
          <w:color w:val="auto"/>
        </w:rPr>
      </w:pPr>
    </w:p>
    <w:p>
      <w:pPr>
        <w:sectPr>
          <w:pgSz w:w="11900" w:h="16838" w:orient="portrait"/>
          <w:cols w:equalWidth="0" w:num="2">
            <w:col w:w="7380" w:space="720"/>
            <w:col w:w="2980"/>
          </w:cols>
          <w:pgMar w:left="320" w:top="1232" w:right="499" w:bottom="1440" w:gutter="0" w:footer="0" w:header="0"/>
          <w:type w:val="continuous"/>
        </w:sectPr>
      </w:pPr>
    </w:p>
    <w:p>
      <w:pPr>
        <w:ind w:left="2040"/>
        <w:spacing w:after="0"/>
        <w:rPr>
          <w:sz w:val="20"/>
          <w:szCs w:val="20"/>
          <w:color w:val="auto"/>
        </w:rPr>
      </w:pPr>
      <w:r>
        <w:rPr>
          <w:rFonts w:ascii="Arial" w:cs="Arial" w:eastAsia="Arial" w:hAnsi="Arial"/>
          <w:sz w:val="12"/>
          <w:szCs w:val="12"/>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b w:val="1"/>
          <w:bCs w:val="1"/>
          <w:color w:val="auto"/>
        </w:rPr>
        <w:t>(Zip Code)</w:t>
      </w:r>
    </w:p>
    <w:p>
      <w:pPr>
        <w:spacing w:after="0" w:line="102" w:lineRule="exact"/>
        <w:rPr>
          <w:sz w:val="24"/>
          <w:szCs w:val="24"/>
          <w:color w:val="auto"/>
        </w:rPr>
      </w:pPr>
    </w:p>
    <w:p>
      <w:pPr>
        <w:sectPr>
          <w:pgSz w:w="11900" w:h="16838" w:orient="portrait"/>
          <w:cols w:equalWidth="0" w:num="2">
            <w:col w:w="7280" w:space="720"/>
            <w:col w:w="3080"/>
          </w:cols>
          <w:pgMar w:left="320" w:top="1232" w:right="499" w:bottom="1440" w:gutter="0" w:footer="0" w:header="0"/>
          <w:type w:val="continuous"/>
        </w:sectPr>
      </w:pPr>
    </w:p>
    <w:p>
      <w:pPr>
        <w:jc w:val="center"/>
        <w:ind w:right="-179"/>
        <w:spacing w:after="0"/>
        <w:rPr>
          <w:sz w:val="20"/>
          <w:szCs w:val="20"/>
          <w:color w:val="auto"/>
        </w:rPr>
      </w:pPr>
      <w:r>
        <w:rPr>
          <w:rFonts w:ascii="Arial" w:cs="Arial" w:eastAsia="Arial" w:hAnsi="Arial"/>
          <w:sz w:val="18"/>
          <w:szCs w:val="18"/>
          <w:b w:val="1"/>
          <w:bCs w:val="1"/>
          <w:color w:val="auto"/>
        </w:rPr>
        <w:t>Registrant’s telephone number, including area code: (978) 671-8001</w:t>
      </w:r>
    </w:p>
    <w:p>
      <w:pPr>
        <w:spacing w:after="0" w:line="200" w:lineRule="exact"/>
        <w:rPr>
          <w:sz w:val="24"/>
          <w:szCs w:val="24"/>
          <w:color w:val="auto"/>
        </w:rPr>
      </w:pPr>
    </w:p>
    <w:p>
      <w:pPr>
        <w:spacing w:after="0" w:line="376"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Not Applicable</w:t>
      </w:r>
    </w:p>
    <w:p>
      <w:pPr>
        <w:spacing w:after="0" w:line="27" w:lineRule="exact"/>
        <w:rPr>
          <w:sz w:val="24"/>
          <w:szCs w:val="24"/>
          <w:color w:val="auto"/>
        </w:rPr>
      </w:pPr>
    </w:p>
    <w:p>
      <w:pPr>
        <w:jc w:val="center"/>
        <w:ind w:right="-179"/>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2782570</wp:posOffset>
            </wp:positionH>
            <wp:positionV relativeFrom="paragraph">
              <wp:posOffset>232410</wp:posOffset>
            </wp:positionV>
            <wp:extent cx="157734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7734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1" w:lineRule="exact"/>
        <w:rPr>
          <w:sz w:val="24"/>
          <w:szCs w:val="24"/>
          <w:color w:val="auto"/>
        </w:rPr>
      </w:pPr>
    </w:p>
    <w:p>
      <w:pPr>
        <w:ind w:right="340" w:firstLine="1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62" w:lineRule="exact"/>
        <w:rPr>
          <w:sz w:val="24"/>
          <w:szCs w:val="24"/>
          <w:color w:val="auto"/>
        </w:rPr>
      </w:pPr>
    </w:p>
    <w:p>
      <w:pPr>
        <w:ind w:left="380" w:hanging="332"/>
        <w:spacing w:after="0"/>
        <w:tabs>
          <w:tab w:leader="none" w:pos="3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17" w:lineRule="exact"/>
        <w:rPr>
          <w:rFonts w:ascii="MS PGothic" w:cs="MS PGothic" w:eastAsia="MS PGothic" w:hAnsi="MS PGothic"/>
          <w:sz w:val="18"/>
          <w:szCs w:val="18"/>
          <w:color w:val="auto"/>
        </w:rPr>
      </w:pPr>
    </w:p>
    <w:p>
      <w:pPr>
        <w:ind w:left="400" w:hanging="352"/>
        <w:spacing w:after="0"/>
        <w:tabs>
          <w:tab w:leader="none" w:pos="40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17" w:lineRule="exact"/>
        <w:rPr>
          <w:rFonts w:ascii="MS PGothic" w:cs="MS PGothic" w:eastAsia="MS PGothic" w:hAnsi="MS PGothic"/>
          <w:sz w:val="18"/>
          <w:szCs w:val="18"/>
          <w:color w:val="auto"/>
        </w:rPr>
      </w:pPr>
    </w:p>
    <w:p>
      <w:pPr>
        <w:ind w:left="400" w:hanging="352"/>
        <w:spacing w:after="0"/>
        <w:tabs>
          <w:tab w:leader="none" w:pos="40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17" w:lineRule="exact"/>
        <w:rPr>
          <w:rFonts w:ascii="MS PGothic" w:cs="MS PGothic" w:eastAsia="MS PGothic" w:hAnsi="MS PGothic"/>
          <w:sz w:val="18"/>
          <w:szCs w:val="18"/>
          <w:color w:val="auto"/>
        </w:rPr>
      </w:pPr>
    </w:p>
    <w:p>
      <w:pPr>
        <w:ind w:left="340" w:right="2640" w:hanging="292"/>
        <w:spacing w:after="0" w:line="402" w:lineRule="auto"/>
        <w:tabs>
          <w:tab w:leader="none" w:pos="398"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w:t>
      </w:r>
    </w:p>
    <w:p>
      <w:pPr>
        <w:spacing w:after="0" w:line="57" w:lineRule="exact"/>
        <w:rPr>
          <w:sz w:val="24"/>
          <w:szCs w:val="24"/>
          <w:color w:val="auto"/>
        </w:rPr>
      </w:pPr>
    </w:p>
    <w:tbl>
      <w:tblPr>
        <w:tblLayout w:type="fixed"/>
        <w:tblInd w:w="910" w:type="dxa"/>
        <w:tblCellMar>
          <w:top w:w="0" w:type="dxa"/>
          <w:left w:w="0" w:type="dxa"/>
          <w:bottom w:w="0" w:type="dxa"/>
          <w:right w:w="0" w:type="dxa"/>
        </w:tblCellMar>
      </w:tblPr>
      <w:tr>
        <w:trPr>
          <w:trHeight w:val="243"/>
        </w:trPr>
        <w:tc>
          <w:tcPr>
            <w:tcW w:w="3860" w:type="dxa"/>
            <w:vAlign w:val="bottom"/>
            <w:tcBorders>
              <w:top w:val="single" w:sz="8" w:color="auto"/>
              <w:left w:val="single" w:sz="8" w:color="auto"/>
              <w:bottom w:val="single" w:sz="8" w:color="auto"/>
              <w:right w:val="single" w:sz="8" w:color="auto"/>
            </w:tcBorders>
          </w:tcPr>
          <w:p>
            <w:pPr>
              <w:ind w:left="340"/>
              <w:spacing w:after="0"/>
              <w:rPr>
                <w:sz w:val="20"/>
                <w:szCs w:val="20"/>
                <w:color w:val="auto"/>
              </w:rPr>
            </w:pPr>
            <w:r>
              <w:rPr>
                <w:rFonts w:ascii="Arial" w:cs="Arial" w:eastAsia="Arial" w:hAnsi="Arial"/>
                <w:sz w:val="18"/>
                <w:szCs w:val="18"/>
                <w:color w:val="auto"/>
              </w:rPr>
              <w:t>Title of each class</w:t>
            </w:r>
          </w:p>
        </w:tc>
        <w:tc>
          <w:tcPr>
            <w:tcW w:w="1860" w:type="dxa"/>
            <w:vAlign w:val="bottom"/>
            <w:tcBorders>
              <w:top w:val="single" w:sz="8" w:color="auto"/>
              <w:bottom w:val="single" w:sz="8" w:color="auto"/>
              <w:right w:val="single" w:sz="8" w:color="auto"/>
            </w:tcBorders>
          </w:tcPr>
          <w:p>
            <w:pPr>
              <w:ind w:left="320"/>
              <w:spacing w:after="0"/>
              <w:rPr>
                <w:sz w:val="20"/>
                <w:szCs w:val="20"/>
                <w:color w:val="auto"/>
              </w:rPr>
            </w:pPr>
            <w:r>
              <w:rPr>
                <w:rFonts w:ascii="Arial" w:cs="Arial" w:eastAsia="Arial" w:hAnsi="Arial"/>
                <w:sz w:val="18"/>
                <w:szCs w:val="18"/>
                <w:color w:val="auto"/>
              </w:rPr>
              <w:t>Trading Symbol(s)</w:t>
            </w:r>
          </w:p>
        </w:tc>
        <w:tc>
          <w:tcPr>
            <w:tcW w:w="4080" w:type="dxa"/>
            <w:vAlign w:val="bottom"/>
            <w:tcBorders>
              <w:top w:val="single" w:sz="8" w:color="auto"/>
              <w:bottom w:val="single" w:sz="8" w:color="auto"/>
              <w:right w:val="single" w:sz="8" w:color="auto"/>
            </w:tcBorders>
          </w:tcPr>
          <w:p>
            <w:pPr>
              <w:ind w:left="340"/>
              <w:spacing w:after="0"/>
              <w:rPr>
                <w:sz w:val="20"/>
                <w:szCs w:val="20"/>
                <w:color w:val="auto"/>
              </w:rPr>
            </w:pPr>
            <w:r>
              <w:rPr>
                <w:rFonts w:ascii="Arial" w:cs="Arial" w:eastAsia="Arial" w:hAnsi="Arial"/>
                <w:sz w:val="18"/>
                <w:szCs w:val="18"/>
                <w:color w:val="auto"/>
              </w:rPr>
              <w:t>Name of each exchange on which registered</w:t>
            </w:r>
          </w:p>
        </w:tc>
      </w:tr>
      <w:tr>
        <w:trPr>
          <w:trHeight w:val="223"/>
        </w:trPr>
        <w:tc>
          <w:tcPr>
            <w:tcW w:w="3860" w:type="dxa"/>
            <w:vAlign w:val="bottom"/>
            <w:tcBorders>
              <w:left w:val="single" w:sz="8" w:color="auto"/>
              <w:bottom w:val="single" w:sz="8" w:color="auto"/>
              <w:right w:val="single" w:sz="8" w:color="auto"/>
            </w:tcBorders>
          </w:tcPr>
          <w:p>
            <w:pPr>
              <w:ind w:left="340"/>
              <w:spacing w:after="0"/>
              <w:rPr>
                <w:sz w:val="20"/>
                <w:szCs w:val="20"/>
                <w:color w:val="auto"/>
              </w:rPr>
            </w:pPr>
            <w:r>
              <w:rPr>
                <w:rFonts w:ascii="Arial" w:cs="Arial" w:eastAsia="Arial" w:hAnsi="Arial"/>
                <w:sz w:val="18"/>
                <w:szCs w:val="18"/>
                <w:color w:val="auto"/>
              </w:rPr>
              <w:t>Common stock, par value $0.01 per share</w:t>
            </w:r>
          </w:p>
        </w:tc>
        <w:tc>
          <w:tcPr>
            <w:tcW w:w="1860" w:type="dxa"/>
            <w:vAlign w:val="bottom"/>
            <w:tcBorders>
              <w:bottom w:val="single" w:sz="8" w:color="auto"/>
              <w:right w:val="single" w:sz="8" w:color="auto"/>
            </w:tcBorders>
          </w:tcPr>
          <w:p>
            <w:pPr>
              <w:ind w:left="320"/>
              <w:spacing w:after="0"/>
              <w:rPr>
                <w:sz w:val="20"/>
                <w:szCs w:val="20"/>
                <w:color w:val="auto"/>
              </w:rPr>
            </w:pPr>
            <w:r>
              <w:rPr>
                <w:rFonts w:ascii="Arial" w:cs="Arial" w:eastAsia="Arial" w:hAnsi="Arial"/>
                <w:sz w:val="18"/>
                <w:szCs w:val="18"/>
                <w:color w:val="auto"/>
              </w:rPr>
              <w:t>LNTH</w:t>
            </w:r>
          </w:p>
        </w:tc>
        <w:tc>
          <w:tcPr>
            <w:tcW w:w="4080" w:type="dxa"/>
            <w:vAlign w:val="bottom"/>
            <w:tcBorders>
              <w:bottom w:val="single" w:sz="8" w:color="auto"/>
              <w:right w:val="single" w:sz="8" w:color="auto"/>
            </w:tcBorders>
          </w:tcPr>
          <w:p>
            <w:pPr>
              <w:ind w:left="340"/>
              <w:spacing w:after="0"/>
              <w:rPr>
                <w:sz w:val="20"/>
                <w:szCs w:val="20"/>
                <w:color w:val="auto"/>
              </w:rPr>
            </w:pPr>
            <w:r>
              <w:rPr>
                <w:rFonts w:ascii="Arial" w:cs="Arial" w:eastAsia="Arial" w:hAnsi="Arial"/>
                <w:sz w:val="18"/>
                <w:szCs w:val="18"/>
                <w:color w:val="auto"/>
              </w:rPr>
              <w:t>The Nasdaq Global Market</w:t>
            </w:r>
          </w:p>
        </w:tc>
      </w:tr>
    </w:tbl>
    <w:p>
      <w:pPr>
        <w:spacing w:after="0" w:line="94" w:lineRule="exact"/>
        <w:rPr>
          <w:sz w:val="24"/>
          <w:szCs w:val="24"/>
          <w:color w:val="auto"/>
        </w:rPr>
      </w:pPr>
    </w:p>
    <w:p>
      <w:pPr>
        <w:jc w:val="both"/>
        <w:ind w:right="36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84" w:lineRule="exact"/>
        <w:rPr>
          <w:sz w:val="24"/>
          <w:szCs w:val="24"/>
          <w:color w:val="auto"/>
        </w:rPr>
      </w:pPr>
    </w:p>
    <w:p>
      <w:pPr>
        <w:ind w:left="6980"/>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04" w:lineRule="exact"/>
        <w:rPr>
          <w:sz w:val="24"/>
          <w:szCs w:val="24"/>
          <w:color w:val="auto"/>
        </w:rPr>
      </w:pPr>
    </w:p>
    <w:p>
      <w:pPr>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652145</wp:posOffset>
            </wp:positionV>
            <wp:extent cx="7157720"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57720" cy="42545"/>
                    </a:xfrm>
                    <a:prstGeom prst="rect">
                      <a:avLst/>
                    </a:prstGeom>
                    <a:noFill/>
                  </pic:spPr>
                </pic:pic>
              </a:graphicData>
            </a:graphic>
          </wp:anchor>
        </w:drawing>
        <w:drawing>
          <wp:anchor simplePos="0" relativeHeight="251657728" behindDoc="1" locked="0" layoutInCell="0" allowOverlap="1">
            <wp:simplePos x="0" y="0"/>
            <wp:positionH relativeFrom="column">
              <wp:posOffset>47625</wp:posOffset>
            </wp:positionH>
            <wp:positionV relativeFrom="paragraph">
              <wp:posOffset>125095</wp:posOffset>
            </wp:positionV>
            <wp:extent cx="704659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046595" cy="8890"/>
                    </a:xfrm>
                    <a:prstGeom prst="rect">
                      <a:avLst/>
                    </a:prstGeom>
                    <a:noFill/>
                  </pic:spPr>
                </pic:pic>
              </a:graphicData>
            </a:graphic>
          </wp:anchor>
        </w:drawing>
        <w:drawing>
          <wp:anchor simplePos="0" relativeHeight="251657728" behindDoc="1" locked="0" layoutInCell="0" allowOverlap="1">
            <wp:simplePos x="0" y="0"/>
            <wp:positionH relativeFrom="column">
              <wp:posOffset>47625</wp:posOffset>
            </wp:positionH>
            <wp:positionV relativeFrom="paragraph">
              <wp:posOffset>64770</wp:posOffset>
            </wp:positionV>
            <wp:extent cx="7046595"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046595" cy="8890"/>
                    </a:xfrm>
                    <a:prstGeom prst="rect">
                      <a:avLst/>
                    </a:prstGeom>
                    <a:noFill/>
                  </pic:spPr>
                </pic:pic>
              </a:graphicData>
            </a:graphic>
          </wp:anchor>
        </w:drawing>
      </w:r>
    </w:p>
    <w:p>
      <w:pPr>
        <w:sectPr>
          <w:pgSz w:w="11900" w:h="16838" w:orient="portrait"/>
          <w:cols w:equalWidth="0" w:num="1">
            <w:col w:w="11080"/>
          </w:cols>
          <w:pgMar w:left="320" w:top="1232" w:right="499" w:bottom="1440" w:gutter="0" w:footer="0" w:header="0"/>
          <w:type w:val="continuous"/>
        </w:sectPr>
      </w:pPr>
    </w:p>
    <w:bookmarkStart w:id="1" w:name="page2"/>
    <w:bookmarkEnd w:id="1"/>
    <w:p>
      <w:pPr>
        <w:ind w:left="40"/>
        <w:spacing w:after="0"/>
        <w:tabs>
          <w:tab w:leader="none" w:pos="1020" w:val="left"/>
        </w:tabs>
        <w:rPr>
          <w:sz w:val="20"/>
          <w:szCs w:val="20"/>
          <w:color w:val="auto"/>
        </w:rPr>
      </w:pPr>
      <w:r>
        <w:rPr>
          <w:rFonts w:ascii="Arial" w:cs="Arial" w:eastAsia="Arial" w:hAnsi="Arial"/>
          <w:sz w:val="18"/>
          <w:szCs w:val="18"/>
          <w:b w:val="1"/>
          <w:bCs w:val="1"/>
          <w:color w:val="auto"/>
        </w:rPr>
        <w:t>Item 2.02.</w:t>
      </w:r>
      <w:r>
        <w:rPr>
          <w:sz w:val="20"/>
          <w:szCs w:val="20"/>
          <w:color w:val="auto"/>
        </w:rPr>
        <w:tab/>
      </w:r>
      <w:r>
        <w:rPr>
          <w:rFonts w:ascii="Arial" w:cs="Arial" w:eastAsia="Arial" w:hAnsi="Arial"/>
          <w:sz w:val="16"/>
          <w:szCs w:val="16"/>
          <w:b w:val="1"/>
          <w:bCs w:val="1"/>
          <w:color w:val="auto"/>
        </w:rPr>
        <w:t>Results of Operations and Financial Condition.</w:t>
      </w:r>
    </w:p>
    <w:p>
      <w:pPr>
        <w:spacing w:after="0" w:line="121" w:lineRule="exact"/>
        <w:rPr>
          <w:sz w:val="20"/>
          <w:szCs w:val="20"/>
          <w:color w:val="auto"/>
        </w:rPr>
      </w:pPr>
    </w:p>
    <w:p>
      <w:pPr>
        <w:ind w:right="180"/>
        <w:spacing w:after="0" w:line="308" w:lineRule="auto"/>
        <w:rPr>
          <w:sz w:val="20"/>
          <w:szCs w:val="20"/>
          <w:color w:val="auto"/>
        </w:rPr>
      </w:pPr>
      <w:r>
        <w:rPr>
          <w:rFonts w:ascii="Arial" w:cs="Arial" w:eastAsia="Arial" w:hAnsi="Arial"/>
          <w:sz w:val="17"/>
          <w:szCs w:val="17"/>
          <w:color w:val="auto"/>
        </w:rPr>
        <w:t>On November 4, 2021, Lantheus Holdings, Inc. (the “Company”) announced via press release its financial results as of and for the three and nine months ended September 30, 2021. A copy of that press release is being furnished as Exhibit 99.1 and is hereby incorporated by reference.</w:t>
      </w:r>
    </w:p>
    <w:p>
      <w:pPr>
        <w:spacing w:after="0" w:line="146" w:lineRule="exact"/>
        <w:rPr>
          <w:sz w:val="20"/>
          <w:szCs w:val="20"/>
          <w:color w:val="auto"/>
        </w:rPr>
      </w:pPr>
    </w:p>
    <w:p>
      <w:pPr>
        <w:ind w:right="500"/>
        <w:spacing w:after="0" w:line="286" w:lineRule="auto"/>
        <w:rPr>
          <w:sz w:val="20"/>
          <w:szCs w:val="20"/>
          <w:color w:val="auto"/>
        </w:rPr>
      </w:pPr>
      <w:r>
        <w:rPr>
          <w:rFonts w:ascii="Arial" w:cs="Arial" w:eastAsia="Arial" w:hAnsi="Arial"/>
          <w:sz w:val="17"/>
          <w:szCs w:val="17"/>
          <w:color w:val="auto"/>
        </w:rPr>
        <w:t>The information furnished pursuant to this Item 2.02, including Exhibit 99.1, shall not be deemed “filed” for purposes of Section 18 of the Securities Exchange Act of 1934, as amended (the “Exchange Act”), or otherwise subject to the liabilities under that Section and shall not be deemed to be incorporated by reference into any filing of the Company under the Securities Act of 1933, as amended, or the Exchange Act.</w:t>
      </w:r>
    </w:p>
    <w:p>
      <w:pPr>
        <w:spacing w:after="0" w:line="269" w:lineRule="exact"/>
        <w:rPr>
          <w:sz w:val="20"/>
          <w:szCs w:val="20"/>
          <w:color w:val="auto"/>
        </w:rPr>
      </w:pPr>
    </w:p>
    <w:p>
      <w:pPr>
        <w:ind w:left="40"/>
        <w:spacing w:after="0"/>
        <w:tabs>
          <w:tab w:leader="none" w:pos="98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(d) Exhibits</w:t>
      </w:r>
    </w:p>
    <w:p>
      <w:pPr>
        <w:spacing w:after="0" w:line="248" w:lineRule="exact"/>
        <w:rPr>
          <w:sz w:val="20"/>
          <w:szCs w:val="20"/>
          <w:color w:val="auto"/>
        </w:rPr>
      </w:pPr>
    </w:p>
    <w:p>
      <w:pPr>
        <w:ind w:left="80"/>
        <w:spacing w:after="0"/>
        <w:tabs>
          <w:tab w:leader="none" w:pos="5440" w:val="left"/>
        </w:tabs>
        <w:rPr>
          <w:sz w:val="20"/>
          <w:szCs w:val="20"/>
          <w:color w:val="auto"/>
        </w:rPr>
      </w:pPr>
      <w:r>
        <w:rPr>
          <w:rFonts w:ascii="Arial" w:cs="Arial" w:eastAsia="Arial" w:hAnsi="Arial"/>
          <w:sz w:val="18"/>
          <w:szCs w:val="18"/>
          <w:b w:val="1"/>
          <w:bCs w:val="1"/>
          <w:color w:val="auto"/>
        </w:rPr>
        <w:t>Exhibit No.</w:t>
      </w:r>
      <w:r>
        <w:rPr>
          <w:sz w:val="20"/>
          <w:szCs w:val="20"/>
          <w:color w:val="auto"/>
        </w:rPr>
        <w:tab/>
      </w:r>
      <w:r>
        <w:rPr>
          <w:rFonts w:ascii="Arial" w:cs="Arial" w:eastAsia="Arial" w:hAnsi="Arial"/>
          <w:sz w:val="15"/>
          <w:szCs w:val="15"/>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675513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755130" cy="8255"/>
                    </a:xfrm>
                    <a:prstGeom prst="rect">
                      <a:avLst/>
                    </a:prstGeom>
                    <a:noFill/>
                  </pic:spPr>
                </pic:pic>
              </a:graphicData>
            </a:graphic>
          </wp:anchor>
        </w:drawing>
      </w:r>
    </w:p>
    <w:p>
      <w:pPr>
        <w:spacing w:after="0" w:line="20" w:lineRule="exact"/>
        <w:rPr>
          <w:sz w:val="20"/>
          <w:szCs w:val="20"/>
          <w:color w:val="auto"/>
        </w:rPr>
      </w:pPr>
    </w:p>
    <w:p>
      <w:pPr>
        <w:ind w:left="1300" w:right="680" w:hanging="969"/>
        <w:spacing w:after="0" w:line="235" w:lineRule="auto"/>
        <w:tabs>
          <w:tab w:leader="none" w:pos="1280" w:val="left"/>
        </w:tabs>
        <w:rPr>
          <w:rFonts w:ascii="Arial" w:cs="Arial" w:eastAsia="Arial" w:hAnsi="Arial"/>
          <w:sz w:val="18"/>
          <w:szCs w:val="18"/>
          <w:u w:val="single" w:color="auto"/>
          <w:color w:val="0000FF"/>
        </w:rPr>
      </w:pPr>
      <w:r>
        <w:rPr>
          <w:rFonts w:ascii="Arial" w:cs="Arial" w:eastAsia="Arial" w:hAnsi="Arial"/>
          <w:sz w:val="18"/>
          <w:szCs w:val="18"/>
          <w:color w:val="auto"/>
        </w:rPr>
        <w:t>99.1*</w:t>
      </w:r>
      <w:r>
        <w:rPr>
          <w:sz w:val="20"/>
          <w:szCs w:val="20"/>
          <w:color w:val="auto"/>
        </w:rPr>
        <w:tab/>
      </w:r>
      <w:hyperlink w:anchor="page4">
        <w:r>
          <w:rPr>
            <w:rFonts w:ascii="Arial" w:cs="Arial" w:eastAsia="Arial" w:hAnsi="Arial"/>
            <w:sz w:val="18"/>
            <w:szCs w:val="18"/>
            <w:u w:val="single" w:color="auto"/>
            <w:color w:val="0000FF"/>
          </w:rPr>
          <w:t>Press release of Lantheus Holdings, Inc. dated November 4, 2021, entitled "Lantheus Holdings, Inc. Reports Third Quarter 2021</w:t>
        </w:r>
      </w:hyperlink>
      <w:r>
        <w:rPr>
          <w:rFonts w:ascii="Arial" w:cs="Arial" w:eastAsia="Arial" w:hAnsi="Arial"/>
          <w:sz w:val="18"/>
          <w:szCs w:val="18"/>
          <w:u w:val="single" w:color="auto"/>
          <w:color w:val="0000FF"/>
        </w:rPr>
        <w:t xml:space="preserve"> </w:t>
      </w:r>
      <w:hyperlink w:anchor="page4">
        <w:r>
          <w:rPr>
            <w:rFonts w:ascii="Arial" w:cs="Arial" w:eastAsia="Arial" w:hAnsi="Arial"/>
            <w:sz w:val="18"/>
            <w:szCs w:val="18"/>
            <w:u w:val="single" w:color="auto"/>
            <w:color w:val="0000FF"/>
          </w:rPr>
          <w:t>Financial Results"</w:t>
        </w:r>
      </w:hyperlink>
    </w:p>
    <w:p>
      <w:pPr>
        <w:ind w:left="1300" w:hanging="907"/>
        <w:spacing w:after="0"/>
        <w:tabs>
          <w:tab w:leader="none" w:pos="1300" w:val="left"/>
        </w:tabs>
        <w:numPr>
          <w:ilvl w:val="1"/>
          <w:numId w:val="2"/>
        </w:numPr>
        <w:rPr>
          <w:rFonts w:ascii="Arial" w:cs="Arial" w:eastAsia="Arial" w:hAnsi="Arial"/>
          <w:sz w:val="18"/>
          <w:szCs w:val="18"/>
          <w:color w:val="auto"/>
        </w:rPr>
      </w:pPr>
      <w:r>
        <w:rPr>
          <w:rFonts w:ascii="Arial" w:cs="Arial" w:eastAsia="Arial" w:hAnsi="Arial"/>
          <w:sz w:val="18"/>
          <w:szCs w:val="18"/>
          <w:color w:val="auto"/>
        </w:rPr>
        <w:t>Cover Page Interactive Data File (embedded within the Inline XBRL document)</w:t>
      </w:r>
    </w:p>
    <w:p>
      <w:pPr>
        <w:spacing w:after="0" w:line="220" w:lineRule="exact"/>
        <w:rPr>
          <w:rFonts w:ascii="Arial" w:cs="Arial" w:eastAsia="Arial" w:hAnsi="Arial"/>
          <w:sz w:val="18"/>
          <w:szCs w:val="18"/>
          <w:color w:val="auto"/>
        </w:rPr>
      </w:pPr>
    </w:p>
    <w:p>
      <w:pPr>
        <w:ind w:left="460" w:hanging="405"/>
        <w:spacing w:after="0" w:line="289" w:lineRule="auto"/>
        <w:rPr>
          <w:rFonts w:ascii="Arial" w:cs="Arial" w:eastAsia="Arial" w:hAnsi="Arial"/>
          <w:sz w:val="18"/>
          <w:szCs w:val="18"/>
          <w:color w:val="auto"/>
        </w:rPr>
      </w:pPr>
      <w:r>
        <w:rPr>
          <w:rFonts w:ascii="Arial" w:cs="Arial" w:eastAsia="Arial" w:hAnsi="Arial"/>
          <w:sz w:val="17"/>
          <w:szCs w:val="17"/>
          <w:b w:val="1"/>
          <w:bCs w:val="1"/>
          <w:color w:val="auto"/>
        </w:rPr>
        <w:t xml:space="preserve">* </w:t>
      </w:r>
      <w:r>
        <w:rPr>
          <w:rFonts w:ascii="Arial" w:cs="Arial" w:eastAsia="Arial" w:hAnsi="Arial"/>
          <w:sz w:val="17"/>
          <w:szCs w:val="17"/>
          <w:color w:val="auto"/>
        </w:rPr>
        <w:t>Exhibit 99.1 attached hereto is being furnished and shall not be deemed “filed” for purposes of Section 18 of the Securities Exchange Act of 1934, as</w:t>
      </w:r>
      <w:r>
        <w:rPr>
          <w:rFonts w:ascii="Arial" w:cs="Arial" w:eastAsia="Arial" w:hAnsi="Arial"/>
          <w:sz w:val="17"/>
          <w:szCs w:val="17"/>
          <w:b w:val="1"/>
          <w:bCs w:val="1"/>
          <w:color w:val="auto"/>
        </w:rPr>
        <w:t xml:space="preserve"> </w:t>
      </w:r>
      <w:r>
        <w:rPr>
          <w:rFonts w:ascii="Arial" w:cs="Arial" w:eastAsia="Arial" w:hAnsi="Arial"/>
          <w:sz w:val="17"/>
          <w:szCs w:val="17"/>
          <w:color w:val="auto"/>
        </w:rPr>
        <w:t>amended, or otherwise subject to the liabilities of that section, nor shall such information be deemed incorporated by reference in any filing under the Securities Act of 1933, as amended, except as shall be expressly set forth by specific reference in such filing.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656590</wp:posOffset>
            </wp:positionV>
            <wp:extent cx="715772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769" w:right="35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42" w:lineRule="exact"/>
        <w:rPr>
          <w:sz w:val="20"/>
          <w:szCs w:val="20"/>
          <w:color w:val="auto"/>
        </w:rPr>
      </w:pPr>
    </w:p>
    <w:p>
      <w:pPr>
        <w:ind w:left="6640"/>
        <w:spacing w:after="0"/>
        <w:rPr>
          <w:sz w:val="20"/>
          <w:szCs w:val="20"/>
          <w:color w:val="auto"/>
        </w:rPr>
      </w:pPr>
      <w:r>
        <w:rPr>
          <w:rFonts w:ascii="Arial" w:cs="Arial" w:eastAsia="Arial" w:hAnsi="Arial"/>
          <w:sz w:val="18"/>
          <w:szCs w:val="18"/>
          <w:b w:val="1"/>
          <w:bCs w:val="1"/>
          <w:color w:val="auto"/>
        </w:rPr>
        <w:t>LANTHEUS HOLDINGS, INC.</w:t>
      </w:r>
    </w:p>
    <w:p>
      <w:pPr>
        <w:spacing w:after="0" w:line="243" w:lineRule="exact"/>
        <w:rPr>
          <w:sz w:val="20"/>
          <w:szCs w:val="20"/>
          <w:color w:val="auto"/>
        </w:rPr>
      </w:pPr>
    </w:p>
    <w:tbl>
      <w:tblPr>
        <w:tblLayout w:type="fixed"/>
        <w:tblInd w:w="6640" w:type="dxa"/>
        <w:tblCellMar>
          <w:top w:w="0" w:type="dxa"/>
          <w:left w:w="0" w:type="dxa"/>
          <w:bottom w:w="0" w:type="dxa"/>
          <w:right w:w="0" w:type="dxa"/>
        </w:tblCellMar>
      </w:tblPr>
      <w:tr>
        <w:trPr>
          <w:trHeight w:val="230"/>
        </w:trPr>
        <w:tc>
          <w:tcPr>
            <w:tcW w:w="740" w:type="dxa"/>
            <w:vAlign w:val="bottom"/>
          </w:tcPr>
          <w:p>
            <w:pPr>
              <w:spacing w:after="0"/>
              <w:rPr>
                <w:sz w:val="20"/>
                <w:szCs w:val="20"/>
                <w:color w:val="auto"/>
              </w:rPr>
            </w:pPr>
            <w:r>
              <w:rPr>
                <w:rFonts w:ascii="Arial" w:cs="Arial" w:eastAsia="Arial" w:hAnsi="Arial"/>
                <w:sz w:val="18"/>
                <w:szCs w:val="18"/>
                <w:color w:val="auto"/>
              </w:rPr>
              <w:t>By:</w:t>
            </w:r>
          </w:p>
        </w:tc>
        <w:tc>
          <w:tcPr>
            <w:tcW w:w="3860" w:type="dxa"/>
            <w:vAlign w:val="bottom"/>
          </w:tcPr>
          <w:p>
            <w:pPr>
              <w:ind w:left="20"/>
              <w:spacing w:after="0"/>
              <w:rPr>
                <w:sz w:val="20"/>
                <w:szCs w:val="20"/>
                <w:color w:val="auto"/>
              </w:rPr>
            </w:pPr>
            <w:r>
              <w:rPr>
                <w:rFonts w:ascii="Arial" w:cs="Arial" w:eastAsia="Arial" w:hAnsi="Arial"/>
                <w:sz w:val="18"/>
                <w:szCs w:val="18"/>
                <w:color w:val="auto"/>
              </w:rPr>
              <w:t>/s/ Daniel M. Niedzwiecki</w:t>
            </w:r>
          </w:p>
        </w:tc>
        <w:tc>
          <w:tcPr>
            <w:tcW w:w="0" w:type="dxa"/>
            <w:vAlign w:val="bottom"/>
          </w:tcPr>
          <w:p>
            <w:pPr>
              <w:spacing w:after="0"/>
              <w:rPr>
                <w:sz w:val="1"/>
                <w:szCs w:val="1"/>
                <w:color w:val="auto"/>
              </w:rPr>
            </w:pPr>
          </w:p>
        </w:tc>
      </w:tr>
      <w:tr>
        <w:trPr>
          <w:trHeight w:val="88"/>
        </w:trPr>
        <w:tc>
          <w:tcPr>
            <w:tcW w:w="740" w:type="dxa"/>
            <w:vAlign w:val="bottom"/>
            <w:vMerge w:val="restart"/>
          </w:tcPr>
          <w:p>
            <w:pPr>
              <w:spacing w:after="0"/>
              <w:rPr>
                <w:sz w:val="20"/>
                <w:szCs w:val="20"/>
                <w:color w:val="auto"/>
              </w:rPr>
            </w:pPr>
            <w:r>
              <w:rPr>
                <w:rFonts w:ascii="Arial" w:cs="Arial" w:eastAsia="Arial" w:hAnsi="Arial"/>
                <w:sz w:val="18"/>
                <w:szCs w:val="18"/>
                <w:color w:val="auto"/>
              </w:rPr>
              <w:t>Name:</w:t>
            </w:r>
          </w:p>
        </w:tc>
        <w:tc>
          <w:tcPr>
            <w:tcW w:w="386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0"/>
        </w:trPr>
        <w:tc>
          <w:tcPr>
            <w:tcW w:w="740" w:type="dxa"/>
            <w:vAlign w:val="bottom"/>
            <w:vMerge w:val="continue"/>
          </w:tcPr>
          <w:p>
            <w:pPr>
              <w:spacing w:after="0"/>
              <w:rPr>
                <w:sz w:val="20"/>
                <w:szCs w:val="20"/>
                <w:color w:val="auto"/>
              </w:rPr>
            </w:pPr>
          </w:p>
        </w:tc>
        <w:tc>
          <w:tcPr>
            <w:tcW w:w="3860" w:type="dxa"/>
            <w:vAlign w:val="bottom"/>
          </w:tcPr>
          <w:p>
            <w:pPr>
              <w:ind w:left="20"/>
              <w:spacing w:after="0"/>
              <w:rPr>
                <w:sz w:val="20"/>
                <w:szCs w:val="20"/>
                <w:color w:val="auto"/>
              </w:rPr>
            </w:pPr>
            <w:r>
              <w:rPr>
                <w:rFonts w:ascii="Arial" w:cs="Arial" w:eastAsia="Arial" w:hAnsi="Arial"/>
                <w:sz w:val="18"/>
                <w:szCs w:val="18"/>
                <w:color w:val="auto"/>
              </w:rPr>
              <w:t>Daniel M. Niedzwiecki</w:t>
            </w:r>
          </w:p>
        </w:tc>
        <w:tc>
          <w:tcPr>
            <w:tcW w:w="0" w:type="dxa"/>
            <w:vAlign w:val="bottom"/>
          </w:tcPr>
          <w:p>
            <w:pPr>
              <w:spacing w:after="0"/>
              <w:rPr>
                <w:sz w:val="1"/>
                <w:szCs w:val="1"/>
                <w:color w:val="auto"/>
              </w:rPr>
            </w:pPr>
          </w:p>
        </w:tc>
      </w:tr>
      <w:tr>
        <w:trPr>
          <w:trHeight w:val="310"/>
        </w:trPr>
        <w:tc>
          <w:tcPr>
            <w:tcW w:w="740" w:type="dxa"/>
            <w:vAlign w:val="bottom"/>
          </w:tcPr>
          <w:p>
            <w:pPr>
              <w:spacing w:after="0"/>
              <w:rPr>
                <w:sz w:val="20"/>
                <w:szCs w:val="20"/>
                <w:color w:val="auto"/>
              </w:rPr>
            </w:pPr>
            <w:r>
              <w:rPr>
                <w:rFonts w:ascii="Arial" w:cs="Arial" w:eastAsia="Arial" w:hAnsi="Arial"/>
                <w:sz w:val="18"/>
                <w:szCs w:val="18"/>
                <w:color w:val="auto"/>
              </w:rPr>
              <w:t>Title:</w:t>
            </w:r>
          </w:p>
        </w:tc>
        <w:tc>
          <w:tcPr>
            <w:tcW w:w="3860" w:type="dxa"/>
            <w:vAlign w:val="bottom"/>
          </w:tcPr>
          <w:p>
            <w:pPr>
              <w:ind w:left="20"/>
              <w:spacing w:after="0"/>
              <w:rPr>
                <w:sz w:val="20"/>
                <w:szCs w:val="20"/>
                <w:color w:val="auto"/>
              </w:rPr>
            </w:pPr>
            <w:r>
              <w:rPr>
                <w:rFonts w:ascii="Arial" w:cs="Arial" w:eastAsia="Arial" w:hAnsi="Arial"/>
                <w:sz w:val="18"/>
                <w:szCs w:val="18"/>
                <w:color w:val="auto"/>
              </w:rPr>
              <w:t>Senior Vice President and General Counsel</w:t>
            </w:r>
          </w:p>
        </w:tc>
        <w:tc>
          <w:tcPr>
            <w:tcW w:w="0" w:type="dxa"/>
            <w:vAlign w:val="bottom"/>
          </w:tcPr>
          <w:p>
            <w:pPr>
              <w:spacing w:after="0"/>
              <w:rPr>
                <w:sz w:val="1"/>
                <w:szCs w:val="1"/>
                <w:color w:val="auto"/>
              </w:rPr>
            </w:pPr>
          </w:p>
        </w:tc>
      </w:tr>
    </w:tbl>
    <w:p>
      <w:pPr>
        <w:spacing w:after="0" w:line="296" w:lineRule="exact"/>
        <w:rPr>
          <w:sz w:val="20"/>
          <w:szCs w:val="20"/>
          <w:color w:val="auto"/>
        </w:rPr>
      </w:pPr>
    </w:p>
    <w:p>
      <w:pPr>
        <w:spacing w:after="0"/>
        <w:rPr>
          <w:sz w:val="20"/>
          <w:szCs w:val="20"/>
          <w:color w:val="auto"/>
        </w:rPr>
      </w:pPr>
      <w:r>
        <w:rPr>
          <w:rFonts w:ascii="Arial" w:cs="Arial" w:eastAsia="Arial" w:hAnsi="Arial"/>
          <w:sz w:val="18"/>
          <w:szCs w:val="18"/>
          <w:color w:val="auto"/>
        </w:rPr>
        <w:t>Date: November 4, 2021</w:t>
      </w:r>
    </w:p>
    <w:p>
      <w:pPr>
        <w:sectPr>
          <w:pgSz w:w="11900" w:h="16838" w:orient="portrait"/>
          <w:cols w:equalWidth="0" w:num="1">
            <w:col w:w="11240"/>
          </w:cols>
          <w:pgMar w:left="320" w:top="769" w:right="339" w:bottom="1440" w:gutter="0" w:footer="0" w:header="0"/>
        </w:sectPr>
      </w:pPr>
    </w:p>
    <w:bookmarkStart w:id="3" w:name="page4"/>
    <w:bookmarkEnd w:id="3"/>
    <w:p>
      <w:pPr>
        <w:ind w:left="10320"/>
        <w:spacing w:after="0"/>
        <w:rPr>
          <w:sz w:val="20"/>
          <w:szCs w:val="20"/>
          <w:color w:val="auto"/>
        </w:rPr>
      </w:pPr>
      <w:r>
        <w:rPr>
          <w:rFonts w:ascii="Arial" w:cs="Arial" w:eastAsia="Arial" w:hAnsi="Arial"/>
          <w:sz w:val="16"/>
          <w:szCs w:val="16"/>
          <w:b w:val="1"/>
          <w:bCs w:val="1"/>
          <w:color w:val="auto"/>
        </w:rPr>
        <w:t>Exhibit 99.1</w:t>
      </w:r>
    </w:p>
    <w:p>
      <w:pPr>
        <w:sectPr>
          <w:pgSz w:w="11900" w:h="16838" w:orient="portrait"/>
          <w:cols w:equalWidth="0" w:num="1">
            <w:col w:w="11240"/>
          </w:cols>
          <w:pgMar w:left="320" w:top="661" w:right="339" w:bottom="1440" w:gutter="0" w:footer="0" w:header="0"/>
        </w:sectPr>
      </w:pPr>
    </w:p>
    <w:p>
      <w:pPr>
        <w:spacing w:after="0" w:line="277" w:lineRule="exact"/>
        <w:rPr>
          <w:sz w:val="20"/>
          <w:szCs w:val="20"/>
          <w:color w:val="auto"/>
        </w:rPr>
      </w:pPr>
    </w:p>
    <w:p>
      <w:pPr>
        <w:ind w:left="6520"/>
        <w:spacing w:after="0"/>
        <w:rPr>
          <w:sz w:val="20"/>
          <w:szCs w:val="20"/>
          <w:color w:val="auto"/>
        </w:rPr>
      </w:pPr>
      <w:r>
        <w:rPr>
          <w:rFonts w:ascii="Arial" w:cs="Arial" w:eastAsia="Arial" w:hAnsi="Arial"/>
          <w:sz w:val="18"/>
          <w:szCs w:val="18"/>
          <w:color w:val="auto"/>
        </w:rPr>
        <w:t>331 Treble Cove Road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13335</wp:posOffset>
            </wp:positionH>
            <wp:positionV relativeFrom="paragraph">
              <wp:posOffset>-120650</wp:posOffset>
            </wp:positionV>
            <wp:extent cx="1748790" cy="4883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748790" cy="488315"/>
                    </a:xfrm>
                    <a:prstGeom prst="rect">
                      <a:avLst/>
                    </a:prstGeom>
                    <a:noFill/>
                  </pic:spPr>
                </pic:pic>
              </a:graphicData>
            </a:graphic>
          </wp:anchor>
        </w:drawing>
      </w:r>
    </w:p>
    <w:p>
      <w:pPr>
        <w:ind w:left="6520"/>
        <w:spacing w:after="0"/>
        <w:rPr>
          <w:sz w:val="20"/>
          <w:szCs w:val="20"/>
          <w:color w:val="auto"/>
        </w:rPr>
      </w:pPr>
      <w:r>
        <w:rPr>
          <w:rFonts w:ascii="Arial" w:cs="Arial" w:eastAsia="Arial" w:hAnsi="Arial"/>
          <w:sz w:val="17"/>
          <w:szCs w:val="17"/>
          <w:color w:val="auto"/>
        </w:rPr>
        <w:t>North Billerica, MA 01862</w:t>
      </w:r>
    </w:p>
    <w:p>
      <w:pPr>
        <w:spacing w:after="0" w:line="20" w:lineRule="exact"/>
        <w:rPr>
          <w:sz w:val="20"/>
          <w:szCs w:val="20"/>
          <w:color w:val="auto"/>
        </w:rPr>
      </w:pPr>
      <w:r>
        <w:rPr>
          <w:sz w:val="20"/>
          <w:szCs w:val="20"/>
          <w:color w:val="auto"/>
        </w:rPr>
        <w:br w:type="column"/>
      </w:r>
    </w:p>
    <w:p>
      <w:pPr>
        <w:spacing w:after="0" w:line="257" w:lineRule="exact"/>
        <w:rPr>
          <w:sz w:val="20"/>
          <w:szCs w:val="20"/>
          <w:color w:val="auto"/>
        </w:rPr>
      </w:pPr>
    </w:p>
    <w:p>
      <w:pPr>
        <w:spacing w:after="0"/>
        <w:rPr>
          <w:sz w:val="20"/>
          <w:szCs w:val="20"/>
          <w:color w:val="auto"/>
        </w:rPr>
      </w:pPr>
      <w:r>
        <w:rPr>
          <w:rFonts w:ascii="Arial" w:cs="Arial" w:eastAsia="Arial" w:hAnsi="Arial"/>
          <w:sz w:val="18"/>
          <w:szCs w:val="18"/>
          <w:color w:val="auto"/>
        </w:rPr>
        <w:t>800.362.2668</w:t>
      </w:r>
    </w:p>
    <w:p>
      <w:pPr>
        <w:spacing w:after="0"/>
        <w:rPr>
          <w:sz w:val="20"/>
          <w:szCs w:val="20"/>
          <w:color w:val="auto"/>
        </w:rPr>
      </w:pPr>
      <w:r>
        <w:rPr>
          <w:rFonts w:ascii="Arial" w:cs="Arial" w:eastAsia="Arial" w:hAnsi="Arial"/>
          <w:sz w:val="16"/>
          <w:szCs w:val="16"/>
          <w:color w:val="auto"/>
        </w:rPr>
        <w:t>www.lantheus.com</w:t>
      </w:r>
    </w:p>
    <w:p>
      <w:pPr>
        <w:spacing w:after="0" w:line="211" w:lineRule="exact"/>
        <w:rPr>
          <w:sz w:val="20"/>
          <w:szCs w:val="20"/>
          <w:color w:val="auto"/>
        </w:rPr>
      </w:pPr>
    </w:p>
    <w:p>
      <w:pPr>
        <w:sectPr>
          <w:pgSz w:w="11900" w:h="16838" w:orient="portrait"/>
          <w:cols w:equalWidth="0" w:num="2">
            <w:col w:w="8460" w:space="480"/>
            <w:col w:w="2300"/>
          </w:cols>
          <w:pgMar w:left="320" w:top="661" w:right="339" w:bottom="1440" w:gutter="0" w:footer="0" w:header="0"/>
          <w:type w:val="continuous"/>
        </w:sectPr>
      </w:pPr>
    </w:p>
    <w:p>
      <w:pPr>
        <w:spacing w:after="0" w:line="200" w:lineRule="exact"/>
        <w:rPr>
          <w:sz w:val="20"/>
          <w:szCs w:val="20"/>
          <w:color w:val="auto"/>
        </w:rPr>
      </w:pPr>
    </w:p>
    <w:p>
      <w:pPr>
        <w:spacing w:after="0" w:line="37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Lantheus Holdings, Inc. Reports Third Quarter 2021 Financial Results</w:t>
      </w:r>
    </w:p>
    <w:p>
      <w:pPr>
        <w:spacing w:after="0" w:line="225" w:lineRule="exact"/>
        <w:rPr>
          <w:sz w:val="20"/>
          <w:szCs w:val="20"/>
          <w:color w:val="auto"/>
        </w:rPr>
      </w:pPr>
    </w:p>
    <w:p>
      <w:pPr>
        <w:ind w:left="660" w:hanging="328"/>
        <w:spacing w:after="0"/>
        <w:tabs>
          <w:tab w:leader="none" w:pos="660" w:val="left"/>
        </w:tabs>
        <w:numPr>
          <w:ilvl w:val="0"/>
          <w:numId w:val="3"/>
        </w:numPr>
        <w:rPr>
          <w:rFonts w:ascii="Arial" w:cs="Arial" w:eastAsia="Arial" w:hAnsi="Arial"/>
          <w:sz w:val="17"/>
          <w:szCs w:val="17"/>
          <w:b w:val="1"/>
          <w:bCs w:val="1"/>
          <w:color w:val="auto"/>
        </w:rPr>
      </w:pPr>
      <w:r>
        <w:rPr>
          <w:rFonts w:ascii="Arial" w:cs="Arial" w:eastAsia="Arial" w:hAnsi="Arial"/>
          <w:sz w:val="17"/>
          <w:szCs w:val="17"/>
          <w:b w:val="1"/>
          <w:bCs w:val="1"/>
          <w:color w:val="auto"/>
        </w:rPr>
        <w:t>Worldwide revenue of $102.1 million for the third quarter 2021, representing an increase of 15.3% from the prior year period</w:t>
      </w:r>
    </w:p>
    <w:p>
      <w:pPr>
        <w:spacing w:after="0" w:line="236" w:lineRule="exact"/>
        <w:rPr>
          <w:rFonts w:ascii="Arial" w:cs="Arial" w:eastAsia="Arial" w:hAnsi="Arial"/>
          <w:sz w:val="17"/>
          <w:szCs w:val="17"/>
          <w:b w:val="1"/>
          <w:bCs w:val="1"/>
          <w:color w:val="auto"/>
        </w:rPr>
      </w:pPr>
    </w:p>
    <w:p>
      <w:pPr>
        <w:ind w:left="440" w:hanging="108"/>
        <w:spacing w:after="0"/>
        <w:tabs>
          <w:tab w:leader="none" w:pos="440"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auto"/>
        </w:rPr>
        <w:t>GAAP net loss of $13.4 million for the third quarter 2021, compared to GAAP net loss of $6.4 million in the prior year period</w:t>
      </w:r>
    </w:p>
    <w:p>
      <w:pPr>
        <w:spacing w:after="0" w:line="225" w:lineRule="exact"/>
        <w:rPr>
          <w:rFonts w:ascii="Arial" w:cs="Arial" w:eastAsia="Arial" w:hAnsi="Arial"/>
          <w:sz w:val="18"/>
          <w:szCs w:val="18"/>
          <w:b w:val="1"/>
          <w:bCs w:val="1"/>
          <w:color w:val="auto"/>
        </w:rPr>
      </w:pPr>
    </w:p>
    <w:p>
      <w:pPr>
        <w:ind w:left="660" w:right="60" w:hanging="328"/>
        <w:spacing w:after="0" w:line="347" w:lineRule="auto"/>
        <w:tabs>
          <w:tab w:leader="none" w:pos="655" w:val="left"/>
        </w:tabs>
        <w:numPr>
          <w:ilvl w:val="0"/>
          <w:numId w:val="3"/>
        </w:numPr>
        <w:rPr>
          <w:rFonts w:ascii="Arial" w:cs="Arial" w:eastAsia="Arial" w:hAnsi="Arial"/>
          <w:sz w:val="16"/>
          <w:szCs w:val="16"/>
          <w:b w:val="1"/>
          <w:bCs w:val="1"/>
          <w:color w:val="auto"/>
        </w:rPr>
      </w:pPr>
      <w:r>
        <w:rPr>
          <w:rFonts w:ascii="Arial" w:cs="Arial" w:eastAsia="Arial" w:hAnsi="Arial"/>
          <w:sz w:val="16"/>
          <w:szCs w:val="16"/>
          <w:b w:val="1"/>
          <w:bCs w:val="1"/>
          <w:color w:val="auto"/>
        </w:rPr>
        <w:t>GAAP fully diluted net loss of $0.20 for the third quarter 2021, compared to GAAP fully diluted net loss of $0.10 in the prior year period; adjusted fully diluted EPS of $0.08 for the third quarter 2021, compared to adjusted fully diluted EPS of $0.04 in the prior year period</w:t>
      </w:r>
    </w:p>
    <w:p>
      <w:pPr>
        <w:spacing w:after="0" w:line="115" w:lineRule="exact"/>
        <w:rPr>
          <w:rFonts w:ascii="Arial" w:cs="Arial" w:eastAsia="Arial" w:hAnsi="Arial"/>
          <w:sz w:val="16"/>
          <w:szCs w:val="16"/>
          <w:b w:val="1"/>
          <w:bCs w:val="1"/>
          <w:color w:val="auto"/>
        </w:rPr>
      </w:pPr>
    </w:p>
    <w:p>
      <w:pPr>
        <w:ind w:left="660" w:right="340" w:hanging="328"/>
        <w:spacing w:after="0" w:line="282" w:lineRule="auto"/>
        <w:tabs>
          <w:tab w:leader="none" w:pos="444"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auto"/>
        </w:rPr>
        <w:t>Net cash provided by operating activities was $4.3 million for the third quarter 2021. Free cash flow was $1.9 million in the third quarter 2021</w:t>
      </w:r>
    </w:p>
    <w:p>
      <w:pPr>
        <w:spacing w:after="0" w:line="161" w:lineRule="exact"/>
        <w:rPr>
          <w:rFonts w:ascii="Arial" w:cs="Arial" w:eastAsia="Arial" w:hAnsi="Arial"/>
          <w:sz w:val="18"/>
          <w:szCs w:val="18"/>
          <w:b w:val="1"/>
          <w:bCs w:val="1"/>
          <w:color w:val="auto"/>
        </w:rPr>
      </w:pPr>
    </w:p>
    <w:p>
      <w:pPr>
        <w:ind w:left="660" w:right="40" w:hanging="328"/>
        <w:spacing w:after="0" w:line="266" w:lineRule="auto"/>
        <w:tabs>
          <w:tab w:leader="none" w:pos="655"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auto"/>
        </w:rPr>
        <w:t>The Company reported that, following an interim analysis of the ongoing ARROW Phase 2 study of 1095, a PSMA-targeted therapeutic, in metastatic castration resistant prostate cancer patients, the Independent Data Monitoring Committee recommended the study continue without modifications</w:t>
      </w:r>
    </w:p>
    <w:p>
      <w:pPr>
        <w:spacing w:after="0" w:line="175" w:lineRule="exact"/>
        <w:rPr>
          <w:rFonts w:ascii="Arial" w:cs="Arial" w:eastAsia="Arial" w:hAnsi="Arial"/>
          <w:sz w:val="18"/>
          <w:szCs w:val="18"/>
          <w:b w:val="1"/>
          <w:bCs w:val="1"/>
          <w:color w:val="auto"/>
        </w:rPr>
      </w:pPr>
    </w:p>
    <w:p>
      <w:pPr>
        <w:ind w:left="660" w:hanging="328"/>
        <w:spacing w:after="0"/>
        <w:tabs>
          <w:tab w:leader="none" w:pos="660" w:val="left"/>
        </w:tabs>
        <w:numPr>
          <w:ilvl w:val="0"/>
          <w:numId w:val="3"/>
        </w:numPr>
        <w:rPr>
          <w:rFonts w:ascii="Arial" w:cs="Arial" w:eastAsia="Arial" w:hAnsi="Arial"/>
          <w:sz w:val="16"/>
          <w:szCs w:val="16"/>
          <w:b w:val="1"/>
          <w:bCs w:val="1"/>
          <w:color w:val="auto"/>
        </w:rPr>
      </w:pPr>
      <w:r>
        <w:rPr>
          <w:rFonts w:ascii="Arial" w:cs="Arial" w:eastAsia="Arial" w:hAnsi="Arial"/>
          <w:sz w:val="16"/>
          <w:szCs w:val="16"/>
          <w:b w:val="1"/>
          <w:bCs w:val="1"/>
          <w:color w:val="auto"/>
        </w:rPr>
        <w:t>The Company provides fourth quarter 2021 revenue and adjusted diluted earnings per share guidance; increases full year guidance</w:t>
      </w:r>
    </w:p>
    <w:p>
      <w:pPr>
        <w:spacing w:after="0" w:line="252" w:lineRule="exact"/>
        <w:rPr>
          <w:sz w:val="20"/>
          <w:szCs w:val="20"/>
          <w:color w:val="auto"/>
        </w:rPr>
      </w:pPr>
    </w:p>
    <w:p>
      <w:pPr>
        <w:ind w:right="280"/>
        <w:spacing w:after="0" w:line="263" w:lineRule="auto"/>
        <w:rPr>
          <w:sz w:val="20"/>
          <w:szCs w:val="20"/>
          <w:color w:val="auto"/>
        </w:rPr>
      </w:pPr>
      <w:r>
        <w:rPr>
          <w:rFonts w:ascii="Arial" w:cs="Arial" w:eastAsia="Arial" w:hAnsi="Arial"/>
          <w:sz w:val="18"/>
          <w:szCs w:val="18"/>
          <w:color w:val="auto"/>
        </w:rPr>
        <w:t xml:space="preserve">NORTH BILLERICA, MA., November 4, 2021 - </w:t>
      </w:r>
      <w:r>
        <w:rPr>
          <w:rFonts w:ascii="Arial" w:cs="Arial" w:eastAsia="Arial" w:hAnsi="Arial"/>
          <w:sz w:val="18"/>
          <w:szCs w:val="18"/>
          <w:u w:val="single" w:color="auto"/>
          <w:color w:val="0563C1"/>
        </w:rPr>
        <w:t>Lantheus Holdings, Inc.</w:t>
      </w:r>
      <w:r>
        <w:rPr>
          <w:rFonts w:ascii="Arial" w:cs="Arial" w:eastAsia="Arial" w:hAnsi="Arial"/>
          <w:sz w:val="18"/>
          <w:szCs w:val="18"/>
          <w:color w:val="auto"/>
        </w:rPr>
        <w:t xml:space="preserve"> (NASDAQ: LNTH) (Lantheus), an established leader and fully integrated provider committed to innovative imaging diagnostics, targeted therapeutics and artificial intelligence solutions to find, fight and follow serious medical conditions, today reported financial results for its third quarter ended September 30, 2021.</w:t>
      </w:r>
    </w:p>
    <w:p>
      <w:pPr>
        <w:spacing w:after="0" w:line="184" w:lineRule="exact"/>
        <w:rPr>
          <w:sz w:val="20"/>
          <w:szCs w:val="20"/>
          <w:color w:val="auto"/>
        </w:rPr>
      </w:pPr>
    </w:p>
    <w:p>
      <w:pPr>
        <w:ind w:right="680"/>
        <w:spacing w:after="0" w:line="277" w:lineRule="auto"/>
        <w:rPr>
          <w:sz w:val="20"/>
          <w:szCs w:val="20"/>
          <w:color w:val="auto"/>
        </w:rPr>
      </w:pPr>
      <w:r>
        <w:rPr>
          <w:rFonts w:ascii="Arial" w:cs="Arial" w:eastAsia="Arial" w:hAnsi="Arial"/>
          <w:sz w:val="18"/>
          <w:szCs w:val="18"/>
          <w:color w:val="auto"/>
        </w:rPr>
        <w:t>The Company’s worldwide revenue for the third quarter of 2021 totaled $102.1 million, compared with $88.5 million for the third quarter of 2020, representing an increase of 15.3% from the prior year period.</w:t>
      </w:r>
    </w:p>
    <w:p>
      <w:pPr>
        <w:spacing w:after="0" w:line="170"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color w:val="auto"/>
        </w:rPr>
        <w:t>The Company’s third quarter 2021 GAAP net loss was $13.4 million, or $0.20 per fully diluted share, as compared to GAAP net loss of $6.4 million, or $0.10 per fully diluted share for the third quarter of 2020.</w:t>
      </w:r>
    </w:p>
    <w:p>
      <w:pPr>
        <w:spacing w:after="0" w:line="170"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color w:val="auto"/>
        </w:rPr>
        <w:t>The Company’s third quarter 2021 adjusted fully diluted earnings per share were $0.08, as compared to $0.04 for the third quarter of 2020, representing an increase of 127.4% from the prior year period.</w:t>
      </w:r>
    </w:p>
    <w:p>
      <w:pPr>
        <w:spacing w:after="0" w:line="170"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color w:val="auto"/>
        </w:rPr>
        <w:t>Lastly, net cash provided by operating activities was $4.3 million for the third quarter 2021. Free Cash Flow was $1.9 million in the third quarter of 2021, representing a decrease of approximately $2.9 million from the prior year period.</w:t>
      </w:r>
    </w:p>
    <w:p>
      <w:pPr>
        <w:spacing w:after="0" w:line="170" w:lineRule="exact"/>
        <w:rPr>
          <w:sz w:val="20"/>
          <w:szCs w:val="20"/>
          <w:color w:val="auto"/>
        </w:rPr>
      </w:pPr>
    </w:p>
    <w:p>
      <w:pPr>
        <w:ind w:right="80"/>
        <w:spacing w:after="0" w:line="301" w:lineRule="auto"/>
        <w:rPr>
          <w:sz w:val="20"/>
          <w:szCs w:val="20"/>
          <w:color w:val="auto"/>
        </w:rPr>
      </w:pPr>
      <w:r>
        <w:rPr>
          <w:rFonts w:ascii="Arial" w:cs="Arial" w:eastAsia="Arial" w:hAnsi="Arial"/>
          <w:sz w:val="16"/>
          <w:szCs w:val="16"/>
          <w:color w:val="auto"/>
        </w:rPr>
        <w:t>“We delivered a strong quarter, with revenue up 15% year-over-year, highlighted by the robust adoption of PYLARIFY, the first and only commercially available PSMA PET imaging agent,” said Mary Anne Heino, President and CEO. “Although COVID-19 continued to impact some aspects of our business, we were able to grow our three largest products – DEFINITY, TechneLite and PYLARIFY. We look forward to driving sustainable growth across our portfolio of diagnostic and therapeutic solutions as we find, fight and follow diseases to deliver better patient outcomes.”</w:t>
      </w:r>
    </w:p>
    <w:p>
      <w:pPr>
        <w:spacing w:after="0" w:line="157" w:lineRule="exact"/>
        <w:rPr>
          <w:sz w:val="20"/>
          <w:szCs w:val="20"/>
          <w:color w:val="auto"/>
        </w:rPr>
      </w:pPr>
    </w:p>
    <w:p>
      <w:pPr>
        <w:ind w:right="60"/>
        <w:spacing w:after="0" w:line="301" w:lineRule="auto"/>
        <w:rPr>
          <w:sz w:val="20"/>
          <w:szCs w:val="20"/>
          <w:color w:val="auto"/>
        </w:rPr>
      </w:pPr>
      <w:r>
        <w:rPr>
          <w:rFonts w:ascii="Arial" w:cs="Arial" w:eastAsia="Arial" w:hAnsi="Arial"/>
          <w:sz w:val="16"/>
          <w:szCs w:val="16"/>
          <w:color w:val="auto"/>
        </w:rPr>
        <w:t>“We are pleased with the first full quarter of PYLARIFY sales and continue to invest in our commercial launch, including in manufacturing capacity, to meet the increasing demand for this game changing product. We completed the build-out of our commercial infrastructure, which represents the industry’s largest PSMA PET-dedicated sales and market access teams,” said Paul Blanchfield, Chief Commercial Officer. “We remain focused on fostering customer adoption and expanding our geographic and market access coverage in service of our customers and the U.S. Prostate Cancer community.”</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Outlook</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Company updates its guidance for full year 2021 and offers the following guidance for the fourth quarter.</w:t>
      </w:r>
    </w:p>
    <w:p>
      <w:pPr>
        <w:spacing w:after="0" w:line="117" w:lineRule="exact"/>
        <w:rPr>
          <w:sz w:val="20"/>
          <w:szCs w:val="20"/>
          <w:color w:val="auto"/>
        </w:rPr>
      </w:pPr>
    </w:p>
    <w:p>
      <w:pPr>
        <w:ind w:left="5220"/>
        <w:spacing w:after="0"/>
        <w:rPr>
          <w:sz w:val="20"/>
          <w:szCs w:val="20"/>
          <w:color w:val="auto"/>
        </w:rPr>
      </w:pPr>
      <w:r>
        <w:rPr>
          <w:rFonts w:ascii="Arial" w:cs="Arial" w:eastAsia="Arial" w:hAnsi="Arial"/>
          <w:sz w:val="18"/>
          <w:szCs w:val="18"/>
          <w:color w:val="auto"/>
        </w:rPr>
        <w:t>Page 1 of 9</w:t>
      </w:r>
    </w:p>
    <w:p>
      <w:pPr>
        <w:sectPr>
          <w:pgSz w:w="11900" w:h="16838" w:orient="portrait"/>
          <w:cols w:equalWidth="0" w:num="1">
            <w:col w:w="11240"/>
          </w:cols>
          <w:pgMar w:left="320" w:top="661" w:right="339" w:bottom="1440" w:gutter="0" w:footer="0" w:header="0"/>
          <w:type w:val="continuous"/>
        </w:sectPr>
      </w:pPr>
    </w:p>
    <w:bookmarkStart w:id="4" w:name="page5"/>
    <w:bookmarkEnd w:id="4"/>
    <w:tbl>
      <w:tblPr>
        <w:tblLayout w:type="fixed"/>
        <w:tblInd w:w="120" w:type="dxa"/>
        <w:tblCellMar>
          <w:top w:w="0" w:type="dxa"/>
          <w:left w:w="0" w:type="dxa"/>
          <w:bottom w:w="0" w:type="dxa"/>
          <w:right w:w="0" w:type="dxa"/>
        </w:tblCellMar>
      </w:tblPr>
      <w:tr>
        <w:trPr>
          <w:trHeight w:val="241"/>
        </w:trPr>
        <w:tc>
          <w:tcPr>
            <w:tcW w:w="260" w:type="dxa"/>
            <w:vAlign w:val="bottom"/>
            <w:tcBorders>
              <w:bottom w:val="single" w:sz="8" w:color="auto"/>
            </w:tcBorders>
          </w:tcPr>
          <w:p>
            <w:pPr>
              <w:spacing w:after="0"/>
              <w:rPr>
                <w:sz w:val="20"/>
                <w:szCs w:val="20"/>
                <w:color w:val="auto"/>
              </w:rPr>
            </w:pPr>
          </w:p>
        </w:tc>
        <w:tc>
          <w:tcPr>
            <w:tcW w:w="42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2100" w:type="dxa"/>
            <w:vAlign w:val="bottom"/>
            <w:tcBorders>
              <w:bottom w:val="single" w:sz="8" w:color="auto"/>
            </w:tcBorders>
          </w:tcPr>
          <w:p>
            <w:pPr>
              <w:spacing w:after="0"/>
              <w:rPr>
                <w:sz w:val="20"/>
                <w:szCs w:val="20"/>
                <w:color w:val="auto"/>
              </w:rPr>
            </w:pPr>
          </w:p>
        </w:tc>
        <w:tc>
          <w:tcPr>
            <w:tcW w:w="200" w:type="dxa"/>
            <w:vAlign w:val="bottom"/>
            <w:tcBorders>
              <w:bottom w:val="single" w:sz="8" w:color="CCEEFF"/>
            </w:tcBorders>
          </w:tcPr>
          <w:p>
            <w:pPr>
              <w:spacing w:after="0"/>
              <w:rPr>
                <w:sz w:val="20"/>
                <w:szCs w:val="20"/>
                <w:color w:val="auto"/>
              </w:rPr>
            </w:pPr>
          </w:p>
        </w:tc>
        <w:tc>
          <w:tcPr>
            <w:tcW w:w="36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Q4 Guidance Issued November 4, 2021</w:t>
            </w:r>
          </w:p>
        </w:tc>
        <w:tc>
          <w:tcPr>
            <w:tcW w:w="200" w:type="dxa"/>
            <w:vAlign w:val="bottom"/>
            <w:tcBorders>
              <w:bottom w:val="single" w:sz="8" w:color="CCEEFF"/>
            </w:tcBorders>
          </w:tcPr>
          <w:p>
            <w:pPr>
              <w:spacing w:after="0"/>
              <w:rPr>
                <w:sz w:val="20"/>
                <w:szCs w:val="20"/>
                <w:color w:val="auto"/>
              </w:rPr>
            </w:pPr>
          </w:p>
        </w:tc>
        <w:tc>
          <w:tcPr>
            <w:tcW w:w="396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Previous Guidance Issued July 28, 2021</w:t>
            </w:r>
          </w:p>
        </w:tc>
      </w:tr>
      <w:tr>
        <w:trPr>
          <w:trHeight w:val="257"/>
        </w:trPr>
        <w:tc>
          <w:tcPr>
            <w:tcW w:w="260" w:type="dxa"/>
            <w:vAlign w:val="bottom"/>
            <w:shd w:val="clear" w:color="auto" w:fill="CCEEFF"/>
          </w:tcPr>
          <w:p>
            <w:pPr>
              <w:ind w:left="20"/>
              <w:spacing w:after="0"/>
              <w:rPr>
                <w:sz w:val="20"/>
                <w:szCs w:val="20"/>
                <w:color w:val="auto"/>
              </w:rPr>
            </w:pPr>
            <w:r>
              <w:rPr>
                <w:rFonts w:ascii="Arial" w:cs="Arial" w:eastAsia="Arial" w:hAnsi="Arial"/>
                <w:sz w:val="18"/>
                <w:szCs w:val="18"/>
                <w:color w:val="auto"/>
                <w:w w:val="91"/>
              </w:rPr>
              <w:t>Q4</w:t>
            </w:r>
          </w:p>
        </w:tc>
        <w:tc>
          <w:tcPr>
            <w:tcW w:w="68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w w:val="93"/>
              </w:rPr>
              <w:t>FY 2021</w:t>
            </w:r>
          </w:p>
        </w:tc>
        <w:tc>
          <w:tcPr>
            <w:tcW w:w="230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Revenue</w:t>
            </w:r>
          </w:p>
        </w:tc>
        <w:tc>
          <w:tcPr>
            <w:tcW w:w="3820" w:type="dxa"/>
            <w:vAlign w:val="bottom"/>
            <w:gridSpan w:val="2"/>
            <w:shd w:val="clear" w:color="auto" w:fill="CCEEFF"/>
          </w:tcPr>
          <w:p>
            <w:pPr>
              <w:jc w:val="center"/>
              <w:ind w:right="200"/>
              <w:spacing w:after="0"/>
              <w:rPr>
                <w:sz w:val="20"/>
                <w:szCs w:val="20"/>
                <w:color w:val="auto"/>
              </w:rPr>
            </w:pPr>
            <w:r>
              <w:rPr>
                <w:rFonts w:ascii="Arial" w:cs="Arial" w:eastAsia="Arial" w:hAnsi="Arial"/>
                <w:sz w:val="18"/>
                <w:szCs w:val="18"/>
                <w:color w:val="auto"/>
                <w:w w:val="95"/>
              </w:rPr>
              <w:t>$110 million - $115 million</w:t>
            </w:r>
          </w:p>
        </w:tc>
        <w:tc>
          <w:tcPr>
            <w:tcW w:w="39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N/A</w:t>
            </w:r>
          </w:p>
        </w:tc>
      </w:tr>
      <w:tr>
        <w:trPr>
          <w:trHeight w:val="250"/>
        </w:trPr>
        <w:tc>
          <w:tcPr>
            <w:tcW w:w="260" w:type="dxa"/>
            <w:vAlign w:val="bottom"/>
          </w:tcPr>
          <w:p>
            <w:pPr>
              <w:ind w:left="20"/>
              <w:spacing w:after="0"/>
              <w:rPr>
                <w:sz w:val="20"/>
                <w:szCs w:val="20"/>
                <w:color w:val="auto"/>
              </w:rPr>
            </w:pPr>
            <w:r>
              <w:rPr>
                <w:rFonts w:ascii="Arial" w:cs="Arial" w:eastAsia="Arial" w:hAnsi="Arial"/>
                <w:sz w:val="18"/>
                <w:szCs w:val="18"/>
                <w:color w:val="auto"/>
                <w:w w:val="91"/>
              </w:rPr>
              <w:t>Q4</w:t>
            </w:r>
          </w:p>
        </w:tc>
        <w:tc>
          <w:tcPr>
            <w:tcW w:w="680" w:type="dxa"/>
            <w:vAlign w:val="bottom"/>
            <w:gridSpan w:val="2"/>
          </w:tcPr>
          <w:p>
            <w:pPr>
              <w:ind w:left="20"/>
              <w:spacing w:after="0"/>
              <w:rPr>
                <w:sz w:val="20"/>
                <w:szCs w:val="20"/>
                <w:color w:val="auto"/>
              </w:rPr>
            </w:pPr>
            <w:r>
              <w:rPr>
                <w:rFonts w:ascii="Arial" w:cs="Arial" w:eastAsia="Arial" w:hAnsi="Arial"/>
                <w:sz w:val="18"/>
                <w:szCs w:val="18"/>
                <w:color w:val="auto"/>
                <w:w w:val="93"/>
              </w:rPr>
              <w:t>FY 2021</w:t>
            </w:r>
          </w:p>
        </w:tc>
        <w:tc>
          <w:tcPr>
            <w:tcW w:w="2300" w:type="dxa"/>
            <w:vAlign w:val="bottom"/>
            <w:gridSpan w:val="2"/>
          </w:tcPr>
          <w:p>
            <w:pPr>
              <w:ind w:left="20"/>
              <w:spacing w:after="0"/>
              <w:rPr>
                <w:sz w:val="20"/>
                <w:szCs w:val="20"/>
                <w:color w:val="auto"/>
              </w:rPr>
            </w:pPr>
            <w:r>
              <w:rPr>
                <w:rFonts w:ascii="Arial" w:cs="Arial" w:eastAsia="Arial" w:hAnsi="Arial"/>
                <w:sz w:val="18"/>
                <w:szCs w:val="18"/>
                <w:color w:val="auto"/>
              </w:rPr>
              <w:t>Adjusted Diluted EPS</w:t>
            </w:r>
          </w:p>
        </w:tc>
        <w:tc>
          <w:tcPr>
            <w:tcW w:w="3620" w:type="dxa"/>
            <w:vAlign w:val="bottom"/>
          </w:tcPr>
          <w:p>
            <w:pPr>
              <w:jc w:val="center"/>
              <w:spacing w:after="0"/>
              <w:rPr>
                <w:sz w:val="20"/>
                <w:szCs w:val="20"/>
                <w:color w:val="auto"/>
              </w:rPr>
            </w:pPr>
            <w:r>
              <w:rPr>
                <w:rFonts w:ascii="Arial" w:cs="Arial" w:eastAsia="Arial" w:hAnsi="Arial"/>
                <w:sz w:val="18"/>
                <w:szCs w:val="18"/>
                <w:color w:val="auto"/>
                <w:w w:val="90"/>
              </w:rPr>
              <w:t>$0.15 - $0.18</w:t>
            </w:r>
          </w:p>
        </w:tc>
        <w:tc>
          <w:tcPr>
            <w:tcW w:w="200" w:type="dxa"/>
            <w:vAlign w:val="bottom"/>
          </w:tcPr>
          <w:p>
            <w:pPr>
              <w:spacing w:after="0"/>
              <w:rPr>
                <w:sz w:val="21"/>
                <w:szCs w:val="21"/>
                <w:color w:val="auto"/>
              </w:rPr>
            </w:pPr>
          </w:p>
        </w:tc>
        <w:tc>
          <w:tcPr>
            <w:tcW w:w="3960" w:type="dxa"/>
            <w:vAlign w:val="bottom"/>
          </w:tcPr>
          <w:p>
            <w:pPr>
              <w:jc w:val="center"/>
              <w:spacing w:after="0"/>
              <w:rPr>
                <w:sz w:val="20"/>
                <w:szCs w:val="20"/>
                <w:color w:val="auto"/>
              </w:rPr>
            </w:pPr>
            <w:r>
              <w:rPr>
                <w:rFonts w:ascii="Arial" w:cs="Arial" w:eastAsia="Arial" w:hAnsi="Arial"/>
                <w:sz w:val="18"/>
                <w:szCs w:val="18"/>
                <w:color w:val="auto"/>
                <w:w w:val="99"/>
              </w:rPr>
              <w:t>N/A</w:t>
            </w:r>
          </w:p>
        </w:tc>
      </w:tr>
      <w:tr>
        <w:trPr>
          <w:trHeight w:val="263"/>
        </w:trPr>
        <w:tc>
          <w:tcPr>
            <w:tcW w:w="260" w:type="dxa"/>
            <w:vAlign w:val="bottom"/>
            <w:shd w:val="clear" w:color="auto" w:fill="CCEEFF"/>
          </w:tcPr>
          <w:p>
            <w:pPr>
              <w:spacing w:after="0"/>
              <w:rPr>
                <w:sz w:val="22"/>
                <w:szCs w:val="22"/>
                <w:color w:val="auto"/>
              </w:rPr>
            </w:pPr>
          </w:p>
        </w:tc>
        <w:tc>
          <w:tcPr>
            <w:tcW w:w="42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2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3820" w:type="dxa"/>
            <w:vAlign w:val="bottom"/>
            <w:gridSpan w:val="2"/>
            <w:shd w:val="clear" w:color="auto" w:fill="CCEEFF"/>
          </w:tcPr>
          <w:p>
            <w:pPr>
              <w:jc w:val="center"/>
              <w:ind w:right="220"/>
              <w:spacing w:after="0"/>
              <w:rPr>
                <w:sz w:val="20"/>
                <w:szCs w:val="20"/>
                <w:color w:val="auto"/>
              </w:rPr>
            </w:pPr>
            <w:r>
              <w:rPr>
                <w:rFonts w:ascii="Arial" w:cs="Arial" w:eastAsia="Arial" w:hAnsi="Arial"/>
                <w:sz w:val="18"/>
                <w:szCs w:val="18"/>
                <w:b w:val="1"/>
                <w:bCs w:val="1"/>
                <w:color w:val="auto"/>
                <w:w w:val="91"/>
              </w:rPr>
              <w:t>FY Guidance Updated November 4, 2021</w:t>
            </w:r>
          </w:p>
        </w:tc>
        <w:tc>
          <w:tcPr>
            <w:tcW w:w="3960" w:type="dxa"/>
            <w:vAlign w:val="bottom"/>
            <w:shd w:val="clear" w:color="auto" w:fill="CCEEFF"/>
          </w:tcPr>
          <w:p>
            <w:pPr>
              <w:jc w:val="center"/>
              <w:spacing w:after="0"/>
              <w:rPr>
                <w:sz w:val="20"/>
                <w:szCs w:val="20"/>
                <w:color w:val="auto"/>
              </w:rPr>
            </w:pPr>
            <w:r>
              <w:rPr>
                <w:rFonts w:ascii="Arial" w:cs="Arial" w:eastAsia="Arial" w:hAnsi="Arial"/>
                <w:sz w:val="18"/>
                <w:szCs w:val="18"/>
                <w:b w:val="1"/>
                <w:bCs w:val="1"/>
                <w:color w:val="auto"/>
                <w:w w:val="90"/>
              </w:rPr>
              <w:t>FY Guidance Issued July 28, 2021</w:t>
            </w:r>
          </w:p>
        </w:tc>
      </w:tr>
      <w:tr>
        <w:trPr>
          <w:trHeight w:val="250"/>
        </w:trPr>
        <w:tc>
          <w:tcPr>
            <w:tcW w:w="680" w:type="dxa"/>
            <w:vAlign w:val="bottom"/>
            <w:gridSpan w:val="2"/>
          </w:tcPr>
          <w:p>
            <w:pPr>
              <w:ind w:left="20"/>
              <w:spacing w:after="0"/>
              <w:rPr>
                <w:sz w:val="20"/>
                <w:szCs w:val="20"/>
                <w:color w:val="auto"/>
              </w:rPr>
            </w:pPr>
            <w:r>
              <w:rPr>
                <w:rFonts w:ascii="Arial" w:cs="Arial" w:eastAsia="Arial" w:hAnsi="Arial"/>
                <w:sz w:val="18"/>
                <w:szCs w:val="18"/>
                <w:color w:val="auto"/>
                <w:w w:val="93"/>
              </w:rPr>
              <w:t>FY 2021</w:t>
            </w:r>
          </w:p>
        </w:tc>
        <w:tc>
          <w:tcPr>
            <w:tcW w:w="2560" w:type="dxa"/>
            <w:vAlign w:val="bottom"/>
            <w:gridSpan w:val="3"/>
          </w:tcPr>
          <w:p>
            <w:pPr>
              <w:ind w:left="20"/>
              <w:spacing w:after="0"/>
              <w:rPr>
                <w:sz w:val="20"/>
                <w:szCs w:val="20"/>
                <w:color w:val="auto"/>
              </w:rPr>
            </w:pPr>
            <w:r>
              <w:rPr>
                <w:rFonts w:ascii="Arial" w:cs="Arial" w:eastAsia="Arial" w:hAnsi="Arial"/>
                <w:sz w:val="18"/>
                <w:szCs w:val="18"/>
                <w:color w:val="auto"/>
              </w:rPr>
              <w:t>Revenue</w:t>
            </w:r>
          </w:p>
        </w:tc>
        <w:tc>
          <w:tcPr>
            <w:tcW w:w="3820" w:type="dxa"/>
            <w:vAlign w:val="bottom"/>
            <w:gridSpan w:val="2"/>
          </w:tcPr>
          <w:p>
            <w:pPr>
              <w:jc w:val="center"/>
              <w:ind w:right="220"/>
              <w:spacing w:after="0"/>
              <w:rPr>
                <w:sz w:val="20"/>
                <w:szCs w:val="20"/>
                <w:color w:val="auto"/>
              </w:rPr>
            </w:pPr>
            <w:r>
              <w:rPr>
                <w:rFonts w:ascii="Arial" w:cs="Arial" w:eastAsia="Arial" w:hAnsi="Arial"/>
                <w:sz w:val="18"/>
                <w:szCs w:val="18"/>
                <w:color w:val="auto"/>
                <w:w w:val="96"/>
              </w:rPr>
              <w:t>$405 million - $410 million</w:t>
            </w:r>
          </w:p>
        </w:tc>
        <w:tc>
          <w:tcPr>
            <w:tcW w:w="3960" w:type="dxa"/>
            <w:vAlign w:val="bottom"/>
          </w:tcPr>
          <w:p>
            <w:pPr>
              <w:jc w:val="center"/>
              <w:spacing w:after="0"/>
              <w:rPr>
                <w:sz w:val="20"/>
                <w:szCs w:val="20"/>
                <w:color w:val="auto"/>
              </w:rPr>
            </w:pPr>
            <w:r>
              <w:rPr>
                <w:rFonts w:ascii="Arial" w:cs="Arial" w:eastAsia="Arial" w:hAnsi="Arial"/>
                <w:sz w:val="18"/>
                <w:szCs w:val="18"/>
                <w:color w:val="auto"/>
                <w:w w:val="96"/>
              </w:rPr>
              <w:t>$395 million - $402 million</w:t>
            </w:r>
          </w:p>
        </w:tc>
      </w:tr>
      <w:tr>
        <w:trPr>
          <w:trHeight w:val="263"/>
        </w:trPr>
        <w:tc>
          <w:tcPr>
            <w:tcW w:w="68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w w:val="93"/>
              </w:rPr>
              <w:t>FY 2021</w:t>
            </w:r>
          </w:p>
        </w:tc>
        <w:tc>
          <w:tcPr>
            <w:tcW w:w="2560" w:type="dxa"/>
            <w:vAlign w:val="bottom"/>
            <w:gridSpan w:val="3"/>
            <w:shd w:val="clear" w:color="auto" w:fill="CCEEFF"/>
          </w:tcPr>
          <w:p>
            <w:pPr>
              <w:ind w:left="20"/>
              <w:spacing w:after="0"/>
              <w:rPr>
                <w:sz w:val="20"/>
                <w:szCs w:val="20"/>
                <w:color w:val="auto"/>
              </w:rPr>
            </w:pPr>
            <w:r>
              <w:rPr>
                <w:rFonts w:ascii="Arial" w:cs="Arial" w:eastAsia="Arial" w:hAnsi="Arial"/>
                <w:sz w:val="18"/>
                <w:szCs w:val="18"/>
                <w:color w:val="auto"/>
              </w:rPr>
              <w:t>Adjusted Diluted EPS</w:t>
            </w:r>
          </w:p>
        </w:tc>
        <w:tc>
          <w:tcPr>
            <w:tcW w:w="36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$0.40 - $0.43</w:t>
            </w:r>
          </w:p>
        </w:tc>
        <w:tc>
          <w:tcPr>
            <w:tcW w:w="200" w:type="dxa"/>
            <w:vAlign w:val="bottom"/>
            <w:shd w:val="clear" w:color="auto" w:fill="CCEEFF"/>
          </w:tcPr>
          <w:p>
            <w:pPr>
              <w:spacing w:after="0"/>
              <w:rPr>
                <w:sz w:val="22"/>
                <w:szCs w:val="22"/>
                <w:color w:val="auto"/>
              </w:rPr>
            </w:pPr>
          </w:p>
        </w:tc>
        <w:tc>
          <w:tcPr>
            <w:tcW w:w="39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$0.38 - $0.42</w:t>
            </w:r>
          </w:p>
        </w:tc>
      </w:tr>
    </w:tbl>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ind w:right="80"/>
        <w:spacing w:after="0" w:line="273" w:lineRule="auto"/>
        <w:rPr>
          <w:sz w:val="20"/>
          <w:szCs w:val="20"/>
          <w:color w:val="auto"/>
        </w:rPr>
      </w:pPr>
      <w:r>
        <w:rPr>
          <w:rFonts w:ascii="Arial" w:cs="Arial" w:eastAsia="Arial" w:hAnsi="Arial"/>
          <w:sz w:val="17"/>
          <w:szCs w:val="17"/>
          <w:color w:val="auto"/>
        </w:rPr>
        <w:t>On a forward-looking basis, the Company does not provide GAAP income per common share guidance or a reconciliation of adjusted fully diluted EPS to GAAP income per common share because the Company is unable to predict with reasonable certainty business development and acquisition related expenses, purchase accounting fair value adjustments (including liability accruals relating to the contingent value rights issued as part of the Progenics Pharmaceuticals, Inc. acquisition), and any one-time, non-recurring charges. These items are uncertain, depend on various factors, and could be material to results computed in accordance with GAAP. As a result, it is the Company’s view that a quantitative reconciliation of adjusted fully diluted EPS on a forward-looking basis is not available without unreasonable effort.</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Internet Posting of Information</w:t>
      </w:r>
    </w:p>
    <w:p>
      <w:pPr>
        <w:spacing w:after="0" w:line="229"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The Company routinely posts information that may be important to investors in the “Investors” section of its website at www.lantheus.com. The Company encourages investors and potential investors to consult its website regularly for important information about the Company.</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Conference Call and Webcast</w:t>
      </w:r>
    </w:p>
    <w:p>
      <w:pPr>
        <w:spacing w:after="0" w:line="229" w:lineRule="exact"/>
        <w:rPr>
          <w:sz w:val="20"/>
          <w:szCs w:val="20"/>
          <w:color w:val="auto"/>
        </w:rPr>
      </w:pPr>
    </w:p>
    <w:p>
      <w:pPr>
        <w:ind w:right="260"/>
        <w:spacing w:after="0" w:line="263" w:lineRule="auto"/>
        <w:rPr>
          <w:sz w:val="20"/>
          <w:szCs w:val="20"/>
          <w:color w:val="auto"/>
        </w:rPr>
      </w:pPr>
      <w:r>
        <w:rPr>
          <w:rFonts w:ascii="Arial" w:cs="Arial" w:eastAsia="Arial" w:hAnsi="Arial"/>
          <w:sz w:val="18"/>
          <w:szCs w:val="18"/>
          <w:color w:val="auto"/>
        </w:rPr>
        <w:t>As previously announced, the Company will host a conference call and webcast on Thursday, November 4, 2021 at 8:00 a.m. ET. To access the live conference call via telephone, please dial 1-866-498-8390 (U.S. callers) or 1-678-509-7599 (international callers) and provide passcode 6775813. A live webcast will be available in the Investors section of the Company’s website at www.lantheus.com.</w:t>
      </w:r>
    </w:p>
    <w:p>
      <w:pPr>
        <w:spacing w:after="0" w:line="184"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A replay of the audio webcast will be available in the Investors section of our website at www.lantheus.com approximately two hours after completion of the call and will be archived for 30 days.</w:t>
      </w:r>
    </w:p>
    <w:p>
      <w:pPr>
        <w:spacing w:after="0" w:line="170" w:lineRule="exact"/>
        <w:rPr>
          <w:sz w:val="20"/>
          <w:szCs w:val="20"/>
          <w:color w:val="auto"/>
        </w:rPr>
      </w:pPr>
    </w:p>
    <w:p>
      <w:pPr>
        <w:ind w:right="180"/>
        <w:spacing w:after="0" w:line="286" w:lineRule="auto"/>
        <w:rPr>
          <w:sz w:val="20"/>
          <w:szCs w:val="20"/>
          <w:color w:val="auto"/>
        </w:rPr>
      </w:pPr>
      <w:r>
        <w:rPr>
          <w:rFonts w:ascii="Arial" w:cs="Arial" w:eastAsia="Arial" w:hAnsi="Arial"/>
          <w:sz w:val="17"/>
          <w:szCs w:val="17"/>
          <w:color w:val="auto"/>
        </w:rPr>
        <w:t>The conference call will include a discussion of non-GAAP financial measures. Reference is made to the most directly comparable GAAP financial measures, the reconciliation of the differences between the two financial measures, and the other information included in this press release, our Form 8-K filed with the SEC today, or otherwise available in the Investor Relations section of our website located at www.lantheus.com.</w:t>
      </w:r>
    </w:p>
    <w:p>
      <w:pPr>
        <w:spacing w:after="0" w:line="16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conference call may include forward-looking statements. See the cautionary information about forward-looking statements in the safe-harbor section of this press release.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Lantheus Holdings, Inc.</w:t>
      </w:r>
    </w:p>
    <w:p>
      <w:pPr>
        <w:spacing w:after="0" w:line="229" w:lineRule="exact"/>
        <w:rPr>
          <w:sz w:val="20"/>
          <w:szCs w:val="20"/>
          <w:color w:val="auto"/>
        </w:rPr>
      </w:pPr>
    </w:p>
    <w:p>
      <w:pPr>
        <w:ind w:right="40"/>
        <w:spacing w:after="0" w:line="233" w:lineRule="auto"/>
        <w:rPr>
          <w:sz w:val="20"/>
          <w:szCs w:val="20"/>
          <w:color w:val="auto"/>
        </w:rPr>
      </w:pPr>
      <w:r>
        <w:rPr>
          <w:rFonts w:ascii="Arial" w:cs="Arial" w:eastAsia="Arial" w:hAnsi="Arial"/>
          <w:sz w:val="17"/>
          <w:szCs w:val="17"/>
          <w:color w:val="auto"/>
        </w:rPr>
        <w:t>Lantheus Holdings, Inc. is the parent company of Lantheus Medical Imaging, Inc., Progenics Pharmaceuticals, Inc. and EXINI Diagnostics AB and an established leader and fully integrated provider committed to innovative imaging diagnostics, targeted therapeutics and artificial intelligence solutions to Find Fight and Follow</w:t>
      </w:r>
      <w:r>
        <w:rPr>
          <w:rFonts w:ascii="Arial" w:cs="Arial" w:eastAsia="Arial" w:hAnsi="Arial"/>
          <w:sz w:val="22"/>
          <w:szCs w:val="22"/>
          <w:color w:val="auto"/>
          <w:vertAlign w:val="superscript"/>
        </w:rPr>
        <w:t>®</w:t>
      </w:r>
      <w:r>
        <w:rPr>
          <w:rFonts w:ascii="Arial" w:cs="Arial" w:eastAsia="Arial" w:hAnsi="Arial"/>
          <w:sz w:val="17"/>
          <w:szCs w:val="17"/>
          <w:color w:val="auto"/>
        </w:rPr>
        <w:t xml:space="preserve"> serious medical conditions. Lantheus provides a broad portfolio of products, including the echocardiography agent DEFINITY</w:t>
      </w:r>
      <w:r>
        <w:rPr>
          <w:rFonts w:ascii="Arial" w:cs="Arial" w:eastAsia="Arial" w:hAnsi="Arial"/>
          <w:sz w:val="22"/>
          <w:szCs w:val="22"/>
          <w:color w:val="auto"/>
          <w:vertAlign w:val="superscript"/>
        </w:rPr>
        <w:t>®</w:t>
      </w:r>
      <w:r>
        <w:rPr>
          <w:rFonts w:ascii="Arial" w:cs="Arial" w:eastAsia="Arial" w:hAnsi="Arial"/>
          <w:sz w:val="17"/>
          <w:szCs w:val="17"/>
          <w:color w:val="auto"/>
        </w:rPr>
        <w:t xml:space="preserve"> Vial for (Perflutren Lipid Microsphere) Injectable Suspension; PYLARIFY</w:t>
      </w:r>
      <w:r>
        <w:rPr>
          <w:rFonts w:ascii="Arial" w:cs="Arial" w:eastAsia="Arial" w:hAnsi="Arial"/>
          <w:sz w:val="22"/>
          <w:szCs w:val="22"/>
          <w:color w:val="auto"/>
          <w:vertAlign w:val="superscript"/>
        </w:rPr>
        <w:t>®</w:t>
      </w:r>
      <w:r>
        <w:rPr>
          <w:rFonts w:ascii="Arial" w:cs="Arial" w:eastAsia="Arial" w:hAnsi="Arial"/>
          <w:sz w:val="17"/>
          <w:szCs w:val="17"/>
          <w:color w:val="auto"/>
        </w:rPr>
        <w:t>, a PSMA PET imaging agent for the detection of suspected recurrent or metastatic prostate cancer; TechneLite</w:t>
      </w:r>
      <w:r>
        <w:rPr>
          <w:rFonts w:ascii="Arial" w:cs="Arial" w:eastAsia="Arial" w:hAnsi="Arial"/>
          <w:sz w:val="22"/>
          <w:szCs w:val="22"/>
          <w:color w:val="auto"/>
          <w:vertAlign w:val="superscript"/>
        </w:rPr>
        <w:t>®</w:t>
      </w:r>
      <w:r>
        <w:rPr>
          <w:rFonts w:ascii="Arial" w:cs="Arial" w:eastAsia="Arial" w:hAnsi="Arial"/>
          <w:sz w:val="17"/>
          <w:szCs w:val="17"/>
          <w:color w:val="auto"/>
        </w:rPr>
        <w:t xml:space="preserve"> (Technetium Tc99m Generator), a technetium-based generator that provides the essential medical isotope used in nuclear medicine procedures; AZEDRA</w:t>
      </w:r>
      <w:r>
        <w:rPr>
          <w:rFonts w:ascii="Arial" w:cs="Arial" w:eastAsia="Arial" w:hAnsi="Arial"/>
          <w:sz w:val="22"/>
          <w:szCs w:val="22"/>
          <w:color w:val="auto"/>
          <w:vertAlign w:val="superscript"/>
        </w:rPr>
        <w:t>®</w:t>
      </w:r>
      <w:r>
        <w:rPr>
          <w:rFonts w:ascii="Arial" w:cs="Arial" w:eastAsia="Arial" w:hAnsi="Arial"/>
          <w:sz w:val="17"/>
          <w:szCs w:val="17"/>
          <w:color w:val="auto"/>
        </w:rPr>
        <w:t xml:space="preserve"> for the treatment of certain rare neuroendocrine tumors; and RELISTOR</w:t>
      </w:r>
      <w:r>
        <w:rPr>
          <w:rFonts w:ascii="Arial" w:cs="Arial" w:eastAsia="Arial" w:hAnsi="Arial"/>
          <w:sz w:val="22"/>
          <w:szCs w:val="22"/>
          <w:color w:val="auto"/>
          <w:vertAlign w:val="superscript"/>
        </w:rPr>
        <w:t>®</w:t>
      </w:r>
      <w:r>
        <w:rPr>
          <w:rFonts w:ascii="Arial" w:cs="Arial" w:eastAsia="Arial" w:hAnsi="Arial"/>
          <w:sz w:val="17"/>
          <w:szCs w:val="17"/>
          <w:color w:val="auto"/>
        </w:rPr>
        <w:t xml:space="preserve"> for the treatment of opioid-induced constipation, which is partnered with Bausch Health Companies, Inc. The Company is headquartered in North Billerica, Massachusetts with offices in New York, New Jersey, Canada and Sweden. For more information, visit www.lantheus.com.</w:t>
      </w:r>
    </w:p>
    <w:p>
      <w:pPr>
        <w:spacing w:after="0" w:line="1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Non-GAAP Financial Measures</w:t>
      </w:r>
    </w:p>
    <w:p>
      <w:pPr>
        <w:spacing w:after="0" w:line="229" w:lineRule="exact"/>
        <w:rPr>
          <w:sz w:val="20"/>
          <w:szCs w:val="20"/>
          <w:color w:val="auto"/>
        </w:rPr>
      </w:pPr>
    </w:p>
    <w:p>
      <w:pPr>
        <w:ind w:right="20"/>
        <w:spacing w:after="0" w:line="291" w:lineRule="auto"/>
        <w:rPr>
          <w:sz w:val="20"/>
          <w:szCs w:val="20"/>
          <w:color w:val="auto"/>
        </w:rPr>
      </w:pPr>
      <w:r>
        <w:rPr>
          <w:rFonts w:ascii="Arial" w:cs="Arial" w:eastAsia="Arial" w:hAnsi="Arial"/>
          <w:sz w:val="16"/>
          <w:szCs w:val="16"/>
          <w:color w:val="auto"/>
        </w:rPr>
        <w:t>The Company uses non-GAAP financial measures, such as adjusted net income and its line components; adjusted net income per share - fully diluted; and free cash flow. The Company’s management believes that the presentation of these measures provides useful information to investors. These measures may assist investors in evaluating the Company’s operations, period over period. However, these measures may exclude items that may be highly variable, difficult to predict and of a size that could have a substantial impact on the Company’s reported results of operations for a particular period. Management uses these and other non-GAAP measures internally for evaluation of the performance of the business, including the allocation of resources and the evaluation of results relative to employee performance compensation targets. Investors should consider these non-GAAP measures only as a supplement to, not as a substitute for or as superior to, measures of financial performance prepared in accordance with GAAP.</w:t>
      </w:r>
    </w:p>
    <w:p>
      <w:pPr>
        <w:spacing w:after="0" w:line="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Page 2 of 9</w:t>
      </w:r>
    </w:p>
    <w:p>
      <w:pPr>
        <w:sectPr>
          <w:pgSz w:w="11900" w:h="16838" w:orient="portrait"/>
          <w:cols w:equalWidth="0" w:num="1">
            <w:col w:w="11240"/>
          </w:cols>
          <w:pgMar w:left="320" w:top="931" w:right="339" w:bottom="1440" w:gutter="0" w:footer="0" w:header="0"/>
        </w:sectPr>
      </w:pPr>
    </w:p>
    <w:bookmarkStart w:id="5" w:name="page6"/>
    <w:bookmarkEnd w:id="5"/>
    <w:p>
      <w:pPr>
        <w:spacing w:after="0"/>
        <w:rPr>
          <w:sz w:val="20"/>
          <w:szCs w:val="20"/>
          <w:color w:val="auto"/>
        </w:rPr>
      </w:pPr>
      <w:r>
        <w:rPr>
          <w:rFonts w:ascii="Arial" w:cs="Arial" w:eastAsia="Arial" w:hAnsi="Arial"/>
          <w:sz w:val="18"/>
          <w:szCs w:val="18"/>
          <w:b w:val="1"/>
          <w:bCs w:val="1"/>
          <w:color w:val="auto"/>
        </w:rPr>
        <w:t>Safe Harbor for Forward-Looking and Cautionary Statements</w:t>
      </w:r>
    </w:p>
    <w:p>
      <w:pPr>
        <w:spacing w:after="0" w:line="229" w:lineRule="exact"/>
        <w:rPr>
          <w:sz w:val="20"/>
          <w:szCs w:val="20"/>
          <w:color w:val="auto"/>
        </w:rPr>
      </w:pPr>
    </w:p>
    <w:p>
      <w:pPr>
        <w:spacing w:after="0" w:line="284" w:lineRule="auto"/>
        <w:rPr>
          <w:sz w:val="20"/>
          <w:szCs w:val="20"/>
          <w:color w:val="auto"/>
        </w:rPr>
      </w:pPr>
      <w:r>
        <w:rPr>
          <w:rFonts w:ascii="Arial" w:cs="Arial" w:eastAsia="Arial" w:hAnsi="Arial"/>
          <w:sz w:val="16"/>
          <w:szCs w:val="16"/>
          <w:i w:val="1"/>
          <w:iCs w:val="1"/>
          <w:color w:val="auto"/>
        </w:rPr>
        <w:t>This press release contains forward-looking statements within the meaning of the Private Securities Litigation Reform Act of 1995, as amended, that are subject to risks and uncertainties and are made pursuant to the safe harbor provisions of Section 27A of the Securities Act of 1933, as amended, and Section 21E of the Securities Exchange Act of 1934, as amended. Forward-looking statements may be identified by their use of terms such as “believe,” “could,” “estimate,” “expect,” “look forward to,” “may,” “plan,” “predict,” “target,” “will,” and other similar terms. Such forward-looking statements are based upon current plans, estimates and expectations that are subject to risks and uncertainties that could cause actual results to materially differ from those described in the forward-looking statements. The inclusion of forward-looking statements should not be regarded as a representation that such plans, estimates and expectations will be achieved. Readers are cautioned not to place undue reliance on the forward-looking statements contained herein, which speak only as of the date hereof. The Company undertakes no obligation to publicly update any forward-looking statement, whether as a result of new information, future developments or otherwise, except as may be required by law. Risks and uncertainties that could cause our actual results to materially differ from those described in the forward-looking statements include: (i) the impact of the global COVID-19 pandemic on our business, financial conditions and prospects; (ii) continued market expansion and penetration for our commercial products, particularly DEFINITY, in the face of segment competition and potential generic competition, including as a result of patent and regulatory exclusivity expirations; (iii) our ability to successfully launch PYLARIFY as a commercial product, including (A) our ability to obtain U.S. Food and Drug Administration approval for additional PET manufacturing facilities (“PMFs”) that could manufacture PYLARIFY, (B) the ability of those PMFs to supply PYLARIFY to customers, and (C) our ability to sell PYLARIFY to customers; (iv) the global Molybdenum-99 supply; (v) our products manufactured at Jubilant HollisterStier and our modified formulation of DEFINITY (“DEFINITY RT”) to be commercially manufactured at Samsung Biologics, including our ability to renew, modify or replace those agreements as may be necessary; (vi) the continued integration of the Progenics products and product candidate portfolio into our business following the Progenics Acquisition; (vii) our ability to use in-house manufacturing capacity; (viii) our ability to successfully launch aPROMISE, also referred to as PYLARIFY AI, as a commercial product; (ix) the potential reclassification by the FDA of certain of our products and product candidates from drugs to devices with the expense, complexity and potentially more limited competitive protection such reclassification could cause; (x) the efforts and timing for clinical development of our product candidates and new clinical applications for our products, in each case, that we or our strategic partners may develop, including 1095 and flurpiridaz F 18; (xi) our ability to develop highly contextualized assessments of disease burden using artificial intelligence (“AI”); and (xii) the risk and uncertainties discussed in our filings with the Securities and Exchange Commission (including those described in the Risk Factors section in our Annual Reports on Form 10-K and our Quarterly Reports on Form 10-Q).</w:t>
      </w:r>
    </w:p>
    <w:p>
      <w:pPr>
        <w:spacing w:after="0" w:line="39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Tables Follow -</w:t>
      </w:r>
    </w:p>
    <w:p>
      <w:pPr>
        <w:spacing w:after="0" w:line="11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Page 3 of 9</w:t>
      </w:r>
    </w:p>
    <w:p>
      <w:pPr>
        <w:sectPr>
          <w:pgSz w:w="11900" w:h="16838" w:orient="portrait"/>
          <w:cols w:equalWidth="0" w:num="1">
            <w:col w:w="11200"/>
          </w:cols>
          <w:pgMar w:left="320" w:top="877" w:right="379" w:bottom="1440" w:gutter="0" w:footer="0" w:header="0"/>
        </w:sectPr>
      </w:pPr>
    </w:p>
    <w:bookmarkStart w:id="6" w:name="page7"/>
    <w:bookmarkEnd w:id="6"/>
    <w:p>
      <w:pPr>
        <w:jc w:val="center"/>
        <w:ind w:right="20"/>
        <w:spacing w:after="0"/>
        <w:rPr>
          <w:sz w:val="20"/>
          <w:szCs w:val="20"/>
          <w:color w:val="auto"/>
        </w:rPr>
      </w:pPr>
      <w:r>
        <w:rPr>
          <w:rFonts w:ascii="Arial" w:cs="Arial" w:eastAsia="Arial" w:hAnsi="Arial"/>
          <w:sz w:val="18"/>
          <w:szCs w:val="18"/>
          <w:b w:val="1"/>
          <w:bCs w:val="1"/>
          <w:color w:val="auto"/>
        </w:rPr>
        <w:t>Lantheus Holdings, Inc.</w:t>
      </w:r>
    </w:p>
    <w:p>
      <w:pPr>
        <w:spacing w:after="0" w:line="63"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6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(in thousands, except per share data – unaudited)</w:t>
      </w:r>
    </w:p>
    <w:p>
      <w:pPr>
        <w:spacing w:after="0" w:line="24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9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260" w:type="dxa"/>
            <w:vAlign w:val="bottom"/>
            <w:gridSpan w:val="5"/>
          </w:tcPr>
          <w:p>
            <w:pPr>
              <w:ind w:left="260"/>
              <w:spacing w:after="0"/>
              <w:rPr>
                <w:sz w:val="20"/>
                <w:szCs w:val="20"/>
                <w:color w:val="auto"/>
              </w:rPr>
            </w:pPr>
            <w:r>
              <w:rPr>
                <w:rFonts w:ascii="Arial" w:cs="Arial" w:eastAsia="Arial" w:hAnsi="Arial"/>
                <w:sz w:val="14"/>
                <w:szCs w:val="14"/>
                <w:b w:val="1"/>
                <w:bCs w:val="1"/>
                <w:color w:val="auto"/>
              </w:rPr>
              <w:t>Three Months Ended</w:t>
            </w:r>
          </w:p>
        </w:tc>
        <w:tc>
          <w:tcPr>
            <w:tcW w:w="260" w:type="dxa"/>
            <w:vAlign w:val="bottom"/>
          </w:tcPr>
          <w:p>
            <w:pPr>
              <w:spacing w:after="0"/>
              <w:rPr>
                <w:sz w:val="14"/>
                <w:szCs w:val="14"/>
                <w:color w:val="auto"/>
              </w:rPr>
            </w:pPr>
          </w:p>
        </w:tc>
        <w:tc>
          <w:tcPr>
            <w:tcW w:w="2200" w:type="dxa"/>
            <w:vAlign w:val="bottom"/>
            <w:gridSpan w:val="4"/>
          </w:tcPr>
          <w:p>
            <w:pPr>
              <w:jc w:val="right"/>
              <w:ind w:right="551"/>
              <w:spacing w:after="0"/>
              <w:rPr>
                <w:sz w:val="20"/>
                <w:szCs w:val="20"/>
                <w:color w:val="auto"/>
              </w:rPr>
            </w:pPr>
            <w:r>
              <w:rPr>
                <w:rFonts w:ascii="Arial" w:cs="Arial" w:eastAsia="Arial" w:hAnsi="Arial"/>
                <w:sz w:val="14"/>
                <w:szCs w:val="14"/>
                <w:b w:val="1"/>
                <w:bCs w:val="1"/>
                <w:color w:val="auto"/>
              </w:rPr>
              <w:t>Nine Months Ended</w:t>
            </w:r>
          </w:p>
        </w:tc>
        <w:tc>
          <w:tcPr>
            <w:tcW w:w="0" w:type="dxa"/>
            <w:vAlign w:val="bottom"/>
          </w:tcPr>
          <w:p>
            <w:pPr>
              <w:spacing w:after="0"/>
              <w:rPr>
                <w:sz w:val="1"/>
                <w:szCs w:val="1"/>
                <w:color w:val="auto"/>
              </w:rPr>
            </w:pPr>
          </w:p>
        </w:tc>
      </w:tr>
      <w:tr>
        <w:trPr>
          <w:trHeight w:val="188"/>
        </w:trPr>
        <w:tc>
          <w:tcPr>
            <w:tcW w:w="496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40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7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7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3"/>
        </w:trPr>
        <w:tc>
          <w:tcPr>
            <w:tcW w:w="4960" w:type="dxa"/>
            <w:vAlign w:val="bottom"/>
            <w:tcBorders>
              <w:bottom w:val="single" w:sz="8" w:color="CCEEFF"/>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ind w:right="352"/>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5"/>
                <w:szCs w:val="15"/>
                <w:color w:val="auto"/>
              </w:rPr>
            </w:pPr>
          </w:p>
        </w:tc>
        <w:tc>
          <w:tcPr>
            <w:tcW w:w="40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right"/>
              <w:ind w:right="351"/>
              <w:spacing w:after="0"/>
              <w:rPr>
                <w:sz w:val="20"/>
                <w:szCs w:val="20"/>
                <w:color w:val="auto"/>
              </w:rPr>
            </w:pPr>
            <w:r>
              <w:rPr>
                <w:rFonts w:ascii="Arial" w:cs="Arial" w:eastAsia="Arial" w:hAnsi="Arial"/>
                <w:sz w:val="14"/>
                <w:szCs w:val="14"/>
                <w:b w:val="1"/>
                <w:bCs w:val="1"/>
                <w:color w:val="auto"/>
                <w:w w:val="96"/>
              </w:rPr>
              <w:t>2020</w:t>
            </w:r>
          </w:p>
        </w:tc>
        <w:tc>
          <w:tcPr>
            <w:tcW w:w="100" w:type="dxa"/>
            <w:vAlign w:val="bottom"/>
            <w:tcBorders>
              <w:bottom w:val="single" w:sz="8" w:color="CCEEFF"/>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ind w:right="352"/>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5"/>
                <w:szCs w:val="15"/>
                <w:color w:val="auto"/>
              </w:rPr>
            </w:pPr>
          </w:p>
        </w:tc>
        <w:tc>
          <w:tcPr>
            <w:tcW w:w="42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jc w:val="right"/>
              <w:ind w:right="371"/>
              <w:spacing w:after="0"/>
              <w:rPr>
                <w:sz w:val="20"/>
                <w:szCs w:val="20"/>
                <w:color w:val="auto"/>
              </w:rPr>
            </w:pPr>
            <w:r>
              <w:rPr>
                <w:rFonts w:ascii="Arial" w:cs="Arial" w:eastAsia="Arial" w:hAnsi="Arial"/>
                <w:sz w:val="14"/>
                <w:szCs w:val="14"/>
                <w:b w:val="1"/>
                <w:bCs w:val="1"/>
                <w:color w:val="auto"/>
                <w:w w:val="96"/>
              </w:rPr>
              <w:t>2020</w:t>
            </w:r>
          </w:p>
        </w:tc>
        <w:tc>
          <w:tcPr>
            <w:tcW w:w="0" w:type="dxa"/>
            <w:vAlign w:val="bottom"/>
          </w:tcPr>
          <w:p>
            <w:pPr>
              <w:spacing w:after="0"/>
              <w:rPr>
                <w:sz w:val="1"/>
                <w:szCs w:val="1"/>
                <w:color w:val="auto"/>
              </w:rPr>
            </w:pPr>
          </w:p>
        </w:tc>
      </w:tr>
      <w:tr>
        <w:trPr>
          <w:trHeight w:val="224"/>
        </w:trPr>
        <w:tc>
          <w:tcPr>
            <w:tcW w:w="4960" w:type="dxa"/>
            <w:vAlign w:val="bottom"/>
            <w:shd w:val="clear" w:color="auto" w:fill="CCEEFF"/>
          </w:tcPr>
          <w:p>
            <w:pPr>
              <w:spacing w:after="0"/>
              <w:rPr>
                <w:sz w:val="20"/>
                <w:szCs w:val="20"/>
                <w:color w:val="auto"/>
              </w:rPr>
            </w:pPr>
            <w:r>
              <w:rPr>
                <w:rFonts w:ascii="Arial" w:cs="Arial" w:eastAsia="Arial" w:hAnsi="Arial"/>
                <w:sz w:val="18"/>
                <w:szCs w:val="18"/>
                <w:color w:val="auto"/>
              </w:rPr>
              <w:t>Revenues</w:t>
            </w:r>
          </w:p>
        </w:tc>
        <w:tc>
          <w:tcPr>
            <w:tcW w:w="2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102,073</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88,544</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295,646</w:t>
            </w:r>
          </w:p>
        </w:tc>
        <w:tc>
          <w:tcPr>
            <w:tcW w:w="100" w:type="dxa"/>
            <w:vAlign w:val="bottom"/>
            <w:shd w:val="clear" w:color="auto" w:fill="CCEEFF"/>
          </w:tcPr>
          <w:p>
            <w:pPr>
              <w:spacing w:after="0"/>
              <w:rPr>
                <w:sz w:val="19"/>
                <w:szCs w:val="19"/>
                <w:color w:val="auto"/>
              </w:rPr>
            </w:pPr>
          </w:p>
        </w:tc>
        <w:tc>
          <w:tcPr>
            <w:tcW w:w="42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w w:val="79"/>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245,258</w:t>
            </w:r>
          </w:p>
        </w:tc>
        <w:tc>
          <w:tcPr>
            <w:tcW w:w="0" w:type="dxa"/>
            <w:vAlign w:val="bottom"/>
          </w:tcPr>
          <w:p>
            <w:pPr>
              <w:spacing w:after="0"/>
              <w:rPr>
                <w:sz w:val="1"/>
                <w:szCs w:val="1"/>
                <w:color w:val="auto"/>
              </w:rPr>
            </w:pPr>
          </w:p>
        </w:tc>
      </w:tr>
      <w:tr>
        <w:trPr>
          <w:trHeight w:val="230"/>
        </w:trPr>
        <w:tc>
          <w:tcPr>
            <w:tcW w:w="496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Cost of goods sold</w:t>
            </w:r>
          </w:p>
        </w:tc>
        <w:tc>
          <w:tcPr>
            <w:tcW w:w="26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59,404</w:t>
            </w:r>
          </w:p>
        </w:tc>
        <w:tc>
          <w:tcPr>
            <w:tcW w:w="10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52,284</w:t>
            </w:r>
          </w:p>
        </w:tc>
        <w:tc>
          <w:tcPr>
            <w:tcW w:w="10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165,859</w:t>
            </w:r>
          </w:p>
        </w:tc>
        <w:tc>
          <w:tcPr>
            <w:tcW w:w="10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145,148</w:t>
            </w:r>
          </w:p>
        </w:tc>
        <w:tc>
          <w:tcPr>
            <w:tcW w:w="0" w:type="dxa"/>
            <w:vAlign w:val="bottom"/>
          </w:tcPr>
          <w:p>
            <w:pPr>
              <w:spacing w:after="0"/>
              <w:rPr>
                <w:sz w:val="1"/>
                <w:szCs w:val="1"/>
                <w:color w:val="auto"/>
              </w:rPr>
            </w:pPr>
          </w:p>
        </w:tc>
      </w:tr>
      <w:tr>
        <w:trPr>
          <w:trHeight w:val="223"/>
        </w:trPr>
        <w:tc>
          <w:tcPr>
            <w:tcW w:w="4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Gross profit</w:t>
            </w:r>
          </w:p>
        </w:tc>
        <w:tc>
          <w:tcPr>
            <w:tcW w:w="26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42,669</w:t>
            </w:r>
          </w:p>
        </w:tc>
        <w:tc>
          <w:tcPr>
            <w:tcW w:w="100" w:type="dxa"/>
            <w:vAlign w:val="bottom"/>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36,260</w:t>
            </w:r>
          </w:p>
        </w:tc>
        <w:tc>
          <w:tcPr>
            <w:tcW w:w="10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129,787</w:t>
            </w:r>
          </w:p>
        </w:tc>
        <w:tc>
          <w:tcPr>
            <w:tcW w:w="10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100,110</w:t>
            </w:r>
          </w:p>
        </w:tc>
        <w:tc>
          <w:tcPr>
            <w:tcW w:w="0" w:type="dxa"/>
            <w:vAlign w:val="bottom"/>
          </w:tcPr>
          <w:p>
            <w:pPr>
              <w:spacing w:after="0"/>
              <w:rPr>
                <w:sz w:val="1"/>
                <w:szCs w:val="1"/>
                <w:color w:val="auto"/>
              </w:rPr>
            </w:pPr>
          </w:p>
        </w:tc>
      </w:tr>
      <w:tr>
        <w:trPr>
          <w:trHeight w:val="210"/>
        </w:trPr>
        <w:tc>
          <w:tcPr>
            <w:tcW w:w="4960" w:type="dxa"/>
            <w:vAlign w:val="bottom"/>
          </w:tcPr>
          <w:p>
            <w:pPr>
              <w:spacing w:after="0"/>
              <w:rPr>
                <w:sz w:val="20"/>
                <w:szCs w:val="20"/>
                <w:color w:val="auto"/>
              </w:rPr>
            </w:pPr>
            <w:r>
              <w:rPr>
                <w:rFonts w:ascii="Arial" w:cs="Arial" w:eastAsia="Arial" w:hAnsi="Arial"/>
                <w:sz w:val="18"/>
                <w:szCs w:val="18"/>
                <w:color w:val="auto"/>
              </w:rPr>
              <w:t>Operating expenses</w:t>
            </w:r>
          </w:p>
        </w:tc>
        <w:tc>
          <w:tcPr>
            <w:tcW w:w="2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4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Sales and marketing</w:t>
            </w:r>
          </w:p>
        </w:tc>
        <w:tc>
          <w:tcPr>
            <w:tcW w:w="26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17,195</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11,609</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48,999</w:t>
            </w:r>
          </w:p>
        </w:tc>
        <w:tc>
          <w:tcPr>
            <w:tcW w:w="10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28,044</w:t>
            </w:r>
          </w:p>
        </w:tc>
        <w:tc>
          <w:tcPr>
            <w:tcW w:w="0" w:type="dxa"/>
            <w:vAlign w:val="bottom"/>
          </w:tcPr>
          <w:p>
            <w:pPr>
              <w:spacing w:after="0"/>
              <w:rPr>
                <w:sz w:val="1"/>
                <w:szCs w:val="1"/>
                <w:color w:val="auto"/>
              </w:rPr>
            </w:pPr>
          </w:p>
        </w:tc>
      </w:tr>
      <w:tr>
        <w:trPr>
          <w:trHeight w:val="229"/>
        </w:trPr>
        <w:tc>
          <w:tcPr>
            <w:tcW w:w="4960" w:type="dxa"/>
            <w:vAlign w:val="bottom"/>
          </w:tcPr>
          <w:p>
            <w:pPr>
              <w:ind w:left="200"/>
              <w:spacing w:after="0"/>
              <w:rPr>
                <w:sz w:val="20"/>
                <w:szCs w:val="20"/>
                <w:color w:val="auto"/>
              </w:rPr>
            </w:pPr>
            <w:r>
              <w:rPr>
                <w:rFonts w:ascii="Arial" w:cs="Arial" w:eastAsia="Arial" w:hAnsi="Arial"/>
                <w:sz w:val="18"/>
                <w:szCs w:val="18"/>
                <w:color w:val="auto"/>
              </w:rPr>
              <w:t>General and administrative</w:t>
            </w:r>
          </w:p>
        </w:tc>
        <w:tc>
          <w:tcPr>
            <w:tcW w:w="26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28,550</w:t>
            </w: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18,217</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87,865</w:t>
            </w:r>
          </w:p>
        </w:tc>
        <w:tc>
          <w:tcPr>
            <w:tcW w:w="1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55,586</w:t>
            </w:r>
          </w:p>
        </w:tc>
        <w:tc>
          <w:tcPr>
            <w:tcW w:w="0" w:type="dxa"/>
            <w:vAlign w:val="bottom"/>
          </w:tcPr>
          <w:p>
            <w:pPr>
              <w:spacing w:after="0"/>
              <w:rPr>
                <w:sz w:val="1"/>
                <w:szCs w:val="1"/>
                <w:color w:val="auto"/>
              </w:rPr>
            </w:pPr>
          </w:p>
        </w:tc>
      </w:tr>
      <w:tr>
        <w:trPr>
          <w:trHeight w:val="230"/>
        </w:trPr>
        <w:tc>
          <w:tcPr>
            <w:tcW w:w="4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Research and development</w:t>
            </w:r>
          </w:p>
        </w:tc>
        <w:tc>
          <w:tcPr>
            <w:tcW w:w="26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11,252</w:t>
            </w:r>
          </w:p>
        </w:tc>
        <w:tc>
          <w:tcPr>
            <w:tcW w:w="100" w:type="dxa"/>
            <w:vAlign w:val="bottom"/>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11,684</w:t>
            </w:r>
          </w:p>
        </w:tc>
        <w:tc>
          <w:tcPr>
            <w:tcW w:w="10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33,673</w:t>
            </w:r>
          </w:p>
        </w:tc>
        <w:tc>
          <w:tcPr>
            <w:tcW w:w="10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20,150</w:t>
            </w:r>
          </w:p>
        </w:tc>
        <w:tc>
          <w:tcPr>
            <w:tcW w:w="0" w:type="dxa"/>
            <w:vAlign w:val="bottom"/>
          </w:tcPr>
          <w:p>
            <w:pPr>
              <w:spacing w:after="0"/>
              <w:rPr>
                <w:sz w:val="1"/>
                <w:szCs w:val="1"/>
                <w:color w:val="auto"/>
              </w:rPr>
            </w:pPr>
          </w:p>
        </w:tc>
      </w:tr>
      <w:tr>
        <w:trPr>
          <w:trHeight w:val="223"/>
        </w:trPr>
        <w:tc>
          <w:tcPr>
            <w:tcW w:w="4960" w:type="dxa"/>
            <w:vAlign w:val="bottom"/>
          </w:tcPr>
          <w:p>
            <w:pPr>
              <w:ind w:left="460"/>
              <w:spacing w:after="0"/>
              <w:rPr>
                <w:sz w:val="20"/>
                <w:szCs w:val="20"/>
                <w:color w:val="auto"/>
              </w:rPr>
            </w:pPr>
            <w:r>
              <w:rPr>
                <w:rFonts w:ascii="Arial" w:cs="Arial" w:eastAsia="Arial" w:hAnsi="Arial"/>
                <w:sz w:val="18"/>
                <w:szCs w:val="18"/>
                <w:color w:val="auto"/>
              </w:rPr>
              <w:t>Total operating expenses</w:t>
            </w:r>
          </w:p>
        </w:tc>
        <w:tc>
          <w:tcPr>
            <w:tcW w:w="26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56,997</w:t>
            </w: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41,510</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170,537</w:t>
            </w:r>
          </w:p>
        </w:tc>
        <w:tc>
          <w:tcPr>
            <w:tcW w:w="1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103,780</w:t>
            </w:r>
          </w:p>
        </w:tc>
        <w:tc>
          <w:tcPr>
            <w:tcW w:w="0" w:type="dxa"/>
            <w:vAlign w:val="bottom"/>
          </w:tcPr>
          <w:p>
            <w:pPr>
              <w:spacing w:after="0"/>
              <w:rPr>
                <w:sz w:val="1"/>
                <w:szCs w:val="1"/>
                <w:color w:val="auto"/>
              </w:rPr>
            </w:pPr>
          </w:p>
        </w:tc>
      </w:tr>
      <w:tr>
        <w:trPr>
          <w:trHeight w:val="230"/>
        </w:trPr>
        <w:tc>
          <w:tcPr>
            <w:tcW w:w="4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Gain on sale of assets</w:t>
            </w:r>
          </w:p>
        </w:tc>
        <w:tc>
          <w:tcPr>
            <w:tcW w:w="260" w:type="dxa"/>
            <w:vAlign w:val="bottom"/>
            <w:shd w:val="clear" w:color="auto" w:fill="CCEEFF"/>
          </w:tcPr>
          <w:p>
            <w:pPr>
              <w:spacing w:after="0"/>
              <w:rPr>
                <w:sz w:val="19"/>
                <w:szCs w:val="19"/>
                <w:color w:val="auto"/>
              </w:rPr>
            </w:pPr>
          </w:p>
        </w:tc>
        <w:tc>
          <w:tcPr>
            <w:tcW w:w="10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spacing w:after="0"/>
              <w:rPr>
                <w:sz w:val="19"/>
                <w:szCs w:val="19"/>
                <w:color w:val="auto"/>
              </w:rPr>
            </w:pPr>
          </w:p>
        </w:tc>
        <w:tc>
          <w:tcPr>
            <w:tcW w:w="8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15,263</w:t>
            </w:r>
          </w:p>
        </w:tc>
        <w:tc>
          <w:tcPr>
            <w:tcW w:w="10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4960" w:type="dxa"/>
            <w:vAlign w:val="bottom"/>
          </w:tcPr>
          <w:p>
            <w:pPr>
              <w:ind w:left="660"/>
              <w:spacing w:after="0"/>
              <w:rPr>
                <w:sz w:val="20"/>
                <w:szCs w:val="20"/>
                <w:color w:val="auto"/>
              </w:rPr>
            </w:pPr>
            <w:r>
              <w:rPr>
                <w:rFonts w:ascii="Arial" w:cs="Arial" w:eastAsia="Arial" w:hAnsi="Arial"/>
                <w:sz w:val="18"/>
                <w:szCs w:val="18"/>
                <w:color w:val="auto"/>
              </w:rPr>
              <w:t>Operating loss</w:t>
            </w:r>
          </w:p>
        </w:tc>
        <w:tc>
          <w:tcPr>
            <w:tcW w:w="260" w:type="dxa"/>
            <w:vAlign w:val="bottom"/>
            <w:tcBorders>
              <w:top w:val="single" w:sz="8" w:color="auto"/>
            </w:tcBorders>
          </w:tcPr>
          <w:p>
            <w:pPr>
              <w:spacing w:after="0"/>
              <w:rPr>
                <w:sz w:val="19"/>
                <w:szCs w:val="19"/>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(14,328)</w:t>
            </w:r>
          </w:p>
        </w:tc>
        <w:tc>
          <w:tcPr>
            <w:tcW w:w="100" w:type="dxa"/>
            <w:vAlign w:val="bottom"/>
          </w:tcPr>
          <w:p>
            <w:pPr>
              <w:spacing w:after="0"/>
              <w:rPr>
                <w:sz w:val="19"/>
                <w:szCs w:val="19"/>
                <w:color w:val="auto"/>
              </w:rPr>
            </w:pPr>
          </w:p>
        </w:tc>
        <w:tc>
          <w:tcPr>
            <w:tcW w:w="400" w:type="dxa"/>
            <w:vAlign w:val="bottom"/>
            <w:tcBorders>
              <w:top w:val="single" w:sz="8" w:color="auto"/>
            </w:tcBorders>
          </w:tcPr>
          <w:p>
            <w:pPr>
              <w:spacing w:after="0"/>
              <w:rPr>
                <w:sz w:val="19"/>
                <w:szCs w:val="19"/>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(5,250)</w:t>
            </w:r>
          </w:p>
        </w:tc>
        <w:tc>
          <w:tcPr>
            <w:tcW w:w="100" w:type="dxa"/>
            <w:vAlign w:val="bottom"/>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(25,487)</w:t>
            </w:r>
          </w:p>
        </w:tc>
        <w:tc>
          <w:tcPr>
            <w:tcW w:w="100" w:type="dxa"/>
            <w:vAlign w:val="bottom"/>
          </w:tcPr>
          <w:p>
            <w:pPr>
              <w:spacing w:after="0"/>
              <w:rPr>
                <w:sz w:val="19"/>
                <w:szCs w:val="19"/>
                <w:color w:val="auto"/>
              </w:rPr>
            </w:pPr>
          </w:p>
        </w:tc>
        <w:tc>
          <w:tcPr>
            <w:tcW w:w="42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(3,670)</w:t>
            </w:r>
          </w:p>
        </w:tc>
        <w:tc>
          <w:tcPr>
            <w:tcW w:w="0" w:type="dxa"/>
            <w:vAlign w:val="bottom"/>
          </w:tcPr>
          <w:p>
            <w:pPr>
              <w:spacing w:after="0"/>
              <w:rPr>
                <w:sz w:val="1"/>
                <w:szCs w:val="1"/>
                <w:color w:val="auto"/>
              </w:rPr>
            </w:pPr>
          </w:p>
        </w:tc>
      </w:tr>
      <w:tr>
        <w:trPr>
          <w:trHeight w:val="230"/>
        </w:trPr>
        <w:tc>
          <w:tcPr>
            <w:tcW w:w="4960" w:type="dxa"/>
            <w:vAlign w:val="bottom"/>
            <w:shd w:val="clear" w:color="auto" w:fill="CCEEFF"/>
          </w:tcPr>
          <w:p>
            <w:pPr>
              <w:spacing w:after="0"/>
              <w:rPr>
                <w:sz w:val="20"/>
                <w:szCs w:val="20"/>
                <w:color w:val="auto"/>
              </w:rPr>
            </w:pPr>
            <w:r>
              <w:rPr>
                <w:rFonts w:ascii="Arial" w:cs="Arial" w:eastAsia="Arial" w:hAnsi="Arial"/>
                <w:sz w:val="18"/>
                <w:szCs w:val="18"/>
                <w:color w:val="auto"/>
              </w:rPr>
              <w:t>Interest expense</w:t>
            </w:r>
          </w:p>
        </w:tc>
        <w:tc>
          <w:tcPr>
            <w:tcW w:w="26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1,569</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2,808</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6,224</w:t>
            </w:r>
          </w:p>
        </w:tc>
        <w:tc>
          <w:tcPr>
            <w:tcW w:w="10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6,668</w:t>
            </w:r>
          </w:p>
        </w:tc>
        <w:tc>
          <w:tcPr>
            <w:tcW w:w="0" w:type="dxa"/>
            <w:vAlign w:val="bottom"/>
          </w:tcPr>
          <w:p>
            <w:pPr>
              <w:spacing w:after="0"/>
              <w:rPr>
                <w:sz w:val="1"/>
                <w:szCs w:val="1"/>
                <w:color w:val="auto"/>
              </w:rPr>
            </w:pPr>
          </w:p>
        </w:tc>
      </w:tr>
      <w:tr>
        <w:trPr>
          <w:trHeight w:val="229"/>
        </w:trPr>
        <w:tc>
          <w:tcPr>
            <w:tcW w:w="4960" w:type="dxa"/>
            <w:vAlign w:val="bottom"/>
          </w:tcPr>
          <w:p>
            <w:pPr>
              <w:spacing w:after="0"/>
              <w:rPr>
                <w:sz w:val="20"/>
                <w:szCs w:val="20"/>
                <w:color w:val="auto"/>
              </w:rPr>
            </w:pPr>
            <w:r>
              <w:rPr>
                <w:rFonts w:ascii="Arial" w:cs="Arial" w:eastAsia="Arial" w:hAnsi="Arial"/>
                <w:sz w:val="18"/>
                <w:szCs w:val="18"/>
                <w:color w:val="auto"/>
              </w:rPr>
              <w:t>Gain on extinguishment of debt</w:t>
            </w:r>
          </w:p>
        </w:tc>
        <w:tc>
          <w:tcPr>
            <w:tcW w:w="260" w:type="dxa"/>
            <w:vAlign w:val="bottom"/>
          </w:tcPr>
          <w:p>
            <w:pPr>
              <w:spacing w:after="0"/>
              <w:rPr>
                <w:sz w:val="19"/>
                <w:szCs w:val="19"/>
                <w:color w:val="auto"/>
              </w:rPr>
            </w:pPr>
          </w:p>
        </w:tc>
        <w:tc>
          <w:tcPr>
            <w:tcW w:w="10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400" w:type="dxa"/>
            <w:vAlign w:val="bottom"/>
          </w:tcPr>
          <w:p>
            <w:pPr>
              <w:spacing w:after="0"/>
              <w:rPr>
                <w:sz w:val="19"/>
                <w:szCs w:val="19"/>
                <w:color w:val="auto"/>
              </w:rPr>
            </w:pPr>
          </w:p>
        </w:tc>
        <w:tc>
          <w:tcPr>
            <w:tcW w:w="8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(889)</w:t>
            </w:r>
          </w:p>
        </w:tc>
        <w:tc>
          <w:tcPr>
            <w:tcW w:w="1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4960" w:type="dxa"/>
            <w:vAlign w:val="bottom"/>
            <w:shd w:val="clear" w:color="auto" w:fill="CCEEFF"/>
          </w:tcPr>
          <w:p>
            <w:pPr>
              <w:spacing w:after="0"/>
              <w:rPr>
                <w:sz w:val="20"/>
                <w:szCs w:val="20"/>
                <w:color w:val="auto"/>
              </w:rPr>
            </w:pPr>
            <w:r>
              <w:rPr>
                <w:rFonts w:ascii="Arial" w:cs="Arial" w:eastAsia="Arial" w:hAnsi="Arial"/>
                <w:sz w:val="18"/>
                <w:szCs w:val="18"/>
                <w:color w:val="auto"/>
              </w:rPr>
              <w:t>Other loss (income)</w:t>
            </w:r>
          </w:p>
        </w:tc>
        <w:tc>
          <w:tcPr>
            <w:tcW w:w="26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3,940</w:t>
            </w:r>
          </w:p>
        </w:tc>
        <w:tc>
          <w:tcPr>
            <w:tcW w:w="100" w:type="dxa"/>
            <w:vAlign w:val="bottom"/>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(596)</w:t>
            </w:r>
          </w:p>
        </w:tc>
        <w:tc>
          <w:tcPr>
            <w:tcW w:w="10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3,209</w:t>
            </w:r>
          </w:p>
        </w:tc>
        <w:tc>
          <w:tcPr>
            <w:tcW w:w="10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(1,702)</w:t>
            </w:r>
          </w:p>
        </w:tc>
        <w:tc>
          <w:tcPr>
            <w:tcW w:w="0" w:type="dxa"/>
            <w:vAlign w:val="bottom"/>
          </w:tcPr>
          <w:p>
            <w:pPr>
              <w:spacing w:after="0"/>
              <w:rPr>
                <w:sz w:val="1"/>
                <w:szCs w:val="1"/>
                <w:color w:val="auto"/>
              </w:rPr>
            </w:pPr>
          </w:p>
        </w:tc>
      </w:tr>
      <w:tr>
        <w:trPr>
          <w:trHeight w:val="223"/>
        </w:trPr>
        <w:tc>
          <w:tcPr>
            <w:tcW w:w="4960" w:type="dxa"/>
            <w:vAlign w:val="bottom"/>
            <w:tcBorders>
              <w:bottom w:val="single" w:sz="8" w:color="CCEEFF"/>
            </w:tcBorders>
          </w:tcPr>
          <w:p>
            <w:pPr>
              <w:ind w:left="380"/>
              <w:spacing w:after="0"/>
              <w:rPr>
                <w:sz w:val="20"/>
                <w:szCs w:val="20"/>
                <w:color w:val="auto"/>
              </w:rPr>
            </w:pPr>
            <w:r>
              <w:rPr>
                <w:rFonts w:ascii="Arial" w:cs="Arial" w:eastAsia="Arial" w:hAnsi="Arial"/>
                <w:sz w:val="18"/>
                <w:szCs w:val="18"/>
                <w:color w:val="auto"/>
              </w:rPr>
              <w:t>Loss before income taxes</w:t>
            </w:r>
          </w:p>
        </w:tc>
        <w:tc>
          <w:tcPr>
            <w:tcW w:w="26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(19,837)</w:t>
            </w:r>
          </w:p>
        </w:tc>
        <w:tc>
          <w:tcPr>
            <w:tcW w:w="10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(7,462)</w:t>
            </w:r>
          </w:p>
        </w:tc>
        <w:tc>
          <w:tcPr>
            <w:tcW w:w="10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(34,031)</w:t>
            </w:r>
          </w:p>
        </w:tc>
        <w:tc>
          <w:tcPr>
            <w:tcW w:w="10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(8,636)</w:t>
            </w:r>
          </w:p>
        </w:tc>
        <w:tc>
          <w:tcPr>
            <w:tcW w:w="0" w:type="dxa"/>
            <w:vAlign w:val="bottom"/>
          </w:tcPr>
          <w:p>
            <w:pPr>
              <w:spacing w:after="0"/>
              <w:rPr>
                <w:sz w:val="1"/>
                <w:szCs w:val="1"/>
                <w:color w:val="auto"/>
              </w:rPr>
            </w:pPr>
          </w:p>
        </w:tc>
      </w:tr>
      <w:tr>
        <w:trPr>
          <w:trHeight w:val="223"/>
        </w:trPr>
        <w:tc>
          <w:tcPr>
            <w:tcW w:w="4960" w:type="dxa"/>
            <w:vAlign w:val="bottom"/>
            <w:shd w:val="clear" w:color="auto" w:fill="CCEEFF"/>
          </w:tcPr>
          <w:p>
            <w:pPr>
              <w:spacing w:after="0"/>
              <w:rPr>
                <w:sz w:val="20"/>
                <w:szCs w:val="20"/>
                <w:color w:val="auto"/>
              </w:rPr>
            </w:pPr>
            <w:r>
              <w:rPr>
                <w:rFonts w:ascii="Arial" w:cs="Arial" w:eastAsia="Arial" w:hAnsi="Arial"/>
                <w:sz w:val="18"/>
                <w:szCs w:val="18"/>
                <w:color w:val="auto"/>
              </w:rPr>
              <w:t>Income tax (benefit) expense</w:t>
            </w:r>
          </w:p>
        </w:tc>
        <w:tc>
          <w:tcPr>
            <w:tcW w:w="26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(6,422)</w:t>
            </w:r>
          </w:p>
        </w:tc>
        <w:tc>
          <w:tcPr>
            <w:tcW w:w="100" w:type="dxa"/>
            <w:vAlign w:val="bottom"/>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(1,076)</w:t>
            </w:r>
          </w:p>
        </w:tc>
        <w:tc>
          <w:tcPr>
            <w:tcW w:w="10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(2,967)</w:t>
            </w:r>
          </w:p>
        </w:tc>
        <w:tc>
          <w:tcPr>
            <w:tcW w:w="10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1,425</w:t>
            </w:r>
          </w:p>
        </w:tc>
        <w:tc>
          <w:tcPr>
            <w:tcW w:w="0" w:type="dxa"/>
            <w:vAlign w:val="bottom"/>
          </w:tcPr>
          <w:p>
            <w:pPr>
              <w:spacing w:after="0"/>
              <w:rPr>
                <w:sz w:val="1"/>
                <w:szCs w:val="1"/>
                <w:color w:val="auto"/>
              </w:rPr>
            </w:pPr>
          </w:p>
        </w:tc>
      </w:tr>
      <w:tr>
        <w:trPr>
          <w:trHeight w:val="223"/>
        </w:trPr>
        <w:tc>
          <w:tcPr>
            <w:tcW w:w="4960" w:type="dxa"/>
            <w:vAlign w:val="bottom"/>
          </w:tcPr>
          <w:p>
            <w:pPr>
              <w:ind w:left="340"/>
              <w:spacing w:after="0"/>
              <w:rPr>
                <w:sz w:val="20"/>
                <w:szCs w:val="20"/>
                <w:color w:val="auto"/>
              </w:rPr>
            </w:pPr>
            <w:r>
              <w:rPr>
                <w:rFonts w:ascii="Arial" w:cs="Arial" w:eastAsia="Arial" w:hAnsi="Arial"/>
                <w:sz w:val="18"/>
                <w:szCs w:val="18"/>
                <w:color w:val="auto"/>
              </w:rPr>
              <w:t>Net loss</w:t>
            </w:r>
          </w:p>
        </w:tc>
        <w:tc>
          <w:tcPr>
            <w:tcW w:w="2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(13,415)</w:t>
            </w:r>
          </w:p>
        </w:tc>
        <w:tc>
          <w:tcPr>
            <w:tcW w:w="100" w:type="dxa"/>
            <w:vAlign w:val="bottom"/>
          </w:tcPr>
          <w:p>
            <w:pPr>
              <w:spacing w:after="0"/>
              <w:rPr>
                <w:sz w:val="19"/>
                <w:szCs w:val="19"/>
                <w:color w:val="auto"/>
              </w:rPr>
            </w:pPr>
          </w:p>
        </w:tc>
        <w:tc>
          <w:tcPr>
            <w:tcW w:w="40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color w:val="auto"/>
                <w:w w:val="79"/>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(6,386)</w:t>
            </w:r>
          </w:p>
        </w:tc>
        <w:tc>
          <w:tcPr>
            <w:tcW w:w="100" w:type="dxa"/>
            <w:vAlign w:val="bottom"/>
          </w:tcPr>
          <w:p>
            <w:pPr>
              <w:spacing w:after="0"/>
              <w:rPr>
                <w:sz w:val="19"/>
                <w:szCs w:val="19"/>
                <w:color w:val="auto"/>
              </w:rPr>
            </w:pPr>
          </w:p>
        </w:tc>
        <w:tc>
          <w:tcPr>
            <w:tcW w:w="2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(31,064)</w:t>
            </w:r>
          </w:p>
        </w:tc>
        <w:tc>
          <w:tcPr>
            <w:tcW w:w="100" w:type="dxa"/>
            <w:vAlign w:val="bottom"/>
          </w:tcPr>
          <w:p>
            <w:pPr>
              <w:spacing w:after="0"/>
              <w:rPr>
                <w:sz w:val="19"/>
                <w:szCs w:val="19"/>
                <w:color w:val="auto"/>
              </w:rPr>
            </w:pPr>
          </w:p>
        </w:tc>
        <w:tc>
          <w:tcPr>
            <w:tcW w:w="42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color w:val="auto"/>
                <w:w w:val="79"/>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(10,061)</w:t>
            </w:r>
          </w:p>
        </w:tc>
        <w:tc>
          <w:tcPr>
            <w:tcW w:w="0" w:type="dxa"/>
            <w:vAlign w:val="bottom"/>
          </w:tcPr>
          <w:p>
            <w:pPr>
              <w:spacing w:after="0"/>
              <w:rPr>
                <w:sz w:val="1"/>
                <w:szCs w:val="1"/>
                <w:color w:val="auto"/>
              </w:rPr>
            </w:pPr>
          </w:p>
        </w:tc>
      </w:tr>
      <w:tr>
        <w:trPr>
          <w:trHeight w:val="20"/>
        </w:trPr>
        <w:tc>
          <w:tcPr>
            <w:tcW w:w="496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496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Net loss per common share:</w:t>
            </w:r>
          </w:p>
        </w:tc>
        <w:tc>
          <w:tcPr>
            <w:tcW w:w="26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9"/>
        </w:trPr>
        <w:tc>
          <w:tcPr>
            <w:tcW w:w="4960" w:type="dxa"/>
            <w:vAlign w:val="bottom"/>
          </w:tcPr>
          <w:p>
            <w:pPr>
              <w:ind w:left="340"/>
              <w:spacing w:after="0"/>
              <w:rPr>
                <w:sz w:val="20"/>
                <w:szCs w:val="20"/>
                <w:color w:val="auto"/>
              </w:rPr>
            </w:pPr>
            <w:r>
              <w:rPr>
                <w:rFonts w:ascii="Arial" w:cs="Arial" w:eastAsia="Arial" w:hAnsi="Arial"/>
                <w:sz w:val="18"/>
                <w:szCs w:val="18"/>
                <w:color w:val="auto"/>
              </w:rPr>
              <w:t>Basic</w:t>
            </w:r>
          </w:p>
        </w:tc>
        <w:tc>
          <w:tcPr>
            <w:tcW w:w="2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(0.20)</w:t>
            </w:r>
          </w:p>
        </w:tc>
        <w:tc>
          <w:tcPr>
            <w:tcW w:w="100" w:type="dxa"/>
            <w:vAlign w:val="bottom"/>
          </w:tcPr>
          <w:p>
            <w:pPr>
              <w:spacing w:after="0"/>
              <w:rPr>
                <w:sz w:val="19"/>
                <w:szCs w:val="19"/>
                <w:color w:val="auto"/>
              </w:rPr>
            </w:pPr>
          </w:p>
        </w:tc>
        <w:tc>
          <w:tcPr>
            <w:tcW w:w="40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color w:val="auto"/>
                <w:w w:val="79"/>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(0.10)</w:t>
            </w:r>
          </w:p>
        </w:tc>
        <w:tc>
          <w:tcPr>
            <w:tcW w:w="100" w:type="dxa"/>
            <w:vAlign w:val="bottom"/>
          </w:tcPr>
          <w:p>
            <w:pPr>
              <w:spacing w:after="0"/>
              <w:rPr>
                <w:sz w:val="19"/>
                <w:szCs w:val="19"/>
                <w:color w:val="auto"/>
              </w:rPr>
            </w:pPr>
          </w:p>
        </w:tc>
        <w:tc>
          <w:tcPr>
            <w:tcW w:w="2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(0.46)</w:t>
            </w:r>
          </w:p>
        </w:tc>
        <w:tc>
          <w:tcPr>
            <w:tcW w:w="100" w:type="dxa"/>
            <w:vAlign w:val="bottom"/>
          </w:tcPr>
          <w:p>
            <w:pPr>
              <w:spacing w:after="0"/>
              <w:rPr>
                <w:sz w:val="19"/>
                <w:szCs w:val="19"/>
                <w:color w:val="auto"/>
              </w:rPr>
            </w:pPr>
          </w:p>
        </w:tc>
        <w:tc>
          <w:tcPr>
            <w:tcW w:w="42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color w:val="auto"/>
                <w:w w:val="79"/>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(0.20)</w:t>
            </w:r>
          </w:p>
        </w:tc>
        <w:tc>
          <w:tcPr>
            <w:tcW w:w="0" w:type="dxa"/>
            <w:vAlign w:val="bottom"/>
          </w:tcPr>
          <w:p>
            <w:pPr>
              <w:spacing w:after="0"/>
              <w:rPr>
                <w:sz w:val="1"/>
                <w:szCs w:val="1"/>
                <w:color w:val="auto"/>
              </w:rPr>
            </w:pPr>
          </w:p>
        </w:tc>
      </w:tr>
      <w:tr>
        <w:trPr>
          <w:trHeight w:val="20"/>
        </w:trPr>
        <w:tc>
          <w:tcPr>
            <w:tcW w:w="496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9"/>
        </w:trPr>
        <w:tc>
          <w:tcPr>
            <w:tcW w:w="496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Diluted</w:t>
            </w:r>
          </w:p>
        </w:tc>
        <w:tc>
          <w:tcPr>
            <w:tcW w:w="26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(0.20)</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auto"/>
            </w:tcBorders>
            <w:shd w:val="clear" w:color="auto" w:fill="CCEEFF"/>
          </w:tcPr>
          <w:p>
            <w:pPr>
              <w:jc w:val="right"/>
              <w:ind w:right="210"/>
              <w:spacing w:after="0"/>
              <w:rPr>
                <w:sz w:val="20"/>
                <w:szCs w:val="20"/>
                <w:color w:val="auto"/>
              </w:rPr>
            </w:pPr>
            <w:r>
              <w:rPr>
                <w:rFonts w:ascii="Arial" w:cs="Arial" w:eastAsia="Arial" w:hAnsi="Arial"/>
                <w:sz w:val="18"/>
                <w:szCs w:val="18"/>
                <w:color w:val="auto"/>
                <w:w w:val="79"/>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(0.10)</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(0.46)</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auto"/>
            </w:tcBorders>
            <w:shd w:val="clear" w:color="auto" w:fill="CCEEFF"/>
          </w:tcPr>
          <w:p>
            <w:pPr>
              <w:jc w:val="right"/>
              <w:ind w:right="230"/>
              <w:spacing w:after="0"/>
              <w:rPr>
                <w:sz w:val="20"/>
                <w:szCs w:val="20"/>
                <w:color w:val="auto"/>
              </w:rPr>
            </w:pPr>
            <w:r>
              <w:rPr>
                <w:rFonts w:ascii="Arial" w:cs="Arial" w:eastAsia="Arial" w:hAnsi="Arial"/>
                <w:sz w:val="18"/>
                <w:szCs w:val="18"/>
                <w:color w:val="auto"/>
                <w:w w:val="79"/>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(0.20)</w:t>
            </w:r>
          </w:p>
        </w:tc>
        <w:tc>
          <w:tcPr>
            <w:tcW w:w="0" w:type="dxa"/>
            <w:vAlign w:val="bottom"/>
          </w:tcPr>
          <w:p>
            <w:pPr>
              <w:spacing w:after="0"/>
              <w:rPr>
                <w:sz w:val="1"/>
                <w:szCs w:val="1"/>
                <w:color w:val="auto"/>
              </w:rPr>
            </w:pPr>
          </w:p>
        </w:tc>
      </w:tr>
      <w:tr>
        <w:trPr>
          <w:trHeight w:val="20"/>
        </w:trPr>
        <w:tc>
          <w:tcPr>
            <w:tcW w:w="496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color w:val="auto"/>
              </w:rPr>
              <w:t>Weighted-average common shares outstanding:</w:t>
            </w: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7"/>
        </w:trPr>
        <w:tc>
          <w:tcPr>
            <w:tcW w:w="4960" w:type="dxa"/>
            <w:vAlign w:val="bottom"/>
            <w:vMerge w:val="continue"/>
          </w:tcPr>
          <w:p>
            <w:pPr>
              <w:spacing w:after="0"/>
              <w:rPr>
                <w:sz w:val="15"/>
                <w:szCs w:val="15"/>
                <w:color w:val="auto"/>
              </w:rPr>
            </w:pPr>
          </w:p>
        </w:tc>
        <w:tc>
          <w:tcPr>
            <w:tcW w:w="26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54"/>
        </w:trPr>
        <w:tc>
          <w:tcPr>
            <w:tcW w:w="496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Basic</w:t>
            </w:r>
          </w:p>
        </w:tc>
        <w:tc>
          <w:tcPr>
            <w:tcW w:w="260" w:type="dxa"/>
            <w:vAlign w:val="bottom"/>
            <w:tcBorders>
              <w:bottom w:val="single" w:sz="8" w:color="auto"/>
            </w:tcBorders>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67,623</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auto"/>
            </w:tcBorders>
            <w:shd w:val="clear" w:color="auto" w:fill="CCEEFF"/>
          </w:tcPr>
          <w:p>
            <w:pPr>
              <w:spacing w:after="0"/>
              <w:rPr>
                <w:sz w:val="21"/>
                <w:szCs w:val="21"/>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66,820</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67,409</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auto"/>
            </w:tcBorders>
            <w:shd w:val="clear" w:color="auto" w:fill="CCEEFF"/>
          </w:tcPr>
          <w:p>
            <w:pPr>
              <w:spacing w:after="0"/>
              <w:rPr>
                <w:sz w:val="21"/>
                <w:szCs w:val="21"/>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49,858</w:t>
            </w:r>
          </w:p>
        </w:tc>
        <w:tc>
          <w:tcPr>
            <w:tcW w:w="0" w:type="dxa"/>
            <w:vAlign w:val="bottom"/>
          </w:tcPr>
          <w:p>
            <w:pPr>
              <w:spacing w:after="0"/>
              <w:rPr>
                <w:sz w:val="1"/>
                <w:szCs w:val="1"/>
                <w:color w:val="auto"/>
              </w:rPr>
            </w:pPr>
          </w:p>
        </w:tc>
      </w:tr>
      <w:tr>
        <w:trPr>
          <w:trHeight w:val="20"/>
        </w:trPr>
        <w:tc>
          <w:tcPr>
            <w:tcW w:w="4960" w:type="dxa"/>
            <w:vAlign w:val="bottom"/>
            <w:tcBorders>
              <w:top w:val="single" w:sz="8" w:color="CCEEFF"/>
              <w:bottom w:val="single" w:sz="8" w:color="CCEEFF"/>
            </w:tcBorders>
            <w:vMerge w:val="restart"/>
          </w:tcPr>
          <w:p>
            <w:pPr>
              <w:ind w:left="340"/>
              <w:spacing w:after="0"/>
              <w:rPr>
                <w:sz w:val="20"/>
                <w:szCs w:val="20"/>
                <w:color w:val="auto"/>
              </w:rPr>
            </w:pPr>
            <w:r>
              <w:rPr>
                <w:rFonts w:ascii="Arial" w:cs="Arial" w:eastAsia="Arial" w:hAnsi="Arial"/>
                <w:sz w:val="18"/>
                <w:szCs w:val="18"/>
                <w:color w:val="auto"/>
              </w:rPr>
              <w:t>Diluted</w:t>
            </w: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4"/>
        </w:trPr>
        <w:tc>
          <w:tcPr>
            <w:tcW w:w="4960" w:type="dxa"/>
            <w:vAlign w:val="bottom"/>
            <w:vMerge w:val="continue"/>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67,623</w:t>
            </w:r>
          </w:p>
        </w:tc>
        <w:tc>
          <w:tcPr>
            <w:tcW w:w="100" w:type="dxa"/>
            <w:vAlign w:val="bottom"/>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66,820</w:t>
            </w:r>
          </w:p>
        </w:tc>
        <w:tc>
          <w:tcPr>
            <w:tcW w:w="100" w:type="dxa"/>
            <w:vAlign w:val="bottom"/>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67,409</w:t>
            </w:r>
          </w:p>
        </w:tc>
        <w:tc>
          <w:tcPr>
            <w:tcW w:w="100" w:type="dxa"/>
            <w:vAlign w:val="bottom"/>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49,858</w:t>
            </w:r>
          </w:p>
        </w:tc>
        <w:tc>
          <w:tcPr>
            <w:tcW w:w="0" w:type="dxa"/>
            <w:vAlign w:val="bottom"/>
          </w:tcPr>
          <w:p>
            <w:pPr>
              <w:spacing w:after="0"/>
              <w:rPr>
                <w:sz w:val="1"/>
                <w:szCs w:val="1"/>
                <w:color w:val="auto"/>
              </w:rPr>
            </w:pPr>
          </w:p>
        </w:tc>
      </w:tr>
      <w:tr>
        <w:trPr>
          <w:trHeight w:val="20"/>
        </w:trPr>
        <w:tc>
          <w:tcPr>
            <w:tcW w:w="49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88"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Page 4 of 9</w:t>
      </w:r>
    </w:p>
    <w:p>
      <w:pPr>
        <w:sectPr>
          <w:pgSz w:w="11900" w:h="16838" w:orient="portrait"/>
          <w:cols w:equalWidth="0" w:num="1">
            <w:col w:w="9940"/>
          </w:cols>
          <w:pgMar w:left="980" w:top="715" w:right="979" w:bottom="1440" w:gutter="0" w:footer="0" w:header="0"/>
        </w:sectPr>
      </w:pPr>
    </w:p>
    <w:bookmarkStart w:id="7" w:name="page8"/>
    <w:bookmarkEnd w:id="7"/>
    <w:p>
      <w:pPr>
        <w:jc w:val="center"/>
        <w:ind w:right="-439"/>
        <w:spacing w:after="0"/>
        <w:rPr>
          <w:sz w:val="20"/>
          <w:szCs w:val="20"/>
          <w:color w:val="auto"/>
        </w:rPr>
      </w:pPr>
      <w:r>
        <w:rPr>
          <w:rFonts w:ascii="Arial" w:cs="Arial" w:eastAsia="Arial" w:hAnsi="Arial"/>
          <w:sz w:val="18"/>
          <w:szCs w:val="18"/>
          <w:b w:val="1"/>
          <w:bCs w:val="1"/>
          <w:color w:val="auto"/>
        </w:rPr>
        <w:t>Lantheus Holdings, Inc.</w:t>
      </w:r>
    </w:p>
    <w:p>
      <w:pPr>
        <w:spacing w:after="0" w:line="63" w:lineRule="exact"/>
        <w:rPr>
          <w:sz w:val="20"/>
          <w:szCs w:val="20"/>
          <w:color w:val="auto"/>
        </w:rPr>
      </w:pPr>
    </w:p>
    <w:p>
      <w:pPr>
        <w:jc w:val="center"/>
        <w:ind w:right="-439"/>
        <w:spacing w:after="0"/>
        <w:rPr>
          <w:sz w:val="20"/>
          <w:szCs w:val="20"/>
          <w:color w:val="auto"/>
        </w:rPr>
      </w:pPr>
      <w:r>
        <w:rPr>
          <w:rFonts w:ascii="Arial" w:cs="Arial" w:eastAsia="Arial" w:hAnsi="Arial"/>
          <w:sz w:val="18"/>
          <w:szCs w:val="18"/>
          <w:b w:val="1"/>
          <w:bCs w:val="1"/>
          <w:color w:val="auto"/>
        </w:rPr>
        <w:t>Consolidated Revenues Analysis</w:t>
      </w:r>
    </w:p>
    <w:p>
      <w:pPr>
        <w:spacing w:after="0" w:line="67" w:lineRule="exact"/>
        <w:rPr>
          <w:sz w:val="20"/>
          <w:szCs w:val="20"/>
          <w:color w:val="auto"/>
        </w:rPr>
      </w:pPr>
    </w:p>
    <w:p>
      <w:pPr>
        <w:jc w:val="center"/>
        <w:ind w:right="-439"/>
        <w:spacing w:after="0"/>
        <w:rPr>
          <w:sz w:val="20"/>
          <w:szCs w:val="20"/>
          <w:color w:val="auto"/>
        </w:rPr>
      </w:pPr>
      <w:r>
        <w:rPr>
          <w:rFonts w:ascii="Arial" w:cs="Arial" w:eastAsia="Arial" w:hAnsi="Arial"/>
          <w:sz w:val="18"/>
          <w:szCs w:val="18"/>
          <w:color w:val="auto"/>
        </w:rPr>
        <w:t>(in thousands – unaudited)</w:t>
      </w:r>
    </w:p>
    <w:p>
      <w:pPr>
        <w:spacing w:after="0" w:line="240" w:lineRule="exact"/>
        <w:rPr>
          <w:sz w:val="20"/>
          <w:szCs w:val="20"/>
          <w:color w:val="auto"/>
        </w:rPr>
      </w:pPr>
    </w:p>
    <w:tbl>
      <w:tblPr>
        <w:tblLayout w:type="fixed"/>
        <w:tblInd w:w="620" w:type="dxa"/>
        <w:tblCellMar>
          <w:top w:w="0" w:type="dxa"/>
          <w:left w:w="0" w:type="dxa"/>
          <w:bottom w:w="0" w:type="dxa"/>
          <w:right w:w="0" w:type="dxa"/>
        </w:tblCellMar>
      </w:tblPr>
      <w:tr>
        <w:trPr>
          <w:trHeight w:val="161"/>
        </w:trPr>
        <w:tc>
          <w:tcPr>
            <w:tcW w:w="30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400" w:type="dxa"/>
            <w:vAlign w:val="bottom"/>
            <w:gridSpan w:val="6"/>
          </w:tcPr>
          <w:p>
            <w:pPr>
              <w:jc w:val="center"/>
              <w:ind w:right="40"/>
              <w:spacing w:after="0"/>
              <w:rPr>
                <w:sz w:val="20"/>
                <w:szCs w:val="20"/>
                <w:color w:val="auto"/>
              </w:rPr>
            </w:pPr>
            <w:r>
              <w:rPr>
                <w:rFonts w:ascii="Arial" w:cs="Arial" w:eastAsia="Arial" w:hAnsi="Arial"/>
                <w:sz w:val="14"/>
                <w:szCs w:val="14"/>
                <w:b w:val="1"/>
                <w:bCs w:val="1"/>
                <w:color w:val="auto"/>
                <w:w w:val="95"/>
              </w:rPr>
              <w:t>Three Months Ended</w:t>
            </w:r>
          </w:p>
        </w:tc>
        <w:tc>
          <w:tcPr>
            <w:tcW w:w="9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380" w:type="dxa"/>
            <w:vAlign w:val="bottom"/>
            <w:gridSpan w:val="5"/>
          </w:tcPr>
          <w:p>
            <w:pPr>
              <w:jc w:val="center"/>
              <w:ind w:right="60"/>
              <w:spacing w:after="0"/>
              <w:rPr>
                <w:sz w:val="20"/>
                <w:szCs w:val="20"/>
                <w:color w:val="auto"/>
              </w:rPr>
            </w:pPr>
            <w:r>
              <w:rPr>
                <w:rFonts w:ascii="Arial" w:cs="Arial" w:eastAsia="Arial" w:hAnsi="Arial"/>
                <w:sz w:val="14"/>
                <w:szCs w:val="14"/>
                <w:b w:val="1"/>
                <w:bCs w:val="1"/>
                <w:color w:val="auto"/>
                <w:w w:val="94"/>
              </w:rPr>
              <w:t>Nine Months Ended</w:t>
            </w:r>
          </w:p>
        </w:tc>
        <w:tc>
          <w:tcPr>
            <w:tcW w:w="1020" w:type="dxa"/>
            <w:vAlign w:val="bottom"/>
          </w:tcPr>
          <w:p>
            <w:pPr>
              <w:spacing w:after="0"/>
              <w:rPr>
                <w:sz w:val="14"/>
                <w:szCs w:val="14"/>
                <w:color w:val="auto"/>
              </w:rPr>
            </w:pPr>
          </w:p>
        </w:tc>
      </w:tr>
      <w:tr>
        <w:trPr>
          <w:trHeight w:val="188"/>
        </w:trPr>
        <w:tc>
          <w:tcPr>
            <w:tcW w:w="308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gridSpan w:val="3"/>
          </w:tcPr>
          <w:p>
            <w:pPr>
              <w:jc w:val="center"/>
              <w:ind w:right="240"/>
              <w:spacing w:after="0"/>
              <w:rPr>
                <w:sz w:val="20"/>
                <w:szCs w:val="20"/>
                <w:color w:val="auto"/>
              </w:rPr>
            </w:pPr>
            <w:r>
              <w:rPr>
                <w:rFonts w:ascii="Arial" w:cs="Arial" w:eastAsia="Arial" w:hAnsi="Arial"/>
                <w:sz w:val="14"/>
                <w:szCs w:val="14"/>
                <w:b w:val="1"/>
                <w:bCs w:val="1"/>
                <w:color w:val="auto"/>
                <w:w w:val="91"/>
              </w:rPr>
              <w:t>September 30,</w:t>
            </w:r>
          </w:p>
        </w:tc>
        <w:tc>
          <w:tcPr>
            <w:tcW w:w="9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gridSpan w:val="3"/>
          </w:tcPr>
          <w:p>
            <w:pPr>
              <w:jc w:val="center"/>
              <w:ind w:right="240"/>
              <w:spacing w:after="0"/>
              <w:rPr>
                <w:sz w:val="20"/>
                <w:szCs w:val="20"/>
                <w:color w:val="auto"/>
              </w:rPr>
            </w:pPr>
            <w:r>
              <w:rPr>
                <w:rFonts w:ascii="Arial" w:cs="Arial" w:eastAsia="Arial" w:hAnsi="Arial"/>
                <w:sz w:val="14"/>
                <w:szCs w:val="14"/>
                <w:b w:val="1"/>
                <w:bCs w:val="1"/>
                <w:color w:val="auto"/>
                <w:w w:val="91"/>
              </w:rPr>
              <w:t>September 30,</w:t>
            </w:r>
          </w:p>
        </w:tc>
        <w:tc>
          <w:tcPr>
            <w:tcW w:w="1020" w:type="dxa"/>
            <w:vAlign w:val="bottom"/>
            <w:tcBorders>
              <w:bottom w:val="single" w:sz="8" w:color="auto"/>
            </w:tcBorders>
          </w:tcPr>
          <w:p>
            <w:pPr>
              <w:spacing w:after="0"/>
              <w:rPr>
                <w:sz w:val="16"/>
                <w:szCs w:val="16"/>
                <w:color w:val="auto"/>
              </w:rPr>
            </w:pPr>
          </w:p>
        </w:tc>
      </w:tr>
      <w:tr>
        <w:trPr>
          <w:trHeight w:val="184"/>
        </w:trPr>
        <w:tc>
          <w:tcPr>
            <w:tcW w:w="3080" w:type="dxa"/>
            <w:vAlign w:val="bottom"/>
            <w:tcBorders>
              <w:bottom w:val="single" w:sz="8" w:color="CCEEFF"/>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right"/>
              <w:ind w:right="192"/>
              <w:spacing w:after="0"/>
              <w:rPr>
                <w:sz w:val="20"/>
                <w:szCs w:val="20"/>
                <w:color w:val="auto"/>
              </w:rPr>
            </w:pPr>
            <w:r>
              <w:rPr>
                <w:rFonts w:ascii="Arial" w:cs="Arial" w:eastAsia="Arial" w:hAnsi="Arial"/>
                <w:sz w:val="14"/>
                <w:szCs w:val="14"/>
                <w:b w:val="1"/>
                <w:bCs w:val="1"/>
                <w:color w:val="auto"/>
              </w:rPr>
              <w:t>2021</w:t>
            </w:r>
          </w:p>
        </w:tc>
        <w:tc>
          <w:tcPr>
            <w:tcW w:w="4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center"/>
              <w:spacing w:after="0" w:line="184" w:lineRule="exact"/>
              <w:rPr>
                <w:sz w:val="20"/>
                <w:szCs w:val="20"/>
                <w:color w:val="auto"/>
              </w:rPr>
            </w:pPr>
            <w:r>
              <w:rPr>
                <w:rFonts w:ascii="Arial" w:cs="Arial" w:eastAsia="Arial" w:hAnsi="Arial"/>
                <w:sz w:val="14"/>
                <w:szCs w:val="14"/>
                <w:b w:val="1"/>
                <w:bCs w:val="1"/>
                <w:color w:val="auto"/>
                <w:w w:val="88"/>
              </w:rPr>
              <w:t xml:space="preserve">2020 </w:t>
            </w:r>
            <w:r>
              <w:rPr>
                <w:rFonts w:ascii="Arial" w:cs="Arial" w:eastAsia="Arial" w:hAnsi="Arial"/>
                <w:sz w:val="18"/>
                <w:szCs w:val="18"/>
                <w:b w:val="1"/>
                <w:bCs w:val="1"/>
                <w:color w:val="auto"/>
                <w:w w:val="88"/>
                <w:vertAlign w:val="superscript"/>
              </w:rPr>
              <w:t>(1)</w:t>
            </w:r>
          </w:p>
        </w:tc>
        <w:tc>
          <w:tcPr>
            <w:tcW w:w="10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right"/>
              <w:ind w:right="152"/>
              <w:spacing w:after="0"/>
              <w:rPr>
                <w:sz w:val="20"/>
                <w:szCs w:val="20"/>
                <w:color w:val="auto"/>
              </w:rPr>
            </w:pPr>
            <w:r>
              <w:rPr>
                <w:rFonts w:ascii="Arial" w:cs="Arial" w:eastAsia="Arial" w:hAnsi="Arial"/>
                <w:sz w:val="14"/>
                <w:szCs w:val="14"/>
                <w:b w:val="1"/>
                <w:bCs w:val="1"/>
                <w:color w:val="auto"/>
              </w:rPr>
              <w:t>% Change</w:t>
            </w:r>
          </w:p>
        </w:tc>
        <w:tc>
          <w:tcPr>
            <w:tcW w:w="100" w:type="dxa"/>
            <w:vAlign w:val="bottom"/>
            <w:tcBorders>
              <w:bottom w:val="single" w:sz="8" w:color="CCEEFF"/>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right"/>
              <w:ind w:right="232"/>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center"/>
              <w:spacing w:after="0" w:line="184" w:lineRule="exact"/>
              <w:rPr>
                <w:sz w:val="20"/>
                <w:szCs w:val="20"/>
                <w:color w:val="auto"/>
              </w:rPr>
            </w:pPr>
            <w:r>
              <w:rPr>
                <w:rFonts w:ascii="Arial" w:cs="Arial" w:eastAsia="Arial" w:hAnsi="Arial"/>
                <w:sz w:val="14"/>
                <w:szCs w:val="14"/>
                <w:b w:val="1"/>
                <w:bCs w:val="1"/>
                <w:color w:val="auto"/>
                <w:w w:val="84"/>
              </w:rPr>
              <w:t xml:space="preserve">2020 </w:t>
            </w:r>
            <w:r>
              <w:rPr>
                <w:rFonts w:ascii="Arial" w:cs="Arial" w:eastAsia="Arial" w:hAnsi="Arial"/>
                <w:sz w:val="18"/>
                <w:szCs w:val="18"/>
                <w:b w:val="1"/>
                <w:bCs w:val="1"/>
                <w:color w:val="auto"/>
                <w:w w:val="84"/>
                <w:vertAlign w:val="superscript"/>
              </w:rPr>
              <w:t>(1)</w:t>
            </w:r>
          </w:p>
        </w:tc>
        <w:tc>
          <w:tcPr>
            <w:tcW w:w="10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ind w:right="172"/>
              <w:spacing w:after="0"/>
              <w:rPr>
                <w:sz w:val="20"/>
                <w:szCs w:val="20"/>
                <w:color w:val="auto"/>
              </w:rPr>
            </w:pPr>
            <w:r>
              <w:rPr>
                <w:rFonts w:ascii="Arial" w:cs="Arial" w:eastAsia="Arial" w:hAnsi="Arial"/>
                <w:sz w:val="14"/>
                <w:szCs w:val="14"/>
                <w:b w:val="1"/>
                <w:bCs w:val="1"/>
                <w:color w:val="auto"/>
              </w:rPr>
              <w:t>% Change</w:t>
            </w:r>
          </w:p>
        </w:tc>
      </w:tr>
      <w:tr>
        <w:trPr>
          <w:trHeight w:val="223"/>
        </w:trPr>
        <w:tc>
          <w:tcPr>
            <w:tcW w:w="30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DEFINITY</w:t>
            </w:r>
          </w:p>
        </w:tc>
        <w:tc>
          <w:tcPr>
            <w:tcW w:w="2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57,636</w:t>
            </w:r>
          </w:p>
        </w:tc>
        <w:tc>
          <w:tcPr>
            <w:tcW w:w="2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50,359</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14.5 %</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173,448</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139,989</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23.9 %</w:t>
            </w:r>
          </w:p>
        </w:tc>
      </w:tr>
      <w:tr>
        <w:trPr>
          <w:trHeight w:val="230"/>
        </w:trPr>
        <w:tc>
          <w:tcPr>
            <w:tcW w:w="3080" w:type="dxa"/>
            <w:vAlign w:val="bottom"/>
          </w:tcPr>
          <w:p>
            <w:pPr>
              <w:ind w:left="160"/>
              <w:spacing w:after="0"/>
              <w:rPr>
                <w:sz w:val="20"/>
                <w:szCs w:val="20"/>
                <w:color w:val="auto"/>
              </w:rPr>
            </w:pPr>
            <w:r>
              <w:rPr>
                <w:rFonts w:ascii="Arial" w:cs="Arial" w:eastAsia="Arial" w:hAnsi="Arial"/>
                <w:sz w:val="18"/>
                <w:szCs w:val="18"/>
                <w:color w:val="auto"/>
              </w:rPr>
              <w:t>TechneLite</w:t>
            </w:r>
          </w:p>
        </w:tc>
        <w:tc>
          <w:tcPr>
            <w:tcW w:w="24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22,680</w:t>
            </w: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21,113</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7.4 %</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69,252</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62,560</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10.7 %</w:t>
            </w:r>
          </w:p>
        </w:tc>
      </w:tr>
      <w:tr>
        <w:trPr>
          <w:trHeight w:val="229"/>
        </w:trPr>
        <w:tc>
          <w:tcPr>
            <w:tcW w:w="30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Other precision diagnostics</w:t>
            </w:r>
          </w:p>
        </w:tc>
        <w:tc>
          <w:tcPr>
            <w:tcW w:w="24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7,563</w:t>
            </w:r>
          </w:p>
        </w:tc>
        <w:tc>
          <w:tcPr>
            <w:tcW w:w="40" w:type="dxa"/>
            <w:vAlign w:val="bottom"/>
            <w:tcBorders>
              <w:bottom w:val="single" w:sz="8" w:color="auto"/>
            </w:tcBorders>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8,585</w:t>
            </w:r>
          </w:p>
        </w:tc>
        <w:tc>
          <w:tcPr>
            <w:tcW w:w="10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(11.9)%</w:t>
            </w:r>
          </w:p>
        </w:tc>
        <w:tc>
          <w:tcPr>
            <w:tcW w:w="100" w:type="dxa"/>
            <w:vAlign w:val="bottom"/>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21,289</w:t>
            </w:r>
          </w:p>
        </w:tc>
        <w:tc>
          <w:tcPr>
            <w:tcW w:w="100" w:type="dxa"/>
            <w:vAlign w:val="bottom"/>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28,782</w:t>
            </w:r>
          </w:p>
        </w:tc>
        <w:tc>
          <w:tcPr>
            <w:tcW w:w="100" w:type="dxa"/>
            <w:vAlign w:val="bottom"/>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(26.0)%</w:t>
            </w:r>
          </w:p>
        </w:tc>
      </w:tr>
      <w:tr>
        <w:trPr>
          <w:trHeight w:val="223"/>
        </w:trPr>
        <w:tc>
          <w:tcPr>
            <w:tcW w:w="308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Total precision diagnostics</w:t>
            </w:r>
          </w:p>
        </w:tc>
        <w:tc>
          <w:tcPr>
            <w:tcW w:w="24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87,879</w:t>
            </w:r>
          </w:p>
        </w:tc>
        <w:tc>
          <w:tcPr>
            <w:tcW w:w="40" w:type="dxa"/>
            <w:vAlign w:val="bottom"/>
            <w:tcBorders>
              <w:bottom w:val="single" w:sz="8" w:color="auto"/>
            </w:tcBorders>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80,057</w:t>
            </w:r>
          </w:p>
        </w:tc>
        <w:tc>
          <w:tcPr>
            <w:tcW w:w="10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9.8 %</w:t>
            </w:r>
          </w:p>
        </w:tc>
        <w:tc>
          <w:tcPr>
            <w:tcW w:w="100" w:type="dxa"/>
            <w:vAlign w:val="bottom"/>
            <w:tcBorders>
              <w:bottom w:val="single" w:sz="8" w:color="CCEEFF"/>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263,989</w:t>
            </w:r>
          </w:p>
        </w:tc>
        <w:tc>
          <w:tcPr>
            <w:tcW w:w="10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231,331</w:t>
            </w:r>
          </w:p>
        </w:tc>
        <w:tc>
          <w:tcPr>
            <w:tcW w:w="10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14.1 %</w:t>
            </w:r>
          </w:p>
        </w:tc>
      </w:tr>
      <w:tr>
        <w:trPr>
          <w:trHeight w:val="223"/>
        </w:trPr>
        <w:tc>
          <w:tcPr>
            <w:tcW w:w="3080" w:type="dxa"/>
            <w:vAlign w:val="bottom"/>
            <w:shd w:val="clear" w:color="auto" w:fill="CCEEFF"/>
          </w:tcPr>
          <w:p>
            <w:pPr>
              <w:ind w:left="20"/>
              <w:spacing w:after="0"/>
              <w:rPr>
                <w:sz w:val="20"/>
                <w:szCs w:val="20"/>
                <w:color w:val="auto"/>
              </w:rPr>
            </w:pPr>
            <w:r>
              <w:rPr>
                <w:rFonts w:ascii="Arial" w:cs="Arial" w:eastAsia="Arial" w:hAnsi="Arial"/>
                <w:sz w:val="18"/>
                <w:szCs w:val="18"/>
                <w:color w:val="auto"/>
              </w:rPr>
              <w:t>Radiopharmaceutical oncology</w:t>
            </w:r>
          </w:p>
        </w:tc>
        <w:tc>
          <w:tcPr>
            <w:tcW w:w="24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8,890</w:t>
            </w:r>
          </w:p>
        </w:tc>
        <w:tc>
          <w:tcPr>
            <w:tcW w:w="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3,323</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167.5 %</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13,203</w:t>
            </w: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7,474</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76.7 %</w:t>
            </w:r>
          </w:p>
        </w:tc>
      </w:tr>
      <w:tr>
        <w:trPr>
          <w:trHeight w:val="230"/>
        </w:trPr>
        <w:tc>
          <w:tcPr>
            <w:tcW w:w="308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Strategic partnerships and other</w:t>
            </w:r>
          </w:p>
        </w:tc>
        <w:tc>
          <w:tcPr>
            <w:tcW w:w="24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5,304</w:t>
            </w:r>
          </w:p>
        </w:tc>
        <w:tc>
          <w:tcPr>
            <w:tcW w:w="40" w:type="dxa"/>
            <w:vAlign w:val="bottom"/>
            <w:tcBorders>
              <w:bottom w:val="single" w:sz="8" w:color="auto"/>
            </w:tcBorders>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5,164</w:t>
            </w:r>
          </w:p>
        </w:tc>
        <w:tc>
          <w:tcPr>
            <w:tcW w:w="10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2.7 %</w:t>
            </w:r>
          </w:p>
        </w:tc>
        <w:tc>
          <w:tcPr>
            <w:tcW w:w="100" w:type="dxa"/>
            <w:vAlign w:val="bottom"/>
            <w:tcBorders>
              <w:bottom w:val="single" w:sz="8" w:color="CCEEFF"/>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18,454</w:t>
            </w:r>
          </w:p>
        </w:tc>
        <w:tc>
          <w:tcPr>
            <w:tcW w:w="10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6,453</w:t>
            </w:r>
          </w:p>
        </w:tc>
        <w:tc>
          <w:tcPr>
            <w:tcW w:w="10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186.0 %</w:t>
            </w:r>
          </w:p>
        </w:tc>
      </w:tr>
      <w:tr>
        <w:trPr>
          <w:trHeight w:val="248"/>
        </w:trPr>
        <w:tc>
          <w:tcPr>
            <w:tcW w:w="308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Total revenues</w:t>
            </w: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102,073</w:t>
            </w:r>
          </w:p>
        </w:tc>
        <w:tc>
          <w:tcPr>
            <w:tcW w:w="40" w:type="dxa"/>
            <w:vAlign w:val="bottom"/>
            <w:tcBorders>
              <w:bottom w:val="single" w:sz="8" w:color="auto"/>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88,544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spacing w:after="0"/>
              <w:rPr>
                <w:sz w:val="21"/>
                <w:szCs w:val="21"/>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15.3 %</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295,646</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245,258</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20.5 %</w:t>
            </w:r>
          </w:p>
        </w:tc>
      </w:tr>
      <w:tr>
        <w:trPr>
          <w:trHeight w:val="20"/>
        </w:trPr>
        <w:tc>
          <w:tcPr>
            <w:tcW w:w="308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r>
    </w:tbl>
    <w:p>
      <w:pPr>
        <w:spacing w:after="0" w:line="296" w:lineRule="exact"/>
        <w:rPr>
          <w:sz w:val="20"/>
          <w:szCs w:val="20"/>
          <w:color w:val="auto"/>
        </w:rPr>
      </w:pPr>
    </w:p>
    <w:p>
      <w:pPr>
        <w:spacing w:after="0"/>
        <w:rPr>
          <w:sz w:val="20"/>
          <w:szCs w:val="20"/>
          <w:color w:val="auto"/>
        </w:rPr>
      </w:pPr>
      <w:r>
        <w:rPr>
          <w:rFonts w:ascii="Arial" w:cs="Arial" w:eastAsia="Arial" w:hAnsi="Arial"/>
          <w:sz w:val="18"/>
          <w:szCs w:val="18"/>
          <w:color w:val="auto"/>
        </w:rPr>
        <w:t>________________________________</w:t>
      </w:r>
    </w:p>
    <w:p>
      <w:pPr>
        <w:spacing w:after="0" w:line="117" w:lineRule="exact"/>
        <w:rPr>
          <w:sz w:val="20"/>
          <w:szCs w:val="20"/>
          <w:color w:val="auto"/>
        </w:rPr>
      </w:pPr>
    </w:p>
    <w:p>
      <w:pPr>
        <w:ind w:left="1060" w:hanging="485"/>
        <w:spacing w:after="0"/>
        <w:tabs>
          <w:tab w:leader="none" w:pos="1060" w:val="left"/>
        </w:tabs>
        <w:numPr>
          <w:ilvl w:val="0"/>
          <w:numId w:val="4"/>
        </w:numPr>
        <w:rPr>
          <w:rFonts w:ascii="Arial" w:cs="Arial" w:eastAsia="Arial" w:hAnsi="Arial"/>
          <w:sz w:val="17"/>
          <w:szCs w:val="17"/>
          <w:color w:val="auto"/>
        </w:rPr>
      </w:pPr>
      <w:r>
        <w:rPr>
          <w:rFonts w:ascii="Arial" w:cs="Arial" w:eastAsia="Arial" w:hAnsi="Arial"/>
          <w:sz w:val="17"/>
          <w:szCs w:val="17"/>
          <w:color w:val="auto"/>
        </w:rPr>
        <w:t>The Company reclassified rebates and allowances of $5.5 million and $13.8 million within each product category, which included</w:t>
      </w:r>
    </w:p>
    <w:p>
      <w:pPr>
        <w:spacing w:after="0" w:line="34" w:lineRule="exact"/>
        <w:rPr>
          <w:rFonts w:ascii="Arial" w:cs="Arial" w:eastAsia="Arial" w:hAnsi="Arial"/>
          <w:sz w:val="17"/>
          <w:szCs w:val="17"/>
          <w:color w:val="auto"/>
        </w:rPr>
      </w:pPr>
    </w:p>
    <w:p>
      <w:pPr>
        <w:ind w:left="1060"/>
        <w:spacing w:after="0" w:line="260" w:lineRule="auto"/>
        <w:rPr>
          <w:rFonts w:ascii="Arial" w:cs="Arial" w:eastAsia="Arial" w:hAnsi="Arial"/>
          <w:sz w:val="17"/>
          <w:szCs w:val="17"/>
          <w:color w:val="auto"/>
        </w:rPr>
      </w:pPr>
      <w:r>
        <w:rPr>
          <w:rFonts w:ascii="Arial" w:cs="Arial" w:eastAsia="Arial" w:hAnsi="Arial"/>
          <w:sz w:val="18"/>
          <w:szCs w:val="18"/>
          <w:color w:val="auto"/>
        </w:rPr>
        <w:t>$5.1 million and $12.6 million for DEFINITY, $0.3 million and $0.9 million for TechneLite and $0.1 million and $0.2 million for other precision diagnostics, for the three and nine months ended September 30, 2020, respectively.</w:t>
      </w:r>
    </w:p>
    <w:p>
      <w:pPr>
        <w:spacing w:after="0" w:line="185" w:lineRule="exact"/>
        <w:rPr>
          <w:sz w:val="20"/>
          <w:szCs w:val="20"/>
          <w:color w:val="auto"/>
        </w:rPr>
      </w:pPr>
    </w:p>
    <w:p>
      <w:pPr>
        <w:jc w:val="center"/>
        <w:ind w:right="-439"/>
        <w:spacing w:after="0"/>
        <w:rPr>
          <w:sz w:val="20"/>
          <w:szCs w:val="20"/>
          <w:color w:val="auto"/>
        </w:rPr>
      </w:pPr>
      <w:r>
        <w:rPr>
          <w:rFonts w:ascii="Arial" w:cs="Arial" w:eastAsia="Arial" w:hAnsi="Arial"/>
          <w:sz w:val="18"/>
          <w:szCs w:val="18"/>
          <w:color w:val="auto"/>
        </w:rPr>
        <w:t>Page 5 of 9</w:t>
      </w:r>
    </w:p>
    <w:p>
      <w:pPr>
        <w:sectPr>
          <w:pgSz w:w="11900" w:h="16838" w:orient="portrait"/>
          <w:cols w:equalWidth="0" w:num="1">
            <w:col w:w="10800"/>
          </w:cols>
          <w:pgMar w:left="320" w:top="715" w:right="779" w:bottom="1440" w:gutter="0" w:footer="0" w:header="0"/>
        </w:sectPr>
      </w:pPr>
    </w:p>
    <w:bookmarkStart w:id="8" w:name="page9"/>
    <w:bookmarkEnd w:id="8"/>
    <w:p>
      <w:pPr>
        <w:jc w:val="center"/>
        <w:ind w:right="-23"/>
        <w:spacing w:after="0"/>
        <w:rPr>
          <w:sz w:val="20"/>
          <w:szCs w:val="20"/>
          <w:color w:val="auto"/>
        </w:rPr>
      </w:pPr>
      <w:r>
        <w:rPr>
          <w:rFonts w:ascii="Arial" w:cs="Arial" w:eastAsia="Arial" w:hAnsi="Arial"/>
          <w:sz w:val="18"/>
          <w:szCs w:val="18"/>
          <w:b w:val="1"/>
          <w:bCs w:val="1"/>
          <w:color w:val="auto"/>
        </w:rPr>
        <w:t>Lantheus Holdings, Inc.</w:t>
      </w:r>
    </w:p>
    <w:p>
      <w:pPr>
        <w:spacing w:after="0" w:line="63" w:lineRule="exact"/>
        <w:rPr>
          <w:sz w:val="20"/>
          <w:szCs w:val="20"/>
          <w:color w:val="auto"/>
        </w:rPr>
      </w:pPr>
    </w:p>
    <w:p>
      <w:pPr>
        <w:jc w:val="center"/>
        <w:ind w:right="-23"/>
        <w:spacing w:after="0"/>
        <w:rPr>
          <w:sz w:val="20"/>
          <w:szCs w:val="20"/>
          <w:color w:val="auto"/>
        </w:rPr>
      </w:pPr>
      <w:r>
        <w:rPr>
          <w:rFonts w:ascii="Arial" w:cs="Arial" w:eastAsia="Arial" w:hAnsi="Arial"/>
          <w:sz w:val="18"/>
          <w:szCs w:val="18"/>
          <w:b w:val="1"/>
          <w:bCs w:val="1"/>
          <w:color w:val="auto"/>
        </w:rPr>
        <w:t>Reconciliation of GAAP to Non-GAAP Financial Measures</w:t>
      </w:r>
    </w:p>
    <w:p>
      <w:pPr>
        <w:spacing w:after="0" w:line="67" w:lineRule="exact"/>
        <w:rPr>
          <w:sz w:val="20"/>
          <w:szCs w:val="20"/>
          <w:color w:val="auto"/>
        </w:rPr>
      </w:pPr>
    </w:p>
    <w:p>
      <w:pPr>
        <w:jc w:val="center"/>
        <w:ind w:right="-23"/>
        <w:spacing w:after="0"/>
        <w:rPr>
          <w:sz w:val="20"/>
          <w:szCs w:val="20"/>
          <w:color w:val="auto"/>
        </w:rPr>
      </w:pPr>
      <w:r>
        <w:rPr>
          <w:rFonts w:ascii="Arial" w:cs="Arial" w:eastAsia="Arial" w:hAnsi="Arial"/>
          <w:sz w:val="18"/>
          <w:szCs w:val="18"/>
          <w:color w:val="auto"/>
        </w:rPr>
        <w:t>(in thousands, except per share data – unaudited)</w:t>
      </w:r>
    </w:p>
    <w:p>
      <w:pPr>
        <w:spacing w:after="0" w:line="240" w:lineRule="exact"/>
        <w:rPr>
          <w:sz w:val="20"/>
          <w:szCs w:val="20"/>
          <w:color w:val="auto"/>
        </w:rPr>
      </w:pPr>
    </w:p>
    <w:tbl>
      <w:tblPr>
        <w:tblLayout w:type="fixed"/>
        <w:tblInd w:w="44" w:type="dxa"/>
        <w:tblCellMar>
          <w:top w:w="0" w:type="dxa"/>
          <w:left w:w="0" w:type="dxa"/>
          <w:bottom w:w="0" w:type="dxa"/>
          <w:right w:w="0" w:type="dxa"/>
        </w:tblCellMar>
      </w:tblPr>
      <w:tr>
        <w:trPr>
          <w:trHeight w:val="161"/>
        </w:trPr>
        <w:tc>
          <w:tcPr>
            <w:tcW w:w="60" w:type="dxa"/>
            <w:vAlign w:val="bottom"/>
          </w:tcPr>
          <w:p>
            <w:pPr>
              <w:spacing w:after="0"/>
              <w:rPr>
                <w:sz w:val="14"/>
                <w:szCs w:val="14"/>
                <w:color w:val="auto"/>
              </w:rPr>
            </w:pPr>
          </w:p>
        </w:tc>
        <w:tc>
          <w:tcPr>
            <w:tcW w:w="43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300" w:type="dxa"/>
            <w:vAlign w:val="bottom"/>
            <w:gridSpan w:val="8"/>
          </w:tcPr>
          <w:p>
            <w:pPr>
              <w:jc w:val="right"/>
              <w:ind w:right="800"/>
              <w:spacing w:after="0"/>
              <w:rPr>
                <w:sz w:val="20"/>
                <w:szCs w:val="20"/>
                <w:color w:val="auto"/>
              </w:rPr>
            </w:pPr>
            <w:r>
              <w:rPr>
                <w:rFonts w:ascii="Arial" w:cs="Arial" w:eastAsia="Arial" w:hAnsi="Arial"/>
                <w:sz w:val="14"/>
                <w:szCs w:val="14"/>
                <w:b w:val="1"/>
                <w:bCs w:val="1"/>
                <w:color w:val="auto"/>
              </w:rPr>
              <w:t>Three Months Ended</w:t>
            </w: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300" w:type="dxa"/>
            <w:vAlign w:val="bottom"/>
            <w:gridSpan w:val="7"/>
          </w:tcPr>
          <w:p>
            <w:pPr>
              <w:jc w:val="right"/>
              <w:ind w:right="780"/>
              <w:spacing w:after="0"/>
              <w:rPr>
                <w:sz w:val="20"/>
                <w:szCs w:val="20"/>
                <w:color w:val="auto"/>
              </w:rPr>
            </w:pPr>
            <w:r>
              <w:rPr>
                <w:rFonts w:ascii="Arial" w:cs="Arial" w:eastAsia="Arial" w:hAnsi="Arial"/>
                <w:sz w:val="14"/>
                <w:szCs w:val="14"/>
                <w:b w:val="1"/>
                <w:bCs w:val="1"/>
                <w:color w:val="auto"/>
              </w:rPr>
              <w:t>Nine Months Ended</w:t>
            </w:r>
          </w:p>
        </w:tc>
        <w:tc>
          <w:tcPr>
            <w:tcW w:w="0" w:type="dxa"/>
            <w:vAlign w:val="bottom"/>
          </w:tcPr>
          <w:p>
            <w:pPr>
              <w:spacing w:after="0"/>
              <w:rPr>
                <w:sz w:val="1"/>
                <w:szCs w:val="1"/>
                <w:color w:val="auto"/>
              </w:rPr>
            </w:pPr>
          </w:p>
        </w:tc>
      </w:tr>
      <w:tr>
        <w:trPr>
          <w:trHeight w:val="188"/>
        </w:trPr>
        <w:tc>
          <w:tcPr>
            <w:tcW w:w="60" w:type="dxa"/>
            <w:vAlign w:val="bottom"/>
          </w:tcPr>
          <w:p>
            <w:pPr>
              <w:spacing w:after="0"/>
              <w:rPr>
                <w:sz w:val="16"/>
                <w:szCs w:val="16"/>
                <w:color w:val="auto"/>
              </w:rPr>
            </w:pPr>
          </w:p>
        </w:tc>
        <w:tc>
          <w:tcPr>
            <w:tcW w:w="436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gridSpan w:val="6"/>
          </w:tcPr>
          <w:p>
            <w:pPr>
              <w:jc w:val="right"/>
              <w:spacing w:after="0"/>
              <w:rPr>
                <w:sz w:val="20"/>
                <w:szCs w:val="20"/>
                <w:color w:val="auto"/>
              </w:rPr>
            </w:pPr>
            <w:r>
              <w:rPr>
                <w:rFonts w:ascii="Arial" w:cs="Arial" w:eastAsia="Arial" w:hAnsi="Arial"/>
                <w:sz w:val="14"/>
                <w:szCs w:val="14"/>
                <w:b w:val="1"/>
                <w:bCs w:val="1"/>
                <w:color w:val="auto"/>
              </w:rPr>
              <w:t>September 30,</w:t>
            </w:r>
          </w:p>
        </w:tc>
        <w:tc>
          <w:tcPr>
            <w:tcW w:w="8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400" w:type="dxa"/>
            <w:vAlign w:val="bottom"/>
            <w:tcBorders>
              <w:bottom w:val="single" w:sz="8" w:color="auto"/>
            </w:tcBorders>
            <w:gridSpan w:val="5"/>
          </w:tcPr>
          <w:p>
            <w:pPr>
              <w:jc w:val="right"/>
              <w:spacing w:after="0"/>
              <w:rPr>
                <w:sz w:val="20"/>
                <w:szCs w:val="20"/>
                <w:color w:val="auto"/>
              </w:rPr>
            </w:pPr>
            <w:r>
              <w:rPr>
                <w:rFonts w:ascii="Arial" w:cs="Arial" w:eastAsia="Arial" w:hAnsi="Arial"/>
                <w:sz w:val="14"/>
                <w:szCs w:val="14"/>
                <w:b w:val="1"/>
                <w:bCs w:val="1"/>
                <w:color w:val="auto"/>
              </w:rPr>
              <w:t>September 30,</w:t>
            </w:r>
          </w:p>
        </w:tc>
        <w:tc>
          <w:tcPr>
            <w:tcW w:w="860" w:type="dxa"/>
            <w:vAlign w:val="bottom"/>
            <w:tcBorders>
              <w:bottom w:val="single" w:sz="8" w:color="auto"/>
            </w:tcBorders>
          </w:tcPr>
          <w:p>
            <w:pPr>
              <w:spacing w:after="0"/>
              <w:rPr>
                <w:sz w:val="16"/>
                <w:szCs w:val="16"/>
                <w:color w:val="auto"/>
              </w:rPr>
            </w:pP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3"/>
        </w:trPr>
        <w:tc>
          <w:tcPr>
            <w:tcW w:w="60" w:type="dxa"/>
            <w:vAlign w:val="bottom"/>
          </w:tcPr>
          <w:p>
            <w:pPr>
              <w:spacing w:after="0"/>
              <w:rPr>
                <w:sz w:val="15"/>
                <w:szCs w:val="15"/>
                <w:color w:val="auto"/>
              </w:rPr>
            </w:pPr>
          </w:p>
        </w:tc>
        <w:tc>
          <w:tcPr>
            <w:tcW w:w="4360" w:type="dxa"/>
            <w:vAlign w:val="bottom"/>
            <w:tcBorders>
              <w:bottom w:val="single" w:sz="8" w:color="CCEEFF"/>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tcPr>
          <w:p>
            <w:pPr>
              <w:jc w:val="right"/>
              <w:ind w:right="253"/>
              <w:spacing w:after="0"/>
              <w:rPr>
                <w:sz w:val="20"/>
                <w:szCs w:val="20"/>
                <w:color w:val="auto"/>
              </w:rPr>
            </w:pPr>
            <w:r>
              <w:rPr>
                <w:rFonts w:ascii="Arial" w:cs="Arial" w:eastAsia="Arial" w:hAnsi="Arial"/>
                <w:sz w:val="14"/>
                <w:szCs w:val="14"/>
                <w:b w:val="1"/>
                <w:bCs w:val="1"/>
                <w:color w:val="auto"/>
                <w:w w:val="96"/>
              </w:rPr>
              <w:t>2021</w:t>
            </w:r>
          </w:p>
        </w:tc>
        <w:tc>
          <w:tcPr>
            <w:tcW w:w="180" w:type="dxa"/>
            <w:vAlign w:val="bottom"/>
            <w:tcBorders>
              <w:bottom w:val="single" w:sz="8" w:color="auto"/>
            </w:tcBorders>
          </w:tcPr>
          <w:p>
            <w:pPr>
              <w:spacing w:after="0"/>
              <w:rPr>
                <w:sz w:val="15"/>
                <w:szCs w:val="15"/>
                <w:color w:val="auto"/>
              </w:rPr>
            </w:pPr>
          </w:p>
        </w:tc>
        <w:tc>
          <w:tcPr>
            <w:tcW w:w="8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right"/>
              <w:ind w:right="411"/>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jc w:val="right"/>
              <w:ind w:right="433"/>
              <w:spacing w:after="0"/>
              <w:rPr>
                <w:sz w:val="20"/>
                <w:szCs w:val="20"/>
                <w:color w:val="auto"/>
              </w:rPr>
            </w:pPr>
            <w:r>
              <w:rPr>
                <w:rFonts w:ascii="Arial" w:cs="Arial" w:eastAsia="Arial" w:hAnsi="Arial"/>
                <w:sz w:val="14"/>
                <w:szCs w:val="14"/>
                <w:b w:val="1"/>
                <w:bCs w:val="1"/>
                <w:color w:val="auto"/>
              </w:rPr>
              <w:t>2021</w:t>
            </w:r>
          </w:p>
        </w:tc>
        <w:tc>
          <w:tcPr>
            <w:tcW w:w="80" w:type="dxa"/>
            <w:vAlign w:val="bottom"/>
            <w:tcBorders>
              <w:bottom w:val="single" w:sz="8" w:color="CCEEFF"/>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ind w:right="431"/>
              <w:spacing w:after="0"/>
              <w:rPr>
                <w:sz w:val="20"/>
                <w:szCs w:val="20"/>
                <w:color w:val="auto"/>
              </w:rPr>
            </w:pPr>
            <w:r>
              <w:rPr>
                <w:rFonts w:ascii="Arial" w:cs="Arial" w:eastAsia="Arial" w:hAnsi="Arial"/>
                <w:sz w:val="14"/>
                <w:szCs w:val="14"/>
                <w:b w:val="1"/>
                <w:bCs w:val="1"/>
                <w:color w:val="auto"/>
              </w:rPr>
              <w:t>2020</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9"/>
        </w:trPr>
        <w:tc>
          <w:tcPr>
            <w:tcW w:w="60" w:type="dxa"/>
            <w:vAlign w:val="bottom"/>
          </w:tcPr>
          <w:p>
            <w:pPr>
              <w:spacing w:after="0"/>
              <w:rPr>
                <w:sz w:val="21"/>
                <w:szCs w:val="21"/>
                <w:color w:val="auto"/>
              </w:rPr>
            </w:pPr>
          </w:p>
        </w:tc>
        <w:tc>
          <w:tcPr>
            <w:tcW w:w="43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loss</w:t>
            </w:r>
          </w:p>
        </w:tc>
        <w:tc>
          <w:tcPr>
            <w:tcW w:w="30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40" w:type="dxa"/>
            <w:vAlign w:val="bottom"/>
            <w:tcBorders>
              <w:bottom w:val="single" w:sz="8" w:color="auto"/>
            </w:tcBorders>
            <w:shd w:val="clear" w:color="auto" w:fill="CCEEFF"/>
          </w:tcPr>
          <w:p>
            <w:pPr>
              <w:spacing w:after="0"/>
              <w:rPr>
                <w:sz w:val="21"/>
                <w:szCs w:val="21"/>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5"/>
              </w:rPr>
              <w:t>(13,415)</w:t>
            </w:r>
          </w:p>
        </w:tc>
        <w:tc>
          <w:tcPr>
            <w:tcW w:w="180" w:type="dxa"/>
            <w:vAlign w:val="bottom"/>
            <w:tcBorders>
              <w:bottom w:val="single" w:sz="8" w:color="auto"/>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0" w:type="dxa"/>
            <w:vAlign w:val="bottom"/>
            <w:tcBorders>
              <w:bottom w:val="single" w:sz="8" w:color="auto"/>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spacing w:after="0"/>
              <w:rPr>
                <w:sz w:val="21"/>
                <w:szCs w:val="21"/>
                <w:color w:val="auto"/>
              </w:rPr>
            </w:pPr>
          </w:p>
        </w:tc>
        <w:tc>
          <w:tcPr>
            <w:tcW w:w="840" w:type="dxa"/>
            <w:vAlign w:val="bottom"/>
            <w:tcBorders>
              <w:bottom w:val="single" w:sz="8" w:color="auto"/>
            </w:tcBorders>
            <w:shd w:val="clear" w:color="auto" w:fill="CCEEFF"/>
          </w:tcPr>
          <w:p>
            <w:pPr>
              <w:jc w:val="right"/>
              <w:ind w:right="91"/>
              <w:spacing w:after="0"/>
              <w:rPr>
                <w:sz w:val="20"/>
                <w:szCs w:val="20"/>
                <w:color w:val="auto"/>
              </w:rPr>
            </w:pPr>
            <w:r>
              <w:rPr>
                <w:rFonts w:ascii="Arial" w:cs="Arial" w:eastAsia="Arial" w:hAnsi="Arial"/>
                <w:sz w:val="18"/>
                <w:szCs w:val="18"/>
                <w:color w:val="auto"/>
              </w:rPr>
              <w:t>(6,386)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79"/>
              </w:rPr>
              <w:t>$</w:t>
            </w:r>
          </w:p>
        </w:tc>
        <w:tc>
          <w:tcPr>
            <w:tcW w:w="200" w:type="dxa"/>
            <w:vAlign w:val="bottom"/>
            <w:tcBorders>
              <w:bottom w:val="single" w:sz="8" w:color="auto"/>
            </w:tcBorders>
            <w:shd w:val="clear" w:color="auto" w:fill="CCEEFF"/>
          </w:tcPr>
          <w:p>
            <w:pPr>
              <w:spacing w:after="0"/>
              <w:rPr>
                <w:sz w:val="21"/>
                <w:szCs w:val="21"/>
                <w:color w:val="auto"/>
              </w:rPr>
            </w:pPr>
          </w:p>
        </w:tc>
        <w:tc>
          <w:tcPr>
            <w:tcW w:w="880" w:type="dxa"/>
            <w:vAlign w:val="bottom"/>
            <w:tcBorders>
              <w:bottom w:val="single" w:sz="8" w:color="auto"/>
            </w:tcBorders>
            <w:shd w:val="clear" w:color="auto" w:fill="CCEEFF"/>
          </w:tcPr>
          <w:p>
            <w:pPr>
              <w:jc w:val="right"/>
              <w:ind w:right="93"/>
              <w:spacing w:after="0"/>
              <w:rPr>
                <w:sz w:val="20"/>
                <w:szCs w:val="20"/>
                <w:color w:val="auto"/>
              </w:rPr>
            </w:pPr>
            <w:r>
              <w:rPr>
                <w:rFonts w:ascii="Arial" w:cs="Arial" w:eastAsia="Arial" w:hAnsi="Arial"/>
                <w:sz w:val="18"/>
                <w:szCs w:val="18"/>
                <w:color w:val="auto"/>
              </w:rPr>
              <w:t>(31,064)</w:t>
            </w:r>
          </w:p>
        </w:tc>
        <w:tc>
          <w:tcPr>
            <w:tcW w:w="8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gridSpan w:val="2"/>
            <w:shd w:val="clear" w:color="auto" w:fill="CCEEFF"/>
          </w:tcPr>
          <w:p>
            <w:pPr>
              <w:jc w:val="center"/>
              <w:ind w:right="40"/>
              <w:spacing w:after="0"/>
              <w:rPr>
                <w:sz w:val="20"/>
                <w:szCs w:val="20"/>
                <w:color w:val="auto"/>
              </w:rPr>
            </w:pPr>
            <w:r>
              <w:rPr>
                <w:rFonts w:ascii="Arial" w:cs="Arial" w:eastAsia="Arial" w:hAnsi="Arial"/>
                <w:sz w:val="18"/>
                <w:szCs w:val="18"/>
                <w:color w:val="auto"/>
                <w:w w:val="79"/>
              </w:rPr>
              <w:t>$</w:t>
            </w:r>
          </w:p>
        </w:tc>
        <w:tc>
          <w:tcPr>
            <w:tcW w:w="280" w:type="dxa"/>
            <w:vAlign w:val="bottom"/>
            <w:tcBorders>
              <w:bottom w:val="single" w:sz="8" w:color="auto"/>
            </w:tcBorders>
            <w:shd w:val="clear" w:color="auto" w:fill="CCEEFF"/>
          </w:tcPr>
          <w:p>
            <w:pPr>
              <w:spacing w:after="0"/>
              <w:rPr>
                <w:sz w:val="21"/>
                <w:szCs w:val="21"/>
                <w:color w:val="auto"/>
              </w:rPr>
            </w:pPr>
          </w:p>
        </w:tc>
        <w:tc>
          <w:tcPr>
            <w:tcW w:w="860" w:type="dxa"/>
            <w:vAlign w:val="bottom"/>
            <w:tcBorders>
              <w:bottom w:val="single" w:sz="8" w:color="auto"/>
            </w:tcBorders>
            <w:shd w:val="clear" w:color="auto" w:fill="CCEEFF"/>
          </w:tcPr>
          <w:p>
            <w:pPr>
              <w:jc w:val="right"/>
              <w:ind w:right="111"/>
              <w:spacing w:after="0"/>
              <w:rPr>
                <w:sz w:val="20"/>
                <w:szCs w:val="20"/>
                <w:color w:val="auto"/>
              </w:rPr>
            </w:pPr>
            <w:r>
              <w:rPr>
                <w:rFonts w:ascii="Arial" w:cs="Arial" w:eastAsia="Arial" w:hAnsi="Arial"/>
                <w:sz w:val="18"/>
                <w:szCs w:val="18"/>
                <w:color w:val="auto"/>
                <w:w w:val="95"/>
              </w:rPr>
              <w:t>(10,061)</w:t>
            </w: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60" w:type="dxa"/>
            <w:vAlign w:val="bottom"/>
          </w:tcPr>
          <w:p>
            <w:pPr>
              <w:spacing w:after="0" w:line="20" w:lineRule="exact"/>
              <w:rPr>
                <w:sz w:val="1"/>
                <w:szCs w:val="1"/>
                <w:color w:val="auto"/>
              </w:rPr>
            </w:pPr>
          </w:p>
        </w:tc>
        <w:tc>
          <w:tcPr>
            <w:tcW w:w="4360" w:type="dxa"/>
            <w:vAlign w:val="bottom"/>
            <w:tcBorders>
              <w:top w:val="single" w:sz="8" w:color="CCEEFF"/>
              <w:bottom w:val="single" w:sz="8" w:color="CCEEFF"/>
            </w:tcBorders>
            <w:vMerge w:val="restart"/>
          </w:tcPr>
          <w:p>
            <w:pPr>
              <w:ind w:left="200"/>
              <w:spacing w:after="0"/>
              <w:rPr>
                <w:sz w:val="20"/>
                <w:szCs w:val="20"/>
                <w:color w:val="auto"/>
              </w:rPr>
            </w:pPr>
            <w:r>
              <w:rPr>
                <w:rFonts w:ascii="Arial" w:cs="Arial" w:eastAsia="Arial" w:hAnsi="Arial"/>
                <w:sz w:val="18"/>
                <w:szCs w:val="18"/>
                <w:color w:val="auto"/>
              </w:rPr>
              <w:t>Stock and incentive plan compensation</w:t>
            </w: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660" w:type="dxa"/>
            <w:vAlign w:val="bottom"/>
            <w:tcBorders>
              <w:top w:val="single" w:sz="8" w:color="CCEEFF"/>
              <w:bottom w:val="single" w:sz="8" w:color="auto"/>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4"/>
        </w:trPr>
        <w:tc>
          <w:tcPr>
            <w:tcW w:w="60" w:type="dxa"/>
            <w:vAlign w:val="bottom"/>
          </w:tcPr>
          <w:p>
            <w:pPr>
              <w:spacing w:after="0"/>
              <w:rPr>
                <w:sz w:val="17"/>
                <w:szCs w:val="17"/>
                <w:color w:val="auto"/>
              </w:rPr>
            </w:pPr>
          </w:p>
        </w:tc>
        <w:tc>
          <w:tcPr>
            <w:tcW w:w="4360" w:type="dxa"/>
            <w:vAlign w:val="bottom"/>
            <w:vMerge w:val="continue"/>
          </w:tcPr>
          <w:p>
            <w:pPr>
              <w:spacing w:after="0"/>
              <w:rPr>
                <w:sz w:val="17"/>
                <w:szCs w:val="17"/>
                <w:color w:val="auto"/>
              </w:rPr>
            </w:pPr>
          </w:p>
        </w:tc>
        <w:tc>
          <w:tcPr>
            <w:tcW w:w="3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60" w:type="dxa"/>
            <w:vAlign w:val="bottom"/>
          </w:tcPr>
          <w:p>
            <w:pPr>
              <w:jc w:val="right"/>
              <w:spacing w:after="0" w:line="203" w:lineRule="exact"/>
              <w:rPr>
                <w:sz w:val="20"/>
                <w:szCs w:val="20"/>
                <w:color w:val="auto"/>
              </w:rPr>
            </w:pPr>
            <w:r>
              <w:rPr>
                <w:rFonts w:ascii="Arial" w:cs="Arial" w:eastAsia="Arial" w:hAnsi="Arial"/>
                <w:sz w:val="18"/>
                <w:szCs w:val="18"/>
                <w:color w:val="auto"/>
              </w:rPr>
              <w:t>3,867</w:t>
            </w: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40" w:type="dxa"/>
            <w:vAlign w:val="bottom"/>
          </w:tcPr>
          <w:p>
            <w:pPr>
              <w:jc w:val="right"/>
              <w:ind w:right="151"/>
              <w:spacing w:after="0" w:line="203" w:lineRule="exact"/>
              <w:rPr>
                <w:sz w:val="20"/>
                <w:szCs w:val="20"/>
                <w:color w:val="auto"/>
              </w:rPr>
            </w:pPr>
            <w:r>
              <w:rPr>
                <w:rFonts w:ascii="Arial" w:cs="Arial" w:eastAsia="Arial" w:hAnsi="Arial"/>
                <w:sz w:val="18"/>
                <w:szCs w:val="18"/>
                <w:color w:val="auto"/>
              </w:rPr>
              <w:t>3,992</w:t>
            </w: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80" w:type="dxa"/>
            <w:vAlign w:val="bottom"/>
          </w:tcPr>
          <w:p>
            <w:pPr>
              <w:jc w:val="right"/>
              <w:ind w:right="153"/>
              <w:spacing w:after="0" w:line="203" w:lineRule="exact"/>
              <w:rPr>
                <w:sz w:val="20"/>
                <w:szCs w:val="20"/>
                <w:color w:val="auto"/>
              </w:rPr>
            </w:pPr>
            <w:r>
              <w:rPr>
                <w:rFonts w:ascii="Arial" w:cs="Arial" w:eastAsia="Arial" w:hAnsi="Arial"/>
                <w:sz w:val="18"/>
                <w:szCs w:val="18"/>
                <w:color w:val="auto"/>
              </w:rPr>
              <w:t>11,772</w:t>
            </w: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60" w:type="dxa"/>
            <w:vAlign w:val="bottom"/>
          </w:tcPr>
          <w:p>
            <w:pPr>
              <w:jc w:val="right"/>
              <w:ind w:right="151"/>
              <w:spacing w:after="0" w:line="203" w:lineRule="exact"/>
              <w:rPr>
                <w:sz w:val="20"/>
                <w:szCs w:val="20"/>
                <w:color w:val="auto"/>
              </w:rPr>
            </w:pPr>
            <w:r>
              <w:rPr>
                <w:rFonts w:ascii="Arial" w:cs="Arial" w:eastAsia="Arial" w:hAnsi="Arial"/>
                <w:sz w:val="18"/>
                <w:szCs w:val="18"/>
                <w:color w:val="auto"/>
              </w:rPr>
              <w:t>10,452</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9"/>
        </w:trPr>
        <w:tc>
          <w:tcPr>
            <w:tcW w:w="60" w:type="dxa"/>
            <w:vAlign w:val="bottom"/>
          </w:tcPr>
          <w:p>
            <w:pPr>
              <w:spacing w:after="0"/>
              <w:rPr>
                <w:sz w:val="19"/>
                <w:szCs w:val="19"/>
                <w:color w:val="auto"/>
              </w:rPr>
            </w:pPr>
          </w:p>
        </w:tc>
        <w:tc>
          <w:tcPr>
            <w:tcW w:w="43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Amortization of acquired intangible assets</w:t>
            </w:r>
          </w:p>
        </w:tc>
        <w:tc>
          <w:tcPr>
            <w:tcW w:w="3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8,374</w:t>
            </w:r>
          </w:p>
        </w:tc>
        <w:tc>
          <w:tcPr>
            <w:tcW w:w="1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40" w:type="dxa"/>
            <w:vAlign w:val="bottom"/>
            <w:shd w:val="clear" w:color="auto" w:fill="CCEEFF"/>
          </w:tcPr>
          <w:p>
            <w:pPr>
              <w:jc w:val="right"/>
              <w:ind w:right="151"/>
              <w:spacing w:after="0"/>
              <w:rPr>
                <w:sz w:val="20"/>
                <w:szCs w:val="20"/>
                <w:color w:val="auto"/>
              </w:rPr>
            </w:pPr>
            <w:r>
              <w:rPr>
                <w:rFonts w:ascii="Arial" w:cs="Arial" w:eastAsia="Arial" w:hAnsi="Arial"/>
                <w:sz w:val="18"/>
                <w:szCs w:val="18"/>
                <w:color w:val="auto"/>
              </w:rPr>
              <w:t>4,768</w:t>
            </w:r>
          </w:p>
        </w:tc>
        <w:tc>
          <w:tcPr>
            <w:tcW w:w="10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880" w:type="dxa"/>
            <w:vAlign w:val="bottom"/>
            <w:shd w:val="clear" w:color="auto" w:fill="CCEEFF"/>
          </w:tcPr>
          <w:p>
            <w:pPr>
              <w:jc w:val="right"/>
              <w:ind w:right="153"/>
              <w:spacing w:after="0"/>
              <w:rPr>
                <w:sz w:val="20"/>
                <w:szCs w:val="20"/>
                <w:color w:val="auto"/>
              </w:rPr>
            </w:pPr>
            <w:r>
              <w:rPr>
                <w:rFonts w:ascii="Arial" w:cs="Arial" w:eastAsia="Arial" w:hAnsi="Arial"/>
                <w:sz w:val="18"/>
                <w:szCs w:val="18"/>
                <w:color w:val="auto"/>
              </w:rPr>
              <w:t>19,133</w:t>
            </w: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60" w:type="dxa"/>
            <w:vAlign w:val="bottom"/>
            <w:shd w:val="clear" w:color="auto" w:fill="CCEEFF"/>
          </w:tcPr>
          <w:p>
            <w:pPr>
              <w:jc w:val="right"/>
              <w:ind w:right="151"/>
              <w:spacing w:after="0"/>
              <w:rPr>
                <w:sz w:val="20"/>
                <w:szCs w:val="20"/>
                <w:color w:val="auto"/>
              </w:rPr>
            </w:pPr>
            <w:r>
              <w:rPr>
                <w:rFonts w:ascii="Arial" w:cs="Arial" w:eastAsia="Arial" w:hAnsi="Arial"/>
                <w:sz w:val="18"/>
                <w:szCs w:val="18"/>
                <w:color w:val="auto"/>
              </w:rPr>
              <w:t>6,087</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0" w:type="dxa"/>
            <w:vAlign w:val="bottom"/>
          </w:tcPr>
          <w:p>
            <w:pPr>
              <w:spacing w:after="0"/>
              <w:rPr>
                <w:sz w:val="19"/>
                <w:szCs w:val="19"/>
                <w:color w:val="auto"/>
              </w:rPr>
            </w:pPr>
          </w:p>
        </w:tc>
        <w:tc>
          <w:tcPr>
            <w:tcW w:w="4360" w:type="dxa"/>
            <w:vAlign w:val="bottom"/>
          </w:tcPr>
          <w:p>
            <w:pPr>
              <w:ind w:left="200"/>
              <w:spacing w:after="0"/>
              <w:rPr>
                <w:sz w:val="20"/>
                <w:szCs w:val="20"/>
                <w:color w:val="auto"/>
              </w:rPr>
            </w:pPr>
            <w:r>
              <w:rPr>
                <w:rFonts w:ascii="Arial" w:cs="Arial" w:eastAsia="Arial" w:hAnsi="Arial"/>
                <w:sz w:val="18"/>
                <w:szCs w:val="18"/>
                <w:color w:val="auto"/>
              </w:rPr>
              <w:t>Acquired debt fair value adjustment</w:t>
            </w:r>
          </w:p>
        </w:tc>
        <w:tc>
          <w:tcPr>
            <w:tcW w:w="3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40" w:type="dxa"/>
            <w:vAlign w:val="bottom"/>
          </w:tcPr>
          <w:p>
            <w:pPr>
              <w:jc w:val="right"/>
              <w:ind w:right="91"/>
              <w:spacing w:after="0"/>
              <w:rPr>
                <w:sz w:val="20"/>
                <w:szCs w:val="20"/>
                <w:color w:val="auto"/>
              </w:rPr>
            </w:pPr>
            <w:r>
              <w:rPr>
                <w:rFonts w:ascii="Arial" w:cs="Arial" w:eastAsia="Arial" w:hAnsi="Arial"/>
                <w:sz w:val="18"/>
                <w:szCs w:val="18"/>
                <w:color w:val="auto"/>
              </w:rPr>
              <w:t>(385)</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80" w:type="dxa"/>
            <w:vAlign w:val="bottom"/>
          </w:tcPr>
          <w:p>
            <w:pPr>
              <w:jc w:val="right"/>
              <w:ind w:right="93"/>
              <w:spacing w:after="0"/>
              <w:rPr>
                <w:sz w:val="20"/>
                <w:szCs w:val="20"/>
                <w:color w:val="auto"/>
              </w:rPr>
            </w:pPr>
            <w:r>
              <w:rPr>
                <w:rFonts w:ascii="Arial" w:cs="Arial" w:eastAsia="Arial" w:hAnsi="Arial"/>
                <w:sz w:val="18"/>
                <w:szCs w:val="18"/>
                <w:color w:val="auto"/>
              </w:rPr>
              <w:t>(307)</w:t>
            </w: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60" w:type="dxa"/>
            <w:vAlign w:val="bottom"/>
          </w:tcPr>
          <w:p>
            <w:pPr>
              <w:jc w:val="right"/>
              <w:ind w:right="111"/>
              <w:spacing w:after="0"/>
              <w:rPr>
                <w:sz w:val="20"/>
                <w:szCs w:val="20"/>
                <w:color w:val="auto"/>
              </w:rPr>
            </w:pPr>
            <w:r>
              <w:rPr>
                <w:rFonts w:ascii="Arial" w:cs="Arial" w:eastAsia="Arial" w:hAnsi="Arial"/>
                <w:sz w:val="18"/>
                <w:szCs w:val="18"/>
                <w:color w:val="auto"/>
              </w:rPr>
              <w:t>(385)</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0" w:type="dxa"/>
            <w:vAlign w:val="bottom"/>
          </w:tcPr>
          <w:p>
            <w:pPr>
              <w:spacing w:after="0"/>
              <w:rPr>
                <w:sz w:val="19"/>
                <w:szCs w:val="19"/>
                <w:color w:val="auto"/>
              </w:rPr>
            </w:pPr>
          </w:p>
        </w:tc>
        <w:tc>
          <w:tcPr>
            <w:tcW w:w="43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Contingent consideration fair value adjustments</w:t>
            </w:r>
          </w:p>
        </w:tc>
        <w:tc>
          <w:tcPr>
            <w:tcW w:w="3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2,600</w:t>
            </w:r>
          </w:p>
        </w:tc>
        <w:tc>
          <w:tcPr>
            <w:tcW w:w="1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4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800</w:t>
            </w:r>
          </w:p>
        </w:tc>
        <w:tc>
          <w:tcPr>
            <w:tcW w:w="10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880" w:type="dxa"/>
            <w:vAlign w:val="bottom"/>
            <w:shd w:val="clear" w:color="auto" w:fill="CCEEFF"/>
          </w:tcPr>
          <w:p>
            <w:pPr>
              <w:jc w:val="right"/>
              <w:ind w:right="153"/>
              <w:spacing w:after="0"/>
              <w:rPr>
                <w:sz w:val="20"/>
                <w:szCs w:val="20"/>
                <w:color w:val="auto"/>
              </w:rPr>
            </w:pPr>
            <w:r>
              <w:rPr>
                <w:rFonts w:ascii="Arial" w:cs="Arial" w:eastAsia="Arial" w:hAnsi="Arial"/>
                <w:sz w:val="18"/>
                <w:szCs w:val="18"/>
                <w:color w:val="auto"/>
              </w:rPr>
              <w:t>28,500</w:t>
            </w: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60" w:type="dxa"/>
            <w:vAlign w:val="bottom"/>
            <w:shd w:val="clear" w:color="auto" w:fill="CCEEFF"/>
          </w:tcPr>
          <w:p>
            <w:pPr>
              <w:jc w:val="right"/>
              <w:ind w:right="151"/>
              <w:spacing w:after="0"/>
              <w:rPr>
                <w:sz w:val="20"/>
                <w:szCs w:val="20"/>
                <w:color w:val="auto"/>
              </w:rPr>
            </w:pPr>
            <w:r>
              <w:rPr>
                <w:rFonts w:ascii="Arial" w:cs="Arial" w:eastAsia="Arial" w:hAnsi="Arial"/>
                <w:sz w:val="18"/>
                <w:szCs w:val="18"/>
                <w:color w:val="auto"/>
              </w:rPr>
              <w:t>800</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0" w:type="dxa"/>
            <w:vAlign w:val="bottom"/>
          </w:tcPr>
          <w:p>
            <w:pPr>
              <w:spacing w:after="0"/>
              <w:rPr>
                <w:sz w:val="19"/>
                <w:szCs w:val="19"/>
                <w:color w:val="auto"/>
              </w:rPr>
            </w:pPr>
          </w:p>
        </w:tc>
        <w:tc>
          <w:tcPr>
            <w:tcW w:w="4360" w:type="dxa"/>
            <w:vAlign w:val="bottom"/>
          </w:tcPr>
          <w:p>
            <w:pPr>
              <w:ind w:left="200"/>
              <w:spacing w:after="0"/>
              <w:rPr>
                <w:sz w:val="20"/>
                <w:szCs w:val="20"/>
                <w:color w:val="auto"/>
              </w:rPr>
            </w:pPr>
            <w:r>
              <w:rPr>
                <w:rFonts w:ascii="Arial" w:cs="Arial" w:eastAsia="Arial" w:hAnsi="Arial"/>
                <w:sz w:val="18"/>
                <w:szCs w:val="18"/>
                <w:color w:val="auto"/>
              </w:rPr>
              <w:t>Non-recurring refinancing related fees</w:t>
            </w:r>
          </w:p>
        </w:tc>
        <w:tc>
          <w:tcPr>
            <w:tcW w:w="3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4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6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60" w:type="dxa"/>
            <w:vAlign w:val="bottom"/>
          </w:tcPr>
          <w:p>
            <w:pPr>
              <w:jc w:val="right"/>
              <w:ind w:right="151"/>
              <w:spacing w:after="0"/>
              <w:rPr>
                <w:sz w:val="20"/>
                <w:szCs w:val="20"/>
                <w:color w:val="auto"/>
              </w:rPr>
            </w:pPr>
            <w:r>
              <w:rPr>
                <w:rFonts w:ascii="Arial" w:cs="Arial" w:eastAsia="Arial" w:hAnsi="Arial"/>
                <w:sz w:val="18"/>
                <w:szCs w:val="18"/>
                <w:color w:val="auto"/>
              </w:rPr>
              <w:t>460</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0" w:type="dxa"/>
            <w:vAlign w:val="bottom"/>
          </w:tcPr>
          <w:p>
            <w:pPr>
              <w:spacing w:after="0"/>
              <w:rPr>
                <w:sz w:val="19"/>
                <w:szCs w:val="19"/>
                <w:color w:val="auto"/>
              </w:rPr>
            </w:pPr>
          </w:p>
        </w:tc>
        <w:tc>
          <w:tcPr>
            <w:tcW w:w="43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Non-recurring severance related fees</w:t>
            </w:r>
          </w:p>
        </w:tc>
        <w:tc>
          <w:tcPr>
            <w:tcW w:w="3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1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880" w:type="dxa"/>
            <w:vAlign w:val="bottom"/>
            <w:shd w:val="clear" w:color="auto" w:fill="CCEEFF"/>
          </w:tcPr>
          <w:p>
            <w:pPr>
              <w:jc w:val="right"/>
              <w:ind w:right="153"/>
              <w:spacing w:after="0"/>
              <w:rPr>
                <w:sz w:val="20"/>
                <w:szCs w:val="20"/>
                <w:color w:val="auto"/>
              </w:rPr>
            </w:pPr>
            <w:r>
              <w:rPr>
                <w:rFonts w:ascii="Arial" w:cs="Arial" w:eastAsia="Arial" w:hAnsi="Arial"/>
                <w:sz w:val="18"/>
                <w:szCs w:val="18"/>
                <w:color w:val="auto"/>
              </w:rPr>
              <w:t>522</w:t>
            </w: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60" w:type="dxa"/>
            <w:vAlign w:val="bottom"/>
            <w:shd w:val="clear" w:color="auto" w:fill="CCEEFF"/>
          </w:tcPr>
          <w:p>
            <w:pPr>
              <w:jc w:val="right"/>
              <w:ind w:right="151"/>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0" w:type="dxa"/>
            <w:vAlign w:val="bottom"/>
          </w:tcPr>
          <w:p>
            <w:pPr>
              <w:spacing w:after="0"/>
              <w:rPr>
                <w:sz w:val="19"/>
                <w:szCs w:val="19"/>
                <w:color w:val="auto"/>
              </w:rPr>
            </w:pPr>
          </w:p>
        </w:tc>
        <w:tc>
          <w:tcPr>
            <w:tcW w:w="4360" w:type="dxa"/>
            <w:vAlign w:val="bottom"/>
          </w:tcPr>
          <w:p>
            <w:pPr>
              <w:ind w:left="200"/>
              <w:spacing w:after="0"/>
              <w:rPr>
                <w:sz w:val="20"/>
                <w:szCs w:val="20"/>
                <w:color w:val="auto"/>
              </w:rPr>
            </w:pPr>
            <w:r>
              <w:rPr>
                <w:rFonts w:ascii="Arial" w:cs="Arial" w:eastAsia="Arial" w:hAnsi="Arial"/>
                <w:sz w:val="18"/>
                <w:szCs w:val="18"/>
                <w:color w:val="auto"/>
              </w:rPr>
              <w:t>Extinguishment of debt</w:t>
            </w:r>
          </w:p>
        </w:tc>
        <w:tc>
          <w:tcPr>
            <w:tcW w:w="3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4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80" w:type="dxa"/>
            <w:vAlign w:val="bottom"/>
          </w:tcPr>
          <w:p>
            <w:pPr>
              <w:jc w:val="right"/>
              <w:ind w:right="93"/>
              <w:spacing w:after="0"/>
              <w:rPr>
                <w:sz w:val="20"/>
                <w:szCs w:val="20"/>
                <w:color w:val="auto"/>
              </w:rPr>
            </w:pPr>
            <w:r>
              <w:rPr>
                <w:rFonts w:ascii="Arial" w:cs="Arial" w:eastAsia="Arial" w:hAnsi="Arial"/>
                <w:sz w:val="18"/>
                <w:szCs w:val="18"/>
                <w:color w:val="auto"/>
              </w:rPr>
              <w:t>(889)</w:t>
            </w: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60" w:type="dxa"/>
            <w:vAlign w:val="bottom"/>
          </w:tcPr>
          <w:p>
            <w:pPr>
              <w:jc w:val="right"/>
              <w:ind w:right="151"/>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0" w:type="dxa"/>
            <w:vAlign w:val="bottom"/>
          </w:tcPr>
          <w:p>
            <w:pPr>
              <w:spacing w:after="0"/>
              <w:rPr>
                <w:sz w:val="19"/>
                <w:szCs w:val="19"/>
                <w:color w:val="auto"/>
              </w:rPr>
            </w:pPr>
          </w:p>
        </w:tc>
        <w:tc>
          <w:tcPr>
            <w:tcW w:w="43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Gain on sale of assets</w:t>
            </w:r>
          </w:p>
        </w:tc>
        <w:tc>
          <w:tcPr>
            <w:tcW w:w="3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880" w:type="dxa"/>
            <w:vAlign w:val="bottom"/>
            <w:shd w:val="clear" w:color="auto" w:fill="CCEEFF"/>
          </w:tcPr>
          <w:p>
            <w:pPr>
              <w:jc w:val="right"/>
              <w:ind w:right="93"/>
              <w:spacing w:after="0"/>
              <w:rPr>
                <w:sz w:val="20"/>
                <w:szCs w:val="20"/>
                <w:color w:val="auto"/>
              </w:rPr>
            </w:pPr>
            <w:r>
              <w:rPr>
                <w:rFonts w:ascii="Arial" w:cs="Arial" w:eastAsia="Arial" w:hAnsi="Arial"/>
                <w:sz w:val="18"/>
                <w:szCs w:val="18"/>
                <w:color w:val="auto"/>
              </w:rPr>
              <w:t>(15,263)</w:t>
            </w: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60" w:type="dxa"/>
            <w:vAlign w:val="bottom"/>
            <w:shd w:val="clear" w:color="auto" w:fill="CCEEFF"/>
          </w:tcPr>
          <w:p>
            <w:pPr>
              <w:jc w:val="right"/>
              <w:ind w:right="151"/>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0" w:type="dxa"/>
            <w:vAlign w:val="bottom"/>
          </w:tcPr>
          <w:p>
            <w:pPr>
              <w:spacing w:after="0"/>
              <w:rPr>
                <w:sz w:val="19"/>
                <w:szCs w:val="19"/>
                <w:color w:val="auto"/>
              </w:rPr>
            </w:pPr>
          </w:p>
        </w:tc>
        <w:tc>
          <w:tcPr>
            <w:tcW w:w="4360" w:type="dxa"/>
            <w:vAlign w:val="bottom"/>
          </w:tcPr>
          <w:p>
            <w:pPr>
              <w:ind w:left="200"/>
              <w:spacing w:after="0"/>
              <w:rPr>
                <w:sz w:val="20"/>
                <w:szCs w:val="20"/>
                <w:color w:val="auto"/>
              </w:rPr>
            </w:pPr>
            <w:r>
              <w:rPr>
                <w:rFonts w:ascii="Arial" w:cs="Arial" w:eastAsia="Arial" w:hAnsi="Arial"/>
                <w:sz w:val="18"/>
                <w:szCs w:val="18"/>
                <w:color w:val="auto"/>
              </w:rPr>
              <w:t>Integration costs</w:t>
            </w:r>
          </w:p>
        </w:tc>
        <w:tc>
          <w:tcPr>
            <w:tcW w:w="3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63</w:t>
            </w:r>
          </w:p>
        </w:tc>
        <w:tc>
          <w:tcPr>
            <w:tcW w:w="1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40" w:type="dxa"/>
            <w:vAlign w:val="bottom"/>
          </w:tcPr>
          <w:p>
            <w:pPr>
              <w:jc w:val="right"/>
              <w:ind w:right="131"/>
              <w:spacing w:after="0"/>
              <w:rPr>
                <w:sz w:val="20"/>
                <w:szCs w:val="20"/>
                <w:color w:val="auto"/>
              </w:rPr>
            </w:pPr>
            <w:r>
              <w:rPr>
                <w:rFonts w:ascii="Arial" w:cs="Arial" w:eastAsia="Arial" w:hAnsi="Arial"/>
                <w:sz w:val="18"/>
                <w:szCs w:val="18"/>
                <w:color w:val="auto"/>
              </w:rPr>
              <w:t>855</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80" w:type="dxa"/>
            <w:vAlign w:val="bottom"/>
          </w:tcPr>
          <w:p>
            <w:pPr>
              <w:jc w:val="right"/>
              <w:ind w:right="153"/>
              <w:spacing w:after="0"/>
              <w:rPr>
                <w:sz w:val="20"/>
                <w:szCs w:val="20"/>
                <w:color w:val="auto"/>
              </w:rPr>
            </w:pPr>
            <w:r>
              <w:rPr>
                <w:rFonts w:ascii="Arial" w:cs="Arial" w:eastAsia="Arial" w:hAnsi="Arial"/>
                <w:sz w:val="18"/>
                <w:szCs w:val="18"/>
                <w:color w:val="auto"/>
              </w:rPr>
              <w:t>93</w:t>
            </w: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60" w:type="dxa"/>
            <w:vAlign w:val="bottom"/>
          </w:tcPr>
          <w:p>
            <w:pPr>
              <w:jc w:val="right"/>
              <w:ind w:right="151"/>
              <w:spacing w:after="0"/>
              <w:rPr>
                <w:sz w:val="20"/>
                <w:szCs w:val="20"/>
                <w:color w:val="auto"/>
              </w:rPr>
            </w:pPr>
            <w:r>
              <w:rPr>
                <w:rFonts w:ascii="Arial" w:cs="Arial" w:eastAsia="Arial" w:hAnsi="Arial"/>
                <w:sz w:val="18"/>
                <w:szCs w:val="18"/>
                <w:color w:val="auto"/>
              </w:rPr>
              <w:t>4,428</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0" w:type="dxa"/>
            <w:vAlign w:val="bottom"/>
          </w:tcPr>
          <w:p>
            <w:pPr>
              <w:spacing w:after="0"/>
              <w:rPr>
                <w:sz w:val="19"/>
                <w:szCs w:val="19"/>
                <w:color w:val="auto"/>
              </w:rPr>
            </w:pPr>
          </w:p>
        </w:tc>
        <w:tc>
          <w:tcPr>
            <w:tcW w:w="43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Acquisition-related costs</w:t>
            </w:r>
          </w:p>
        </w:tc>
        <w:tc>
          <w:tcPr>
            <w:tcW w:w="3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w:t>
            </w:r>
          </w:p>
        </w:tc>
        <w:tc>
          <w:tcPr>
            <w:tcW w:w="1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40" w:type="dxa"/>
            <w:vAlign w:val="bottom"/>
            <w:shd w:val="clear" w:color="auto" w:fill="CCEEFF"/>
          </w:tcPr>
          <w:p>
            <w:pPr>
              <w:jc w:val="right"/>
              <w:ind w:right="151"/>
              <w:spacing w:after="0"/>
              <w:rPr>
                <w:sz w:val="20"/>
                <w:szCs w:val="20"/>
                <w:color w:val="auto"/>
              </w:rPr>
            </w:pPr>
            <w:r>
              <w:rPr>
                <w:rFonts w:ascii="Arial" w:cs="Arial" w:eastAsia="Arial" w:hAnsi="Arial"/>
                <w:sz w:val="18"/>
                <w:szCs w:val="18"/>
                <w:color w:val="auto"/>
              </w:rPr>
              <w:t>1,593</w:t>
            </w:r>
          </w:p>
        </w:tc>
        <w:tc>
          <w:tcPr>
            <w:tcW w:w="10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880" w:type="dxa"/>
            <w:vAlign w:val="bottom"/>
            <w:shd w:val="clear" w:color="auto" w:fill="CCEEFF"/>
          </w:tcPr>
          <w:p>
            <w:pPr>
              <w:jc w:val="right"/>
              <w:ind w:right="153"/>
              <w:spacing w:after="0"/>
              <w:rPr>
                <w:sz w:val="20"/>
                <w:szCs w:val="20"/>
                <w:color w:val="auto"/>
              </w:rPr>
            </w:pPr>
            <w:r>
              <w:rPr>
                <w:rFonts w:ascii="Arial" w:cs="Arial" w:eastAsia="Arial" w:hAnsi="Arial"/>
                <w:sz w:val="18"/>
                <w:szCs w:val="18"/>
                <w:color w:val="auto"/>
              </w:rPr>
              <w:t>726</w:t>
            </w: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60" w:type="dxa"/>
            <w:vAlign w:val="bottom"/>
            <w:shd w:val="clear" w:color="auto" w:fill="CCEEFF"/>
          </w:tcPr>
          <w:p>
            <w:pPr>
              <w:jc w:val="right"/>
              <w:ind w:right="151"/>
              <w:spacing w:after="0"/>
              <w:rPr>
                <w:sz w:val="20"/>
                <w:szCs w:val="20"/>
                <w:color w:val="auto"/>
              </w:rPr>
            </w:pPr>
            <w:r>
              <w:rPr>
                <w:rFonts w:ascii="Arial" w:cs="Arial" w:eastAsia="Arial" w:hAnsi="Arial"/>
                <w:sz w:val="18"/>
                <w:szCs w:val="18"/>
                <w:color w:val="auto"/>
              </w:rPr>
              <w:t>10,522</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0" w:type="dxa"/>
            <w:vAlign w:val="bottom"/>
          </w:tcPr>
          <w:p>
            <w:pPr>
              <w:spacing w:after="0"/>
              <w:rPr>
                <w:sz w:val="19"/>
                <w:szCs w:val="19"/>
                <w:color w:val="auto"/>
              </w:rPr>
            </w:pPr>
          </w:p>
        </w:tc>
        <w:tc>
          <w:tcPr>
            <w:tcW w:w="4360" w:type="dxa"/>
            <w:vAlign w:val="bottom"/>
          </w:tcPr>
          <w:p>
            <w:pPr>
              <w:ind w:left="200"/>
              <w:spacing w:after="0"/>
              <w:rPr>
                <w:sz w:val="20"/>
                <w:szCs w:val="20"/>
                <w:color w:val="auto"/>
              </w:rPr>
            </w:pPr>
            <w:r>
              <w:rPr>
                <w:rFonts w:ascii="Arial" w:cs="Arial" w:eastAsia="Arial" w:hAnsi="Arial"/>
                <w:sz w:val="18"/>
                <w:szCs w:val="18"/>
                <w:color w:val="auto"/>
              </w:rPr>
              <w:t>Impairment of long-lived assets</w:t>
            </w:r>
          </w:p>
        </w:tc>
        <w:tc>
          <w:tcPr>
            <w:tcW w:w="3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9,540</w:t>
            </w:r>
          </w:p>
        </w:tc>
        <w:tc>
          <w:tcPr>
            <w:tcW w:w="1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4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80" w:type="dxa"/>
            <w:vAlign w:val="bottom"/>
          </w:tcPr>
          <w:p>
            <w:pPr>
              <w:jc w:val="right"/>
              <w:ind w:right="153"/>
              <w:spacing w:after="0"/>
              <w:rPr>
                <w:sz w:val="20"/>
                <w:szCs w:val="20"/>
                <w:color w:val="auto"/>
              </w:rPr>
            </w:pPr>
            <w:r>
              <w:rPr>
                <w:rFonts w:ascii="Arial" w:cs="Arial" w:eastAsia="Arial" w:hAnsi="Arial"/>
                <w:sz w:val="18"/>
                <w:szCs w:val="18"/>
                <w:color w:val="auto"/>
              </w:rPr>
              <w:t>9,540</w:t>
            </w: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60" w:type="dxa"/>
            <w:vAlign w:val="bottom"/>
          </w:tcPr>
          <w:p>
            <w:pPr>
              <w:jc w:val="right"/>
              <w:ind w:right="151"/>
              <w:spacing w:after="0"/>
              <w:rPr>
                <w:sz w:val="20"/>
                <w:szCs w:val="20"/>
                <w:color w:val="auto"/>
              </w:rPr>
            </w:pPr>
            <w:r>
              <w:rPr>
                <w:rFonts w:ascii="Arial" w:cs="Arial" w:eastAsia="Arial" w:hAnsi="Arial"/>
                <w:sz w:val="18"/>
                <w:szCs w:val="18"/>
                <w:color w:val="auto"/>
              </w:rPr>
              <w:t>7,275</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0" w:type="dxa"/>
            <w:vAlign w:val="bottom"/>
          </w:tcPr>
          <w:p>
            <w:pPr>
              <w:spacing w:after="0"/>
              <w:rPr>
                <w:sz w:val="19"/>
                <w:szCs w:val="19"/>
                <w:color w:val="auto"/>
              </w:rPr>
            </w:pPr>
          </w:p>
        </w:tc>
        <w:tc>
          <w:tcPr>
            <w:tcW w:w="43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Other</w:t>
            </w:r>
          </w:p>
        </w:tc>
        <w:tc>
          <w:tcPr>
            <w:tcW w:w="3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1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880" w:type="dxa"/>
            <w:vAlign w:val="bottom"/>
            <w:shd w:val="clear" w:color="auto" w:fill="CCEEFF"/>
          </w:tcPr>
          <w:p>
            <w:pPr>
              <w:jc w:val="right"/>
              <w:ind w:right="153"/>
              <w:spacing w:after="0"/>
              <w:rPr>
                <w:sz w:val="20"/>
                <w:szCs w:val="20"/>
                <w:color w:val="auto"/>
              </w:rPr>
            </w:pPr>
            <w:r>
              <w:rPr>
                <w:rFonts w:ascii="Arial" w:cs="Arial" w:eastAsia="Arial" w:hAnsi="Arial"/>
                <w:sz w:val="18"/>
                <w:szCs w:val="18"/>
                <w:color w:val="auto"/>
              </w:rPr>
              <w:t>60</w:t>
            </w: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60" w:type="dxa"/>
            <w:vAlign w:val="bottom"/>
            <w:shd w:val="clear" w:color="auto" w:fill="CCEEFF"/>
          </w:tcPr>
          <w:p>
            <w:pPr>
              <w:jc w:val="right"/>
              <w:ind w:right="111"/>
              <w:spacing w:after="0"/>
              <w:rPr>
                <w:sz w:val="20"/>
                <w:szCs w:val="20"/>
                <w:color w:val="auto"/>
              </w:rPr>
            </w:pPr>
            <w:r>
              <w:rPr>
                <w:rFonts w:ascii="Arial" w:cs="Arial" w:eastAsia="Arial" w:hAnsi="Arial"/>
                <w:sz w:val="18"/>
                <w:szCs w:val="18"/>
                <w:color w:val="auto"/>
              </w:rPr>
              <w:t>(75)</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0" w:type="dxa"/>
            <w:vAlign w:val="bottom"/>
          </w:tcPr>
          <w:p>
            <w:pPr>
              <w:spacing w:after="0"/>
              <w:rPr>
                <w:sz w:val="19"/>
                <w:szCs w:val="19"/>
                <w:color w:val="auto"/>
              </w:rPr>
            </w:pPr>
          </w:p>
        </w:tc>
        <w:tc>
          <w:tcPr>
            <w:tcW w:w="4360" w:type="dxa"/>
            <w:vAlign w:val="bottom"/>
            <w:tcBorders>
              <w:bottom w:val="single" w:sz="8" w:color="CCEEFF"/>
            </w:tcBorders>
          </w:tcPr>
          <w:p>
            <w:pPr>
              <w:ind w:left="200"/>
              <w:spacing w:after="0" w:line="230" w:lineRule="exact"/>
              <w:rPr>
                <w:sz w:val="20"/>
                <w:szCs w:val="20"/>
                <w:color w:val="auto"/>
              </w:rPr>
            </w:pPr>
            <w:r>
              <w:rPr>
                <w:rFonts w:ascii="Arial" w:cs="Arial" w:eastAsia="Arial" w:hAnsi="Arial"/>
                <w:sz w:val="18"/>
                <w:szCs w:val="18"/>
                <w:color w:val="auto"/>
              </w:rPr>
              <w:t>Income tax effect of non-GAAP adjustments</w:t>
            </w:r>
            <w:r>
              <w:rPr>
                <w:rFonts w:ascii="Arial" w:cs="Arial" w:eastAsia="Arial" w:hAnsi="Arial"/>
                <w:sz w:val="23"/>
                <w:szCs w:val="23"/>
                <w:color w:val="auto"/>
                <w:vertAlign w:val="superscript"/>
              </w:rPr>
              <w:t>(a)</w:t>
            </w:r>
          </w:p>
        </w:tc>
        <w:tc>
          <w:tcPr>
            <w:tcW w:w="30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(5,411)</w:t>
            </w:r>
          </w:p>
        </w:tc>
        <w:tc>
          <w:tcPr>
            <w:tcW w:w="180" w:type="dxa"/>
            <w:vAlign w:val="bottom"/>
            <w:tcBorders>
              <w:bottom w:val="single" w:sz="8" w:color="auto"/>
            </w:tcBorders>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ind w:right="91"/>
              <w:spacing w:after="0"/>
              <w:rPr>
                <w:sz w:val="20"/>
                <w:szCs w:val="20"/>
                <w:color w:val="auto"/>
              </w:rPr>
            </w:pPr>
            <w:r>
              <w:rPr>
                <w:rFonts w:ascii="Arial" w:cs="Arial" w:eastAsia="Arial" w:hAnsi="Arial"/>
                <w:sz w:val="18"/>
                <w:szCs w:val="18"/>
                <w:color w:val="auto"/>
              </w:rPr>
              <w:t>(2,819)</w:t>
            </w:r>
          </w:p>
        </w:tc>
        <w:tc>
          <w:tcPr>
            <w:tcW w:w="100" w:type="dxa"/>
            <w:vAlign w:val="bottom"/>
            <w:tcBorders>
              <w:bottom w:val="single" w:sz="8" w:color="CCEEFF"/>
            </w:tcBorders>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ind w:right="93"/>
              <w:spacing w:after="0"/>
              <w:rPr>
                <w:sz w:val="20"/>
                <w:szCs w:val="20"/>
                <w:color w:val="auto"/>
              </w:rPr>
            </w:pPr>
            <w:r>
              <w:rPr>
                <w:rFonts w:ascii="Arial" w:cs="Arial" w:eastAsia="Arial" w:hAnsi="Arial"/>
                <w:sz w:val="18"/>
                <w:szCs w:val="18"/>
                <w:color w:val="auto"/>
              </w:rPr>
              <w:t>(6,059)</w:t>
            </w:r>
          </w:p>
        </w:tc>
        <w:tc>
          <w:tcPr>
            <w:tcW w:w="80" w:type="dxa"/>
            <w:vAlign w:val="bottom"/>
            <w:tcBorders>
              <w:bottom w:val="single" w:sz="8" w:color="CCEEFF"/>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ind w:right="111"/>
              <w:spacing w:after="0"/>
              <w:rPr>
                <w:sz w:val="20"/>
                <w:szCs w:val="20"/>
                <w:color w:val="auto"/>
              </w:rPr>
            </w:pPr>
            <w:r>
              <w:rPr>
                <w:rFonts w:ascii="Arial" w:cs="Arial" w:eastAsia="Arial" w:hAnsi="Arial"/>
                <w:sz w:val="18"/>
                <w:szCs w:val="18"/>
                <w:color w:val="auto"/>
              </w:rPr>
              <w:t>(8,265)</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0" w:type="dxa"/>
            <w:vAlign w:val="bottom"/>
          </w:tcPr>
          <w:p>
            <w:pPr>
              <w:spacing w:after="0"/>
              <w:rPr>
                <w:sz w:val="19"/>
                <w:szCs w:val="19"/>
                <w:color w:val="auto"/>
              </w:rPr>
            </w:pPr>
          </w:p>
        </w:tc>
        <w:tc>
          <w:tcPr>
            <w:tcW w:w="4360" w:type="dxa"/>
            <w:vAlign w:val="bottom"/>
            <w:shd w:val="clear" w:color="auto" w:fill="CCEEFF"/>
          </w:tcPr>
          <w:p>
            <w:pPr>
              <w:spacing w:after="0"/>
              <w:rPr>
                <w:sz w:val="20"/>
                <w:szCs w:val="20"/>
                <w:color w:val="auto"/>
              </w:rPr>
            </w:pPr>
            <w:r>
              <w:rPr>
                <w:rFonts w:ascii="Arial" w:cs="Arial" w:eastAsia="Arial" w:hAnsi="Arial"/>
                <w:sz w:val="18"/>
                <w:szCs w:val="18"/>
                <w:color w:val="auto"/>
              </w:rPr>
              <w:t>Adjusted net income</w:t>
            </w:r>
          </w:p>
        </w:tc>
        <w:tc>
          <w:tcPr>
            <w:tcW w:w="30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40" w:type="dxa"/>
            <w:vAlign w:val="bottom"/>
            <w:tcBorders>
              <w:bottom w:val="single" w:sz="8" w:color="auto"/>
            </w:tcBorders>
            <w:shd w:val="clear" w:color="auto" w:fill="CCEEFF"/>
          </w:tcPr>
          <w:p>
            <w:pPr>
              <w:spacing w:after="0"/>
              <w:rPr>
                <w:sz w:val="19"/>
                <w:szCs w:val="19"/>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5,681</w:t>
            </w:r>
          </w:p>
        </w:tc>
        <w:tc>
          <w:tcPr>
            <w:tcW w:w="180" w:type="dxa"/>
            <w:vAlign w:val="bottom"/>
            <w:tcBorders>
              <w:bottom w:val="single" w:sz="8" w:color="auto"/>
            </w:tcBorders>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0" w:type="dxa"/>
            <w:vAlign w:val="bottom"/>
            <w:tcBorders>
              <w:bottom w:val="single" w:sz="8" w:color="auto"/>
            </w:tcBorders>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840" w:type="dxa"/>
            <w:vAlign w:val="bottom"/>
            <w:tcBorders>
              <w:bottom w:val="single" w:sz="8" w:color="auto"/>
            </w:tcBorders>
            <w:shd w:val="clear" w:color="auto" w:fill="CCEEFF"/>
          </w:tcPr>
          <w:p>
            <w:pPr>
              <w:jc w:val="right"/>
              <w:ind w:right="151"/>
              <w:spacing w:after="0"/>
              <w:rPr>
                <w:sz w:val="20"/>
                <w:szCs w:val="20"/>
                <w:color w:val="auto"/>
              </w:rPr>
            </w:pPr>
            <w:r>
              <w:rPr>
                <w:rFonts w:ascii="Arial" w:cs="Arial" w:eastAsia="Arial" w:hAnsi="Arial"/>
                <w:sz w:val="18"/>
                <w:szCs w:val="18"/>
                <w:color w:val="auto"/>
              </w:rPr>
              <w:t>2,418</w:t>
            </w:r>
          </w:p>
        </w:tc>
        <w:tc>
          <w:tcPr>
            <w:tcW w:w="100" w:type="dxa"/>
            <w:vAlign w:val="bottom"/>
            <w:shd w:val="clear" w:color="auto" w:fill="CCEEFF"/>
          </w:tcPr>
          <w:p>
            <w:pPr>
              <w:spacing w:after="0"/>
              <w:rPr>
                <w:sz w:val="19"/>
                <w:szCs w:val="19"/>
                <w:color w:val="auto"/>
              </w:rPr>
            </w:pPr>
          </w:p>
        </w:tc>
        <w:tc>
          <w:tcPr>
            <w:tcW w:w="200" w:type="dxa"/>
            <w:vAlign w:val="bottom"/>
            <w:tcBorders>
              <w:bottom w:val="single" w:sz="8" w:color="auto"/>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79"/>
              </w:rPr>
              <w:t>$</w:t>
            </w:r>
          </w:p>
        </w:tc>
        <w:tc>
          <w:tcPr>
            <w:tcW w:w="20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shd w:val="clear" w:color="auto" w:fill="CCEEFF"/>
          </w:tcPr>
          <w:p>
            <w:pPr>
              <w:jc w:val="right"/>
              <w:ind w:right="153"/>
              <w:spacing w:after="0"/>
              <w:rPr>
                <w:sz w:val="20"/>
                <w:szCs w:val="20"/>
                <w:color w:val="auto"/>
              </w:rPr>
            </w:pPr>
            <w:r>
              <w:rPr>
                <w:rFonts w:ascii="Arial" w:cs="Arial" w:eastAsia="Arial" w:hAnsi="Arial"/>
                <w:sz w:val="18"/>
                <w:szCs w:val="18"/>
                <w:color w:val="auto"/>
              </w:rPr>
              <w:t>16,764</w:t>
            </w:r>
          </w:p>
        </w:tc>
        <w:tc>
          <w:tcPr>
            <w:tcW w:w="80" w:type="dxa"/>
            <w:vAlign w:val="bottom"/>
            <w:shd w:val="clear" w:color="auto" w:fill="CCEEFF"/>
          </w:tcPr>
          <w:p>
            <w:pPr>
              <w:spacing w:after="0"/>
              <w:rPr>
                <w:sz w:val="19"/>
                <w:szCs w:val="19"/>
                <w:color w:val="auto"/>
              </w:rPr>
            </w:pPr>
          </w:p>
        </w:tc>
        <w:tc>
          <w:tcPr>
            <w:tcW w:w="160" w:type="dxa"/>
            <w:vAlign w:val="bottom"/>
            <w:tcBorders>
              <w:bottom w:val="single" w:sz="8" w:color="auto"/>
            </w:tcBorders>
            <w:gridSpan w:val="2"/>
            <w:shd w:val="clear" w:color="auto" w:fill="CCEEFF"/>
          </w:tcPr>
          <w:p>
            <w:pPr>
              <w:jc w:val="center"/>
              <w:ind w:right="40"/>
              <w:spacing w:after="0"/>
              <w:rPr>
                <w:sz w:val="20"/>
                <w:szCs w:val="20"/>
                <w:color w:val="auto"/>
              </w:rPr>
            </w:pPr>
            <w:r>
              <w:rPr>
                <w:rFonts w:ascii="Arial" w:cs="Arial" w:eastAsia="Arial" w:hAnsi="Arial"/>
                <w:sz w:val="18"/>
                <w:szCs w:val="18"/>
                <w:color w:val="auto"/>
                <w:w w:val="79"/>
              </w:rPr>
              <w:t>$</w:t>
            </w:r>
          </w:p>
        </w:tc>
        <w:tc>
          <w:tcPr>
            <w:tcW w:w="28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ind w:right="151"/>
              <w:spacing w:after="0"/>
              <w:rPr>
                <w:sz w:val="20"/>
                <w:szCs w:val="20"/>
                <w:color w:val="auto"/>
              </w:rPr>
            </w:pPr>
            <w:r>
              <w:rPr>
                <w:rFonts w:ascii="Arial" w:cs="Arial" w:eastAsia="Arial" w:hAnsi="Arial"/>
                <w:sz w:val="18"/>
                <w:szCs w:val="18"/>
                <w:color w:val="auto"/>
              </w:rPr>
              <w:t>21,238</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0" w:type="dxa"/>
            <w:vAlign w:val="bottom"/>
          </w:tcPr>
          <w:p>
            <w:pPr>
              <w:spacing w:after="0"/>
              <w:rPr>
                <w:sz w:val="19"/>
                <w:szCs w:val="19"/>
                <w:color w:val="auto"/>
              </w:rPr>
            </w:pPr>
          </w:p>
        </w:tc>
        <w:tc>
          <w:tcPr>
            <w:tcW w:w="4360" w:type="dxa"/>
            <w:vAlign w:val="bottom"/>
          </w:tcPr>
          <w:p>
            <w:pPr>
              <w:spacing w:after="0"/>
              <w:rPr>
                <w:sz w:val="20"/>
                <w:szCs w:val="20"/>
                <w:color w:val="auto"/>
              </w:rPr>
            </w:pPr>
            <w:r>
              <w:rPr>
                <w:rFonts w:ascii="Arial" w:cs="Arial" w:eastAsia="Arial" w:hAnsi="Arial"/>
                <w:sz w:val="18"/>
                <w:szCs w:val="18"/>
                <w:color w:val="auto"/>
              </w:rPr>
              <w:t>Adjusted net income, as a percentage of revenues</w:t>
            </w:r>
          </w:p>
        </w:tc>
        <w:tc>
          <w:tcPr>
            <w:tcW w:w="30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5.6 %</w:t>
            </w:r>
          </w:p>
        </w:tc>
        <w:tc>
          <w:tcPr>
            <w:tcW w:w="8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2.7 %</w:t>
            </w:r>
          </w:p>
        </w:tc>
        <w:tc>
          <w:tcPr>
            <w:tcW w:w="100" w:type="dxa"/>
            <w:vAlign w:val="bottom"/>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5.7 %</w:t>
            </w:r>
          </w:p>
        </w:tc>
        <w:tc>
          <w:tcPr>
            <w:tcW w:w="8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8.7 %</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60" w:type="dxa"/>
            <w:vAlign w:val="bottom"/>
          </w:tcPr>
          <w:p>
            <w:pPr>
              <w:spacing w:after="0" w:line="20" w:lineRule="exact"/>
              <w:rPr>
                <w:sz w:val="1"/>
                <w:szCs w:val="1"/>
                <w:color w:val="auto"/>
              </w:rPr>
            </w:pPr>
          </w:p>
        </w:tc>
        <w:tc>
          <w:tcPr>
            <w:tcW w:w="436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439"/>
        </w:trPr>
        <w:tc>
          <w:tcPr>
            <w:tcW w:w="60" w:type="dxa"/>
            <w:vAlign w:val="bottom"/>
          </w:tcPr>
          <w:p>
            <w:pPr>
              <w:spacing w:after="0"/>
              <w:rPr>
                <w:sz w:val="24"/>
                <w:szCs w:val="24"/>
                <w:color w:val="auto"/>
              </w:rPr>
            </w:pPr>
          </w:p>
        </w:tc>
        <w:tc>
          <w:tcPr>
            <w:tcW w:w="43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300" w:type="dxa"/>
            <w:vAlign w:val="bottom"/>
            <w:gridSpan w:val="8"/>
          </w:tcPr>
          <w:p>
            <w:pPr>
              <w:jc w:val="right"/>
              <w:ind w:right="560"/>
              <w:spacing w:after="0"/>
              <w:rPr>
                <w:sz w:val="20"/>
                <w:szCs w:val="20"/>
                <w:color w:val="auto"/>
              </w:rPr>
            </w:pPr>
            <w:r>
              <w:rPr>
                <w:rFonts w:ascii="Arial" w:cs="Arial" w:eastAsia="Arial" w:hAnsi="Arial"/>
                <w:sz w:val="14"/>
                <w:szCs w:val="14"/>
                <w:b w:val="1"/>
                <w:bCs w:val="1"/>
                <w:color w:val="auto"/>
              </w:rPr>
              <w:t>Three Months Ended</w:t>
            </w: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300" w:type="dxa"/>
            <w:vAlign w:val="bottom"/>
            <w:gridSpan w:val="7"/>
          </w:tcPr>
          <w:p>
            <w:pPr>
              <w:jc w:val="center"/>
              <w:ind w:right="240"/>
              <w:spacing w:after="0"/>
              <w:rPr>
                <w:sz w:val="20"/>
                <w:szCs w:val="20"/>
                <w:color w:val="auto"/>
              </w:rPr>
            </w:pPr>
            <w:r>
              <w:rPr>
                <w:rFonts w:ascii="Arial" w:cs="Arial" w:eastAsia="Arial" w:hAnsi="Arial"/>
                <w:sz w:val="14"/>
                <w:szCs w:val="14"/>
                <w:b w:val="1"/>
                <w:bCs w:val="1"/>
                <w:color w:val="auto"/>
                <w:w w:val="93"/>
              </w:rPr>
              <w:t>Nine Months Ended</w:t>
            </w:r>
          </w:p>
        </w:tc>
        <w:tc>
          <w:tcPr>
            <w:tcW w:w="0" w:type="dxa"/>
            <w:vAlign w:val="bottom"/>
          </w:tcPr>
          <w:p>
            <w:pPr>
              <w:spacing w:after="0"/>
              <w:rPr>
                <w:sz w:val="1"/>
                <w:szCs w:val="1"/>
                <w:color w:val="auto"/>
              </w:rPr>
            </w:pPr>
          </w:p>
        </w:tc>
      </w:tr>
      <w:tr>
        <w:trPr>
          <w:trHeight w:val="188"/>
        </w:trPr>
        <w:tc>
          <w:tcPr>
            <w:tcW w:w="60" w:type="dxa"/>
            <w:vAlign w:val="bottom"/>
          </w:tcPr>
          <w:p>
            <w:pPr>
              <w:spacing w:after="0"/>
              <w:rPr>
                <w:sz w:val="16"/>
                <w:szCs w:val="16"/>
                <w:color w:val="auto"/>
              </w:rPr>
            </w:pPr>
          </w:p>
        </w:tc>
        <w:tc>
          <w:tcPr>
            <w:tcW w:w="436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spacing w:after="0"/>
              <w:rPr>
                <w:sz w:val="16"/>
                <w:szCs w:val="16"/>
                <w:color w:val="auto"/>
              </w:rPr>
            </w:pPr>
          </w:p>
        </w:tc>
        <w:tc>
          <w:tcPr>
            <w:tcW w:w="1640" w:type="dxa"/>
            <w:vAlign w:val="bottom"/>
            <w:tcBorders>
              <w:bottom w:val="single" w:sz="8" w:color="auto"/>
            </w:tcBorders>
            <w:gridSpan w:val="7"/>
          </w:tcPr>
          <w:p>
            <w:pPr>
              <w:jc w:val="right"/>
              <w:ind w:right="760"/>
              <w:spacing w:after="0"/>
              <w:rPr>
                <w:sz w:val="20"/>
                <w:szCs w:val="20"/>
                <w:color w:val="auto"/>
              </w:rPr>
            </w:pPr>
            <w:r>
              <w:rPr>
                <w:rFonts w:ascii="Arial" w:cs="Arial" w:eastAsia="Arial" w:hAnsi="Arial"/>
                <w:sz w:val="14"/>
                <w:szCs w:val="14"/>
                <w:b w:val="1"/>
                <w:bCs w:val="1"/>
                <w:color w:val="auto"/>
                <w:w w:val="89"/>
              </w:rPr>
              <w:t>September 30,</w:t>
            </w:r>
          </w:p>
        </w:tc>
        <w:tc>
          <w:tcPr>
            <w:tcW w:w="60" w:type="dxa"/>
            <w:vAlign w:val="bottom"/>
            <w:tcBorders>
              <w:bottom w:val="single" w:sz="8" w:color="auto"/>
            </w:tcBorders>
          </w:tcPr>
          <w:p>
            <w:pPr>
              <w:spacing w:after="0"/>
              <w:rPr>
                <w:sz w:val="16"/>
                <w:szCs w:val="16"/>
                <w:color w:val="auto"/>
              </w:rPr>
            </w:pPr>
          </w:p>
        </w:tc>
        <w:tc>
          <w:tcPr>
            <w:tcW w:w="14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2300" w:type="dxa"/>
            <w:vAlign w:val="bottom"/>
            <w:tcBorders>
              <w:bottom w:val="single" w:sz="8" w:color="auto"/>
            </w:tcBorders>
            <w:gridSpan w:val="7"/>
          </w:tcPr>
          <w:p>
            <w:pPr>
              <w:jc w:val="center"/>
              <w:ind w:right="200"/>
              <w:spacing w:after="0"/>
              <w:rPr>
                <w:sz w:val="20"/>
                <w:szCs w:val="20"/>
                <w:color w:val="auto"/>
              </w:rPr>
            </w:pPr>
            <w:r>
              <w:rPr>
                <w:rFonts w:ascii="Arial" w:cs="Arial" w:eastAsia="Arial" w:hAnsi="Arial"/>
                <w:sz w:val="14"/>
                <w:szCs w:val="14"/>
                <w:b w:val="1"/>
                <w:bCs w:val="1"/>
                <w:color w:val="auto"/>
                <w:w w:val="89"/>
              </w:rPr>
              <w:t>September 30,</w:t>
            </w:r>
          </w:p>
        </w:tc>
        <w:tc>
          <w:tcPr>
            <w:tcW w:w="0" w:type="dxa"/>
            <w:vAlign w:val="bottom"/>
          </w:tcPr>
          <w:p>
            <w:pPr>
              <w:spacing w:after="0"/>
              <w:rPr>
                <w:sz w:val="1"/>
                <w:szCs w:val="1"/>
                <w:color w:val="auto"/>
              </w:rPr>
            </w:pPr>
          </w:p>
        </w:tc>
      </w:tr>
      <w:tr>
        <w:trPr>
          <w:trHeight w:val="183"/>
        </w:trPr>
        <w:tc>
          <w:tcPr>
            <w:tcW w:w="60" w:type="dxa"/>
            <w:vAlign w:val="bottom"/>
            <w:tcBorders>
              <w:bottom w:val="single" w:sz="8" w:color="CCEEFF"/>
            </w:tcBorders>
          </w:tcPr>
          <w:p>
            <w:pPr>
              <w:spacing w:after="0"/>
              <w:rPr>
                <w:sz w:val="15"/>
                <w:szCs w:val="15"/>
                <w:color w:val="auto"/>
              </w:rPr>
            </w:pPr>
          </w:p>
        </w:tc>
        <w:tc>
          <w:tcPr>
            <w:tcW w:w="4360" w:type="dxa"/>
            <w:vAlign w:val="bottom"/>
            <w:tcBorders>
              <w:bottom w:val="single" w:sz="8" w:color="CCEEFF"/>
            </w:tcBorders>
          </w:tcPr>
          <w:p>
            <w:pPr>
              <w:spacing w:after="0"/>
              <w:rPr>
                <w:sz w:val="15"/>
                <w:szCs w:val="15"/>
                <w:color w:val="auto"/>
              </w:rPr>
            </w:pPr>
          </w:p>
        </w:tc>
        <w:tc>
          <w:tcPr>
            <w:tcW w:w="3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18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4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right"/>
              <w:ind w:right="191"/>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14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jc w:val="right"/>
              <w:ind w:right="253"/>
              <w:spacing w:after="0"/>
              <w:rPr>
                <w:sz w:val="20"/>
                <w:szCs w:val="20"/>
                <w:color w:val="auto"/>
              </w:rPr>
            </w:pPr>
            <w:r>
              <w:rPr>
                <w:rFonts w:ascii="Arial" w:cs="Arial" w:eastAsia="Arial" w:hAnsi="Arial"/>
                <w:sz w:val="14"/>
                <w:szCs w:val="14"/>
                <w:b w:val="1"/>
                <w:bCs w:val="1"/>
                <w:color w:val="auto"/>
              </w:rPr>
              <w:t>2021</w:t>
            </w:r>
          </w:p>
        </w:tc>
        <w:tc>
          <w:tcPr>
            <w:tcW w:w="80" w:type="dxa"/>
            <w:vAlign w:val="bottom"/>
            <w:tcBorders>
              <w:bottom w:val="single" w:sz="8" w:color="auto"/>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140" w:type="dxa"/>
            <w:vAlign w:val="bottom"/>
            <w:tcBorders>
              <w:bottom w:val="single" w:sz="8" w:color="CCEEFF"/>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ind w:right="331"/>
              <w:spacing w:after="0"/>
              <w:rPr>
                <w:sz w:val="20"/>
                <w:szCs w:val="20"/>
                <w:color w:val="auto"/>
              </w:rPr>
            </w:pPr>
            <w:r>
              <w:rPr>
                <w:rFonts w:ascii="Arial" w:cs="Arial" w:eastAsia="Arial" w:hAnsi="Arial"/>
                <w:sz w:val="14"/>
                <w:szCs w:val="14"/>
                <w:b w:val="1"/>
                <w:bCs w:val="1"/>
                <w:color w:val="auto"/>
              </w:rPr>
              <w:t>2020</w:t>
            </w:r>
          </w:p>
        </w:tc>
        <w:tc>
          <w:tcPr>
            <w:tcW w:w="4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49"/>
        </w:trPr>
        <w:tc>
          <w:tcPr>
            <w:tcW w:w="44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Net loss per share - diluted</w:t>
            </w:r>
          </w:p>
        </w:tc>
        <w:tc>
          <w:tcPr>
            <w:tcW w:w="3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auto"/>
            </w:tcBorders>
            <w:gridSpan w:val="4"/>
            <w:shd w:val="clear" w:color="auto" w:fill="CCEEFF"/>
          </w:tcPr>
          <w:p>
            <w:pPr>
              <w:jc w:val="right"/>
              <w:spacing w:after="0"/>
              <w:rPr>
                <w:sz w:val="20"/>
                <w:szCs w:val="20"/>
                <w:color w:val="auto"/>
              </w:rPr>
            </w:pPr>
            <w:r>
              <w:rPr>
                <w:rFonts w:ascii="Arial" w:cs="Arial" w:eastAsia="Arial" w:hAnsi="Arial"/>
                <w:sz w:val="18"/>
                <w:szCs w:val="18"/>
                <w:color w:val="auto"/>
              </w:rPr>
              <w:t>(0.20)</w:t>
            </w:r>
          </w:p>
        </w:tc>
        <w:tc>
          <w:tcPr>
            <w:tcW w:w="1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rPr>
              <w:t>(0.10)</w:t>
            </w:r>
          </w:p>
        </w:tc>
        <w:tc>
          <w:tcPr>
            <w:tcW w:w="14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(0.46)</w:t>
            </w:r>
          </w:p>
        </w:tc>
        <w:tc>
          <w:tcPr>
            <w:tcW w:w="20" w:type="dxa"/>
            <w:vAlign w:val="bottom"/>
            <w:tcBorders>
              <w:bottom w:val="single" w:sz="8" w:color="auto"/>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(0.20)</w:t>
            </w:r>
          </w:p>
        </w:tc>
        <w:tc>
          <w:tcPr>
            <w:tcW w:w="0" w:type="dxa"/>
            <w:vAlign w:val="bottom"/>
          </w:tcPr>
          <w:p>
            <w:pPr>
              <w:spacing w:after="0"/>
              <w:rPr>
                <w:sz w:val="1"/>
                <w:szCs w:val="1"/>
                <w:color w:val="auto"/>
              </w:rPr>
            </w:pPr>
          </w:p>
        </w:tc>
      </w:tr>
      <w:tr>
        <w:trPr>
          <w:trHeight w:val="20"/>
        </w:trPr>
        <w:tc>
          <w:tcPr>
            <w:tcW w:w="60" w:type="dxa"/>
            <w:vAlign w:val="bottom"/>
            <w:tcBorders>
              <w:top w:val="single" w:sz="8" w:color="CCEEFF"/>
            </w:tcBorders>
          </w:tcPr>
          <w:p>
            <w:pPr>
              <w:spacing w:after="0" w:line="20" w:lineRule="exact"/>
              <w:rPr>
                <w:sz w:val="1"/>
                <w:szCs w:val="1"/>
                <w:color w:val="auto"/>
              </w:rPr>
            </w:pPr>
          </w:p>
        </w:tc>
        <w:tc>
          <w:tcPr>
            <w:tcW w:w="4360" w:type="dxa"/>
            <w:vAlign w:val="bottom"/>
            <w:tcBorders>
              <w:top w:val="single" w:sz="8" w:color="CCEEFF"/>
              <w:bottom w:val="single" w:sz="8" w:color="CCEEFF"/>
            </w:tcBorders>
            <w:vMerge w:val="restart"/>
          </w:tcPr>
          <w:p>
            <w:pPr>
              <w:ind w:left="160"/>
              <w:spacing w:after="0"/>
              <w:rPr>
                <w:sz w:val="20"/>
                <w:szCs w:val="20"/>
                <w:color w:val="auto"/>
              </w:rPr>
            </w:pPr>
            <w:r>
              <w:rPr>
                <w:rFonts w:ascii="Arial" w:cs="Arial" w:eastAsia="Arial" w:hAnsi="Arial"/>
                <w:sz w:val="18"/>
                <w:szCs w:val="18"/>
                <w:color w:val="auto"/>
              </w:rPr>
              <w:t>Stock and incentive plan compensation</w:t>
            </w:r>
          </w:p>
        </w:tc>
        <w:tc>
          <w:tcPr>
            <w:tcW w:w="3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gridSpan w:val="4"/>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gridSpan w:val="2"/>
          </w:tcPr>
          <w:p>
            <w:pPr>
              <w:spacing w:after="0" w:line="20" w:lineRule="exact"/>
              <w:rPr>
                <w:sz w:val="1"/>
                <w:szCs w:val="1"/>
                <w:color w:val="auto"/>
              </w:rPr>
            </w:pPr>
          </w:p>
        </w:tc>
        <w:tc>
          <w:tcPr>
            <w:tcW w:w="6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gridSpan w:val="2"/>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60" w:type="dxa"/>
            <w:vAlign w:val="bottom"/>
          </w:tcPr>
          <w:p>
            <w:pPr>
              <w:spacing w:after="0"/>
              <w:rPr>
                <w:sz w:val="17"/>
                <w:szCs w:val="17"/>
                <w:color w:val="auto"/>
              </w:rPr>
            </w:pPr>
          </w:p>
        </w:tc>
        <w:tc>
          <w:tcPr>
            <w:tcW w:w="4360" w:type="dxa"/>
            <w:vAlign w:val="bottom"/>
            <w:vMerge w:val="continue"/>
          </w:tcPr>
          <w:p>
            <w:pPr>
              <w:spacing w:after="0"/>
              <w:rPr>
                <w:sz w:val="17"/>
                <w:szCs w:val="17"/>
                <w:color w:val="auto"/>
              </w:rPr>
            </w:pPr>
          </w:p>
        </w:tc>
        <w:tc>
          <w:tcPr>
            <w:tcW w:w="3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40" w:type="dxa"/>
            <w:vAlign w:val="bottom"/>
            <w:gridSpan w:val="4"/>
          </w:tcPr>
          <w:p>
            <w:pPr>
              <w:jc w:val="right"/>
              <w:spacing w:after="0" w:line="203" w:lineRule="exact"/>
              <w:rPr>
                <w:sz w:val="20"/>
                <w:szCs w:val="20"/>
                <w:color w:val="auto"/>
              </w:rPr>
            </w:pPr>
            <w:r>
              <w:rPr>
                <w:rFonts w:ascii="Arial" w:cs="Arial" w:eastAsia="Arial" w:hAnsi="Arial"/>
                <w:sz w:val="18"/>
                <w:szCs w:val="18"/>
                <w:color w:val="auto"/>
              </w:rPr>
              <w:t>0.05</w:t>
            </w: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40" w:type="dxa"/>
            <w:vAlign w:val="bottom"/>
            <w:gridSpan w:val="2"/>
          </w:tcPr>
          <w:p>
            <w:pPr>
              <w:jc w:val="right"/>
              <w:ind w:right="20"/>
              <w:spacing w:after="0" w:line="203" w:lineRule="exact"/>
              <w:rPr>
                <w:sz w:val="20"/>
                <w:szCs w:val="20"/>
                <w:color w:val="auto"/>
              </w:rPr>
            </w:pPr>
            <w:r>
              <w:rPr>
                <w:rFonts w:ascii="Arial" w:cs="Arial" w:eastAsia="Arial" w:hAnsi="Arial"/>
                <w:sz w:val="18"/>
                <w:szCs w:val="18"/>
                <w:color w:val="auto"/>
              </w:rPr>
              <w:t>0.06</w:t>
            </w:r>
          </w:p>
        </w:tc>
        <w:tc>
          <w:tcPr>
            <w:tcW w:w="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60" w:type="dxa"/>
            <w:vAlign w:val="bottom"/>
            <w:gridSpan w:val="2"/>
          </w:tcPr>
          <w:p>
            <w:pPr>
              <w:jc w:val="right"/>
              <w:ind w:right="40"/>
              <w:spacing w:after="0" w:line="203" w:lineRule="exact"/>
              <w:rPr>
                <w:sz w:val="20"/>
                <w:szCs w:val="20"/>
                <w:color w:val="auto"/>
              </w:rPr>
            </w:pPr>
            <w:r>
              <w:rPr>
                <w:rFonts w:ascii="Arial" w:cs="Arial" w:eastAsia="Arial" w:hAnsi="Arial"/>
                <w:sz w:val="18"/>
                <w:szCs w:val="18"/>
                <w:color w:val="auto"/>
              </w:rPr>
              <w:t>0.18</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60" w:type="dxa"/>
            <w:vAlign w:val="bottom"/>
          </w:tcPr>
          <w:p>
            <w:pPr>
              <w:jc w:val="right"/>
              <w:spacing w:after="0" w:line="203" w:lineRule="exact"/>
              <w:rPr>
                <w:sz w:val="20"/>
                <w:szCs w:val="20"/>
                <w:color w:val="auto"/>
              </w:rPr>
            </w:pPr>
            <w:r>
              <w:rPr>
                <w:rFonts w:ascii="Arial" w:cs="Arial" w:eastAsia="Arial" w:hAnsi="Arial"/>
                <w:sz w:val="18"/>
                <w:szCs w:val="18"/>
                <w:color w:val="auto"/>
              </w:rPr>
              <w:t>0.21</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60" w:type="dxa"/>
            <w:vAlign w:val="bottom"/>
            <w:shd w:val="clear" w:color="auto" w:fill="CCEEFF"/>
          </w:tcPr>
          <w:p>
            <w:pPr>
              <w:spacing w:after="0"/>
              <w:rPr>
                <w:sz w:val="19"/>
                <w:szCs w:val="19"/>
                <w:color w:val="auto"/>
              </w:rPr>
            </w:pPr>
          </w:p>
        </w:tc>
        <w:tc>
          <w:tcPr>
            <w:tcW w:w="43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Amortization of acquired intangible assets</w:t>
            </w:r>
          </w:p>
        </w:tc>
        <w:tc>
          <w:tcPr>
            <w:tcW w:w="3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4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0.12</w:t>
            </w: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0.08</w:t>
            </w:r>
          </w:p>
        </w:tc>
        <w:tc>
          <w:tcPr>
            <w:tcW w:w="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0.28</w:t>
            </w: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0.12</w:t>
            </w:r>
          </w:p>
        </w:tc>
        <w:tc>
          <w:tcPr>
            <w:tcW w:w="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0" w:type="dxa"/>
            <w:vAlign w:val="bottom"/>
          </w:tcPr>
          <w:p>
            <w:pPr>
              <w:spacing w:after="0"/>
              <w:rPr>
                <w:sz w:val="19"/>
                <w:szCs w:val="19"/>
                <w:color w:val="auto"/>
              </w:rPr>
            </w:pPr>
          </w:p>
        </w:tc>
        <w:tc>
          <w:tcPr>
            <w:tcW w:w="4360" w:type="dxa"/>
            <w:vAlign w:val="bottom"/>
          </w:tcPr>
          <w:p>
            <w:pPr>
              <w:ind w:left="160"/>
              <w:spacing w:after="0"/>
              <w:rPr>
                <w:sz w:val="20"/>
                <w:szCs w:val="20"/>
                <w:color w:val="auto"/>
              </w:rPr>
            </w:pPr>
            <w:r>
              <w:rPr>
                <w:rFonts w:ascii="Arial" w:cs="Arial" w:eastAsia="Arial" w:hAnsi="Arial"/>
                <w:sz w:val="18"/>
                <w:szCs w:val="18"/>
                <w:color w:val="auto"/>
              </w:rPr>
              <w:t>Acquired debt fair value adjustment</w:t>
            </w:r>
          </w:p>
        </w:tc>
        <w:tc>
          <w:tcPr>
            <w:tcW w:w="3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520" w:type="dxa"/>
            <w:vAlign w:val="bottom"/>
            <w:gridSpan w:val="4"/>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1000" w:type="dxa"/>
            <w:vAlign w:val="bottom"/>
            <w:gridSpan w:val="3"/>
          </w:tcPr>
          <w:p>
            <w:pPr>
              <w:jc w:val="right"/>
              <w:spacing w:after="0"/>
              <w:rPr>
                <w:sz w:val="20"/>
                <w:szCs w:val="20"/>
                <w:color w:val="auto"/>
              </w:rPr>
            </w:pPr>
            <w:r>
              <w:rPr>
                <w:rFonts w:ascii="Arial" w:cs="Arial" w:eastAsia="Arial" w:hAnsi="Arial"/>
                <w:sz w:val="18"/>
                <w:szCs w:val="18"/>
                <w:color w:val="auto"/>
              </w:rPr>
              <w:t>(0.01)</w:t>
            </w: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(0.01)</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00" w:type="dxa"/>
            <w:vAlign w:val="bottom"/>
            <w:gridSpan w:val="2"/>
          </w:tcPr>
          <w:p>
            <w:pPr>
              <w:jc w:val="right"/>
              <w:ind w:right="40"/>
              <w:spacing w:after="0"/>
              <w:rPr>
                <w:sz w:val="20"/>
                <w:szCs w:val="20"/>
                <w:color w:val="auto"/>
              </w:rPr>
            </w:pPr>
            <w:r>
              <w:rPr>
                <w:rFonts w:ascii="Arial" w:cs="Arial" w:eastAsia="Arial" w:hAnsi="Arial"/>
                <w:sz w:val="18"/>
                <w:szCs w:val="18"/>
                <w:color w:val="auto"/>
              </w:rPr>
              <w:t>(0.01)</w:t>
            </w:r>
          </w:p>
        </w:tc>
        <w:tc>
          <w:tcPr>
            <w:tcW w:w="0" w:type="dxa"/>
            <w:vAlign w:val="bottom"/>
          </w:tcPr>
          <w:p>
            <w:pPr>
              <w:spacing w:after="0"/>
              <w:rPr>
                <w:sz w:val="1"/>
                <w:szCs w:val="1"/>
                <w:color w:val="auto"/>
              </w:rPr>
            </w:pPr>
          </w:p>
        </w:tc>
      </w:tr>
      <w:tr>
        <w:trPr>
          <w:trHeight w:val="229"/>
        </w:trPr>
        <w:tc>
          <w:tcPr>
            <w:tcW w:w="60" w:type="dxa"/>
            <w:vAlign w:val="bottom"/>
            <w:shd w:val="clear" w:color="auto" w:fill="CCEEFF"/>
          </w:tcPr>
          <w:p>
            <w:pPr>
              <w:spacing w:after="0"/>
              <w:rPr>
                <w:sz w:val="19"/>
                <w:szCs w:val="19"/>
                <w:color w:val="auto"/>
              </w:rPr>
            </w:pPr>
          </w:p>
        </w:tc>
        <w:tc>
          <w:tcPr>
            <w:tcW w:w="43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Contingent consideration fair value adjustments</w:t>
            </w:r>
          </w:p>
        </w:tc>
        <w:tc>
          <w:tcPr>
            <w:tcW w:w="3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4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0.04</w:t>
            </w: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0.01</w:t>
            </w:r>
          </w:p>
        </w:tc>
        <w:tc>
          <w:tcPr>
            <w:tcW w:w="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0.42</w:t>
            </w: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0.01</w:t>
            </w:r>
          </w:p>
        </w:tc>
        <w:tc>
          <w:tcPr>
            <w:tcW w:w="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0" w:type="dxa"/>
            <w:vAlign w:val="bottom"/>
          </w:tcPr>
          <w:p>
            <w:pPr>
              <w:spacing w:after="0"/>
              <w:rPr>
                <w:sz w:val="19"/>
                <w:szCs w:val="19"/>
                <w:color w:val="auto"/>
              </w:rPr>
            </w:pPr>
          </w:p>
        </w:tc>
        <w:tc>
          <w:tcPr>
            <w:tcW w:w="4360" w:type="dxa"/>
            <w:vAlign w:val="bottom"/>
          </w:tcPr>
          <w:p>
            <w:pPr>
              <w:ind w:left="160"/>
              <w:spacing w:after="0"/>
              <w:rPr>
                <w:sz w:val="20"/>
                <w:szCs w:val="20"/>
                <w:color w:val="auto"/>
              </w:rPr>
            </w:pPr>
            <w:r>
              <w:rPr>
                <w:rFonts w:ascii="Arial" w:cs="Arial" w:eastAsia="Arial" w:hAnsi="Arial"/>
                <w:sz w:val="18"/>
                <w:szCs w:val="18"/>
                <w:color w:val="auto"/>
              </w:rPr>
              <w:t>Non-recurring refinancing related fees</w:t>
            </w:r>
          </w:p>
        </w:tc>
        <w:tc>
          <w:tcPr>
            <w:tcW w:w="3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520" w:type="dxa"/>
            <w:vAlign w:val="bottom"/>
            <w:gridSpan w:val="4"/>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0.01</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0" w:type="dxa"/>
            <w:vAlign w:val="bottom"/>
            <w:shd w:val="clear" w:color="auto" w:fill="CCEEFF"/>
          </w:tcPr>
          <w:p>
            <w:pPr>
              <w:spacing w:after="0"/>
              <w:rPr>
                <w:sz w:val="19"/>
                <w:szCs w:val="19"/>
                <w:color w:val="auto"/>
              </w:rPr>
            </w:pPr>
          </w:p>
        </w:tc>
        <w:tc>
          <w:tcPr>
            <w:tcW w:w="43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Non-recurring severance related fees</w:t>
            </w:r>
          </w:p>
        </w:tc>
        <w:tc>
          <w:tcPr>
            <w:tcW w:w="3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660" w:type="dxa"/>
            <w:vAlign w:val="bottom"/>
            <w:shd w:val="clear" w:color="auto" w:fill="CCEEFF"/>
          </w:tcPr>
          <w:p>
            <w:pPr>
              <w:spacing w:after="0"/>
              <w:rPr>
                <w:sz w:val="19"/>
                <w:szCs w:val="19"/>
                <w:color w:val="auto"/>
              </w:rPr>
            </w:pPr>
          </w:p>
        </w:tc>
        <w:tc>
          <w:tcPr>
            <w:tcW w:w="520" w:type="dxa"/>
            <w:vAlign w:val="bottom"/>
            <w:gridSpan w:val="4"/>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9"/>
                <w:szCs w:val="19"/>
                <w:color w:val="auto"/>
              </w:rPr>
            </w:pP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0.01</w:t>
            </w: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60" w:type="dxa"/>
            <w:vAlign w:val="bottom"/>
          </w:tcPr>
          <w:p>
            <w:pPr>
              <w:spacing w:after="0"/>
              <w:rPr>
                <w:sz w:val="19"/>
                <w:szCs w:val="19"/>
                <w:color w:val="auto"/>
              </w:rPr>
            </w:pPr>
          </w:p>
        </w:tc>
        <w:tc>
          <w:tcPr>
            <w:tcW w:w="4360" w:type="dxa"/>
            <w:vAlign w:val="bottom"/>
          </w:tcPr>
          <w:p>
            <w:pPr>
              <w:ind w:left="160"/>
              <w:spacing w:after="0"/>
              <w:rPr>
                <w:sz w:val="20"/>
                <w:szCs w:val="20"/>
                <w:color w:val="auto"/>
              </w:rPr>
            </w:pPr>
            <w:r>
              <w:rPr>
                <w:rFonts w:ascii="Arial" w:cs="Arial" w:eastAsia="Arial" w:hAnsi="Arial"/>
                <w:sz w:val="18"/>
                <w:szCs w:val="18"/>
                <w:color w:val="auto"/>
              </w:rPr>
              <w:t>Extinguishment of debt</w:t>
            </w:r>
          </w:p>
        </w:tc>
        <w:tc>
          <w:tcPr>
            <w:tcW w:w="3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520" w:type="dxa"/>
            <w:vAlign w:val="bottom"/>
            <w:gridSpan w:val="4"/>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(0.01)</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60" w:type="dxa"/>
            <w:vAlign w:val="bottom"/>
            <w:shd w:val="clear" w:color="auto" w:fill="CCEEFF"/>
          </w:tcPr>
          <w:p>
            <w:pPr>
              <w:spacing w:after="0"/>
              <w:rPr>
                <w:sz w:val="19"/>
                <w:szCs w:val="19"/>
                <w:color w:val="auto"/>
              </w:rPr>
            </w:pPr>
          </w:p>
        </w:tc>
        <w:tc>
          <w:tcPr>
            <w:tcW w:w="43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Gain on sale of assets</w:t>
            </w:r>
          </w:p>
        </w:tc>
        <w:tc>
          <w:tcPr>
            <w:tcW w:w="3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660" w:type="dxa"/>
            <w:vAlign w:val="bottom"/>
            <w:shd w:val="clear" w:color="auto" w:fill="CCEEFF"/>
          </w:tcPr>
          <w:p>
            <w:pPr>
              <w:spacing w:after="0"/>
              <w:rPr>
                <w:sz w:val="19"/>
                <w:szCs w:val="19"/>
                <w:color w:val="auto"/>
              </w:rPr>
            </w:pPr>
          </w:p>
        </w:tc>
        <w:tc>
          <w:tcPr>
            <w:tcW w:w="520" w:type="dxa"/>
            <w:vAlign w:val="bottom"/>
            <w:gridSpan w:val="4"/>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9"/>
                <w:szCs w:val="19"/>
                <w:color w:val="auto"/>
              </w:rPr>
            </w:pP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(0.23)</w:t>
            </w: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60" w:type="dxa"/>
            <w:vAlign w:val="bottom"/>
          </w:tcPr>
          <w:p>
            <w:pPr>
              <w:spacing w:after="0"/>
              <w:rPr>
                <w:sz w:val="19"/>
                <w:szCs w:val="19"/>
                <w:color w:val="auto"/>
              </w:rPr>
            </w:pPr>
          </w:p>
        </w:tc>
        <w:tc>
          <w:tcPr>
            <w:tcW w:w="4360" w:type="dxa"/>
            <w:vAlign w:val="bottom"/>
          </w:tcPr>
          <w:p>
            <w:pPr>
              <w:ind w:left="160"/>
              <w:spacing w:after="0"/>
              <w:rPr>
                <w:sz w:val="20"/>
                <w:szCs w:val="20"/>
                <w:color w:val="auto"/>
              </w:rPr>
            </w:pPr>
            <w:r>
              <w:rPr>
                <w:rFonts w:ascii="Arial" w:cs="Arial" w:eastAsia="Arial" w:hAnsi="Arial"/>
                <w:sz w:val="18"/>
                <w:szCs w:val="18"/>
                <w:color w:val="auto"/>
              </w:rPr>
              <w:t>Integration costs</w:t>
            </w:r>
          </w:p>
        </w:tc>
        <w:tc>
          <w:tcPr>
            <w:tcW w:w="3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520" w:type="dxa"/>
            <w:vAlign w:val="bottom"/>
            <w:gridSpan w:val="4"/>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0.01</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0.09</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0" w:type="dxa"/>
            <w:vAlign w:val="bottom"/>
            <w:shd w:val="clear" w:color="auto" w:fill="CCEEFF"/>
          </w:tcPr>
          <w:p>
            <w:pPr>
              <w:spacing w:after="0"/>
              <w:rPr>
                <w:sz w:val="19"/>
                <w:szCs w:val="19"/>
                <w:color w:val="auto"/>
              </w:rPr>
            </w:pPr>
          </w:p>
        </w:tc>
        <w:tc>
          <w:tcPr>
            <w:tcW w:w="43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Acquisition-related costs</w:t>
            </w:r>
          </w:p>
        </w:tc>
        <w:tc>
          <w:tcPr>
            <w:tcW w:w="3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4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0.01</w:t>
            </w: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0.02</w:t>
            </w:r>
          </w:p>
        </w:tc>
        <w:tc>
          <w:tcPr>
            <w:tcW w:w="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0.01</w:t>
            </w: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0.21</w:t>
            </w:r>
          </w:p>
        </w:tc>
        <w:tc>
          <w:tcPr>
            <w:tcW w:w="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0" w:type="dxa"/>
            <w:vAlign w:val="bottom"/>
          </w:tcPr>
          <w:p>
            <w:pPr>
              <w:spacing w:after="0"/>
              <w:rPr>
                <w:sz w:val="19"/>
                <w:szCs w:val="19"/>
                <w:color w:val="auto"/>
              </w:rPr>
            </w:pPr>
          </w:p>
        </w:tc>
        <w:tc>
          <w:tcPr>
            <w:tcW w:w="4360" w:type="dxa"/>
            <w:vAlign w:val="bottom"/>
          </w:tcPr>
          <w:p>
            <w:pPr>
              <w:ind w:left="160"/>
              <w:spacing w:after="0"/>
              <w:rPr>
                <w:sz w:val="20"/>
                <w:szCs w:val="20"/>
                <w:color w:val="auto"/>
              </w:rPr>
            </w:pPr>
            <w:r>
              <w:rPr>
                <w:rFonts w:ascii="Arial" w:cs="Arial" w:eastAsia="Arial" w:hAnsi="Arial"/>
                <w:sz w:val="18"/>
                <w:szCs w:val="18"/>
                <w:color w:val="auto"/>
              </w:rPr>
              <w:t>Impairment of long-lived assets</w:t>
            </w:r>
          </w:p>
        </w:tc>
        <w:tc>
          <w:tcPr>
            <w:tcW w:w="3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40" w:type="dxa"/>
            <w:vAlign w:val="bottom"/>
            <w:gridSpan w:val="4"/>
          </w:tcPr>
          <w:p>
            <w:pPr>
              <w:jc w:val="right"/>
              <w:spacing w:after="0"/>
              <w:rPr>
                <w:sz w:val="20"/>
                <w:szCs w:val="20"/>
                <w:color w:val="auto"/>
              </w:rPr>
            </w:pPr>
            <w:r>
              <w:rPr>
                <w:rFonts w:ascii="Arial" w:cs="Arial" w:eastAsia="Arial" w:hAnsi="Arial"/>
                <w:sz w:val="18"/>
                <w:szCs w:val="18"/>
                <w:color w:val="auto"/>
              </w:rPr>
              <w:t>0.14</w:t>
            </w: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0.14</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0.14</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0" w:type="dxa"/>
            <w:vAlign w:val="bottom"/>
            <w:shd w:val="clear" w:color="auto" w:fill="CCEEFF"/>
          </w:tcPr>
          <w:p>
            <w:pPr>
              <w:spacing w:after="0"/>
              <w:rPr>
                <w:sz w:val="19"/>
                <w:szCs w:val="19"/>
                <w:color w:val="auto"/>
              </w:rPr>
            </w:pPr>
          </w:p>
        </w:tc>
        <w:tc>
          <w:tcPr>
            <w:tcW w:w="43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Other</w:t>
            </w:r>
          </w:p>
        </w:tc>
        <w:tc>
          <w:tcPr>
            <w:tcW w:w="3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660" w:type="dxa"/>
            <w:vAlign w:val="bottom"/>
            <w:shd w:val="clear" w:color="auto" w:fill="CCEEFF"/>
          </w:tcPr>
          <w:p>
            <w:pPr>
              <w:spacing w:after="0"/>
              <w:rPr>
                <w:sz w:val="19"/>
                <w:szCs w:val="19"/>
                <w:color w:val="auto"/>
              </w:rPr>
            </w:pPr>
          </w:p>
        </w:tc>
        <w:tc>
          <w:tcPr>
            <w:tcW w:w="520" w:type="dxa"/>
            <w:vAlign w:val="bottom"/>
            <w:gridSpan w:val="4"/>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9"/>
                <w:szCs w:val="19"/>
                <w:color w:val="auto"/>
              </w:rPr>
            </w:pP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60" w:type="dxa"/>
            <w:vAlign w:val="bottom"/>
            <w:tcBorders>
              <w:bottom w:val="single" w:sz="8" w:color="CCEEFF"/>
            </w:tcBorders>
          </w:tcPr>
          <w:p>
            <w:pPr>
              <w:spacing w:after="0"/>
              <w:rPr>
                <w:sz w:val="19"/>
                <w:szCs w:val="19"/>
                <w:color w:val="auto"/>
              </w:rPr>
            </w:pPr>
          </w:p>
        </w:tc>
        <w:tc>
          <w:tcPr>
            <w:tcW w:w="4360" w:type="dxa"/>
            <w:vAlign w:val="bottom"/>
            <w:tcBorders>
              <w:bottom w:val="single" w:sz="8" w:color="CCEEFF"/>
            </w:tcBorders>
          </w:tcPr>
          <w:p>
            <w:pPr>
              <w:ind w:left="160"/>
              <w:spacing w:after="0" w:line="230" w:lineRule="exact"/>
              <w:rPr>
                <w:sz w:val="20"/>
                <w:szCs w:val="20"/>
                <w:color w:val="auto"/>
              </w:rPr>
            </w:pPr>
            <w:r>
              <w:rPr>
                <w:rFonts w:ascii="Arial" w:cs="Arial" w:eastAsia="Arial" w:hAnsi="Arial"/>
                <w:sz w:val="18"/>
                <w:szCs w:val="18"/>
                <w:color w:val="auto"/>
              </w:rPr>
              <w:t>Income tax effect of non-GAAP adjustments</w:t>
            </w:r>
            <w:r>
              <w:rPr>
                <w:rFonts w:ascii="Arial" w:cs="Arial" w:eastAsia="Arial" w:hAnsi="Arial"/>
                <w:sz w:val="23"/>
                <w:szCs w:val="23"/>
                <w:color w:val="auto"/>
                <w:vertAlign w:val="superscript"/>
              </w:rPr>
              <w:t>(a)</w:t>
            </w:r>
          </w:p>
        </w:tc>
        <w:tc>
          <w:tcPr>
            <w:tcW w:w="30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gridSpan w:val="4"/>
          </w:tcPr>
          <w:p>
            <w:pPr>
              <w:jc w:val="right"/>
              <w:spacing w:after="0"/>
              <w:rPr>
                <w:sz w:val="20"/>
                <w:szCs w:val="20"/>
                <w:color w:val="auto"/>
              </w:rPr>
            </w:pPr>
            <w:r>
              <w:rPr>
                <w:rFonts w:ascii="Arial" w:cs="Arial" w:eastAsia="Arial" w:hAnsi="Arial"/>
                <w:sz w:val="18"/>
                <w:szCs w:val="18"/>
                <w:color w:val="auto"/>
              </w:rPr>
              <w:t>(0.08)</w:t>
            </w:r>
          </w:p>
        </w:tc>
        <w:tc>
          <w:tcPr>
            <w:tcW w:w="14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color w:val="auto"/>
              </w:rPr>
              <w:t>(0.03)</w:t>
            </w:r>
          </w:p>
        </w:tc>
        <w:tc>
          <w:tcPr>
            <w:tcW w:w="14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(0.09)</w:t>
            </w:r>
          </w:p>
        </w:tc>
        <w:tc>
          <w:tcPr>
            <w:tcW w:w="20" w:type="dxa"/>
            <w:vAlign w:val="bottom"/>
            <w:tcBorders>
              <w:bottom w:val="single" w:sz="8" w:color="auto"/>
            </w:tcBorders>
          </w:tcPr>
          <w:p>
            <w:pPr>
              <w:spacing w:after="0"/>
              <w:rPr>
                <w:sz w:val="19"/>
                <w:szCs w:val="19"/>
                <w:color w:val="auto"/>
              </w:rPr>
            </w:pPr>
          </w:p>
        </w:tc>
        <w:tc>
          <w:tcPr>
            <w:tcW w:w="14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gridSpan w:val="2"/>
          </w:tcPr>
          <w:p>
            <w:pPr>
              <w:jc w:val="right"/>
              <w:ind w:right="40"/>
              <w:spacing w:after="0"/>
              <w:rPr>
                <w:sz w:val="20"/>
                <w:szCs w:val="20"/>
                <w:color w:val="auto"/>
              </w:rPr>
            </w:pPr>
            <w:r>
              <w:rPr>
                <w:rFonts w:ascii="Arial" w:cs="Arial" w:eastAsia="Arial" w:hAnsi="Arial"/>
                <w:sz w:val="18"/>
                <w:szCs w:val="18"/>
                <w:color w:val="auto"/>
              </w:rPr>
              <w:t>(0.16)</w:t>
            </w:r>
          </w:p>
        </w:tc>
        <w:tc>
          <w:tcPr>
            <w:tcW w:w="0" w:type="dxa"/>
            <w:vAlign w:val="bottom"/>
          </w:tcPr>
          <w:p>
            <w:pPr>
              <w:spacing w:after="0"/>
              <w:rPr>
                <w:sz w:val="1"/>
                <w:szCs w:val="1"/>
                <w:color w:val="auto"/>
              </w:rPr>
            </w:pPr>
          </w:p>
        </w:tc>
      </w:tr>
      <w:tr>
        <w:trPr>
          <w:trHeight w:val="248"/>
        </w:trPr>
        <w:tc>
          <w:tcPr>
            <w:tcW w:w="44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Adjusted net income per share - diluted</w:t>
            </w:r>
          </w:p>
        </w:tc>
        <w:tc>
          <w:tcPr>
            <w:tcW w:w="3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auto"/>
            </w:tcBorders>
            <w:gridSpan w:val="4"/>
            <w:shd w:val="clear" w:color="auto" w:fill="CCEEFF"/>
          </w:tcPr>
          <w:p>
            <w:pPr>
              <w:jc w:val="right"/>
              <w:spacing w:after="0"/>
              <w:rPr>
                <w:sz w:val="20"/>
                <w:szCs w:val="20"/>
                <w:color w:val="auto"/>
              </w:rPr>
            </w:pPr>
            <w:r>
              <w:rPr>
                <w:rFonts w:ascii="Arial" w:cs="Arial" w:eastAsia="Arial" w:hAnsi="Arial"/>
                <w:sz w:val="18"/>
                <w:szCs w:val="18"/>
                <w:color w:val="auto"/>
              </w:rPr>
              <w:t>0.08</w:t>
            </w:r>
          </w:p>
        </w:tc>
        <w:tc>
          <w:tcPr>
            <w:tcW w:w="1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auto"/>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0.04</w:t>
            </w:r>
          </w:p>
        </w:tc>
        <w:tc>
          <w:tcPr>
            <w:tcW w:w="60" w:type="dxa"/>
            <w:vAlign w:val="bottom"/>
            <w:tcBorders>
              <w:bottom w:val="single" w:sz="8" w:color="auto"/>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0.24</w:t>
            </w:r>
          </w:p>
        </w:tc>
        <w:tc>
          <w:tcPr>
            <w:tcW w:w="20" w:type="dxa"/>
            <w:vAlign w:val="bottom"/>
            <w:tcBorders>
              <w:bottom w:val="single" w:sz="8" w:color="auto"/>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0.42</w:t>
            </w:r>
          </w:p>
        </w:tc>
        <w:tc>
          <w:tcPr>
            <w:tcW w:w="40" w:type="dxa"/>
            <w:vAlign w:val="bottom"/>
            <w:tcBorders>
              <w:bottom w:val="single" w:sz="8" w:color="auto"/>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4420" w:type="dxa"/>
            <w:vAlign w:val="bottom"/>
            <w:tcBorders>
              <w:top w:val="single" w:sz="8" w:color="CCEEFF"/>
              <w:bottom w:val="single" w:sz="8" w:color="CCEEFF"/>
            </w:tcBorders>
            <w:gridSpan w:val="2"/>
            <w:vMerge w:val="restart"/>
          </w:tcPr>
          <w:p>
            <w:pPr>
              <w:ind w:left="20"/>
              <w:spacing w:after="0"/>
              <w:rPr>
                <w:sz w:val="20"/>
                <w:szCs w:val="20"/>
                <w:color w:val="auto"/>
              </w:rPr>
            </w:pPr>
            <w:r>
              <w:rPr>
                <w:rFonts w:ascii="Arial" w:cs="Arial" w:eastAsia="Arial" w:hAnsi="Arial"/>
                <w:sz w:val="18"/>
                <w:szCs w:val="18"/>
                <w:color w:val="auto"/>
                <w:w w:val="97"/>
              </w:rPr>
              <w:t>Weighted-average common shares outstanding - diluted</w:t>
            </w:r>
          </w:p>
        </w:tc>
        <w:tc>
          <w:tcPr>
            <w:tcW w:w="3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gridSpan w:val="4"/>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gridSpan w:val="2"/>
          </w:tcPr>
          <w:p>
            <w:pPr>
              <w:spacing w:after="0" w:line="20" w:lineRule="exact"/>
              <w:rPr>
                <w:sz w:val="1"/>
                <w:szCs w:val="1"/>
                <w:color w:val="auto"/>
              </w:rPr>
            </w:pPr>
          </w:p>
        </w:tc>
        <w:tc>
          <w:tcPr>
            <w:tcW w:w="6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gridSpan w:val="2"/>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4"/>
        </w:trPr>
        <w:tc>
          <w:tcPr>
            <w:tcW w:w="4420" w:type="dxa"/>
            <w:vAlign w:val="bottom"/>
            <w:gridSpan w:val="2"/>
            <w:vMerge w:val="continue"/>
          </w:tcPr>
          <w:p>
            <w:pPr>
              <w:spacing w:after="0"/>
              <w:rPr>
                <w:sz w:val="17"/>
                <w:szCs w:val="17"/>
                <w:color w:val="auto"/>
              </w:rPr>
            </w:pPr>
          </w:p>
        </w:tc>
        <w:tc>
          <w:tcPr>
            <w:tcW w:w="3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40" w:type="dxa"/>
            <w:vAlign w:val="bottom"/>
            <w:gridSpan w:val="4"/>
          </w:tcPr>
          <w:p>
            <w:pPr>
              <w:jc w:val="right"/>
              <w:spacing w:after="0" w:line="204" w:lineRule="exact"/>
              <w:rPr>
                <w:sz w:val="20"/>
                <w:szCs w:val="20"/>
                <w:color w:val="auto"/>
              </w:rPr>
            </w:pPr>
            <w:r>
              <w:rPr>
                <w:rFonts w:ascii="Arial" w:cs="Arial" w:eastAsia="Arial" w:hAnsi="Arial"/>
                <w:sz w:val="18"/>
                <w:szCs w:val="18"/>
                <w:color w:val="auto"/>
              </w:rPr>
              <w:t>69,237</w:t>
            </w: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40" w:type="dxa"/>
            <w:vAlign w:val="bottom"/>
            <w:gridSpan w:val="2"/>
          </w:tcPr>
          <w:p>
            <w:pPr>
              <w:jc w:val="right"/>
              <w:ind w:right="20"/>
              <w:spacing w:after="0" w:line="204" w:lineRule="exact"/>
              <w:rPr>
                <w:sz w:val="20"/>
                <w:szCs w:val="20"/>
                <w:color w:val="auto"/>
              </w:rPr>
            </w:pPr>
            <w:r>
              <w:rPr>
                <w:rFonts w:ascii="Arial" w:cs="Arial" w:eastAsia="Arial" w:hAnsi="Arial"/>
                <w:sz w:val="18"/>
                <w:szCs w:val="18"/>
                <w:color w:val="auto"/>
              </w:rPr>
              <w:t>67,006</w:t>
            </w:r>
          </w:p>
        </w:tc>
        <w:tc>
          <w:tcPr>
            <w:tcW w:w="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60" w:type="dxa"/>
            <w:vAlign w:val="bottom"/>
            <w:gridSpan w:val="2"/>
          </w:tcPr>
          <w:p>
            <w:pPr>
              <w:jc w:val="right"/>
              <w:ind w:right="40"/>
              <w:spacing w:after="0" w:line="204" w:lineRule="exact"/>
              <w:rPr>
                <w:sz w:val="20"/>
                <w:szCs w:val="20"/>
                <w:color w:val="auto"/>
              </w:rPr>
            </w:pPr>
            <w:r>
              <w:rPr>
                <w:rFonts w:ascii="Arial" w:cs="Arial" w:eastAsia="Arial" w:hAnsi="Arial"/>
                <w:sz w:val="18"/>
                <w:szCs w:val="18"/>
                <w:color w:val="auto"/>
              </w:rPr>
              <w:t>68,674</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60" w:type="dxa"/>
            <w:vAlign w:val="bottom"/>
          </w:tcPr>
          <w:p>
            <w:pPr>
              <w:jc w:val="right"/>
              <w:spacing w:after="0" w:line="204" w:lineRule="exact"/>
              <w:rPr>
                <w:sz w:val="20"/>
                <w:szCs w:val="20"/>
                <w:color w:val="auto"/>
              </w:rPr>
            </w:pPr>
            <w:r>
              <w:rPr>
                <w:rFonts w:ascii="Arial" w:cs="Arial" w:eastAsia="Arial" w:hAnsi="Arial"/>
                <w:sz w:val="18"/>
                <w:szCs w:val="18"/>
                <w:color w:val="auto"/>
              </w:rPr>
              <w:t>50,210</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174" w:lineRule="exact"/>
        <w:rPr>
          <w:sz w:val="20"/>
          <w:szCs w:val="20"/>
          <w:color w:val="auto"/>
        </w:rPr>
      </w:pPr>
    </w:p>
    <w:p>
      <w:pPr>
        <w:ind w:left="644" w:right="20" w:hanging="644"/>
        <w:spacing w:after="0" w:line="277" w:lineRule="auto"/>
        <w:tabs>
          <w:tab w:leader="none" w:pos="641"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income tax effect of the adjustments between GAAP net loss and non-GAAP adjusted net income takes into account the tax treatment and related tax rate that apply to each adjustment in the applicable tax jurisdiction.</w:t>
      </w:r>
    </w:p>
    <w:p>
      <w:pPr>
        <w:spacing w:after="0" w:line="170" w:lineRule="exact"/>
        <w:rPr>
          <w:sz w:val="20"/>
          <w:szCs w:val="20"/>
          <w:color w:val="auto"/>
        </w:rPr>
      </w:pPr>
    </w:p>
    <w:p>
      <w:pPr>
        <w:jc w:val="center"/>
        <w:ind w:right="-23"/>
        <w:spacing w:after="0"/>
        <w:rPr>
          <w:sz w:val="20"/>
          <w:szCs w:val="20"/>
          <w:color w:val="auto"/>
        </w:rPr>
      </w:pPr>
      <w:r>
        <w:rPr>
          <w:rFonts w:ascii="Arial" w:cs="Arial" w:eastAsia="Arial" w:hAnsi="Arial"/>
          <w:sz w:val="18"/>
          <w:szCs w:val="18"/>
          <w:color w:val="auto"/>
        </w:rPr>
        <w:t>Page 6 of 9</w:t>
      </w:r>
    </w:p>
    <w:p>
      <w:pPr>
        <w:sectPr>
          <w:pgSz w:w="11900" w:h="16838" w:orient="portrait"/>
          <w:cols w:equalWidth="0" w:num="1">
            <w:col w:w="9904"/>
          </w:cols>
          <w:pgMar w:left="976" w:top="715" w:right="1019" w:bottom="1440" w:gutter="0" w:footer="0" w:header="0"/>
        </w:sectPr>
      </w:pPr>
    </w:p>
    <w:bookmarkStart w:id="9" w:name="page10"/>
    <w:bookmarkEnd w:id="9"/>
    <w:p>
      <w:pPr>
        <w:jc w:val="center"/>
        <w:ind w:right="20"/>
        <w:spacing w:after="0"/>
        <w:rPr>
          <w:sz w:val="20"/>
          <w:szCs w:val="20"/>
          <w:color w:val="auto"/>
        </w:rPr>
      </w:pPr>
      <w:r>
        <w:rPr>
          <w:rFonts w:ascii="Arial" w:cs="Arial" w:eastAsia="Arial" w:hAnsi="Arial"/>
          <w:sz w:val="18"/>
          <w:szCs w:val="18"/>
          <w:b w:val="1"/>
          <w:bCs w:val="1"/>
          <w:color w:val="auto"/>
        </w:rPr>
        <w:t>Lantheus Holdings, Inc.</w:t>
      </w:r>
    </w:p>
    <w:p>
      <w:pPr>
        <w:spacing w:after="0" w:line="63"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Reconciliation of Free Cash Flow</w:t>
      </w:r>
    </w:p>
    <w:p>
      <w:pPr>
        <w:spacing w:after="0" w:line="6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(in thousands – unaudited)</w:t>
      </w:r>
    </w:p>
    <w:p>
      <w:pPr>
        <w:spacing w:after="0" w:line="24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3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540" w:type="dxa"/>
            <w:vAlign w:val="bottom"/>
            <w:gridSpan w:val="5"/>
          </w:tcPr>
          <w:p>
            <w:pPr>
              <w:ind w:left="380"/>
              <w:spacing w:after="0"/>
              <w:rPr>
                <w:sz w:val="20"/>
                <w:szCs w:val="20"/>
                <w:color w:val="auto"/>
              </w:rPr>
            </w:pPr>
            <w:r>
              <w:rPr>
                <w:rFonts w:ascii="Arial" w:cs="Arial" w:eastAsia="Arial" w:hAnsi="Arial"/>
                <w:sz w:val="14"/>
                <w:szCs w:val="14"/>
                <w:b w:val="1"/>
                <w:bCs w:val="1"/>
                <w:color w:val="auto"/>
              </w:rPr>
              <w:t>Three Months Ended</w:t>
            </w:r>
          </w:p>
        </w:tc>
        <w:tc>
          <w:tcPr>
            <w:tcW w:w="300" w:type="dxa"/>
            <w:vAlign w:val="bottom"/>
          </w:tcPr>
          <w:p>
            <w:pPr>
              <w:spacing w:after="0"/>
              <w:rPr>
                <w:sz w:val="14"/>
                <w:szCs w:val="14"/>
                <w:color w:val="auto"/>
              </w:rPr>
            </w:pPr>
          </w:p>
        </w:tc>
        <w:tc>
          <w:tcPr>
            <w:tcW w:w="2440" w:type="dxa"/>
            <w:vAlign w:val="bottom"/>
            <w:gridSpan w:val="4"/>
          </w:tcPr>
          <w:p>
            <w:pPr>
              <w:jc w:val="right"/>
              <w:ind w:right="693"/>
              <w:spacing w:after="0"/>
              <w:rPr>
                <w:sz w:val="20"/>
                <w:szCs w:val="20"/>
                <w:color w:val="auto"/>
              </w:rPr>
            </w:pPr>
            <w:r>
              <w:rPr>
                <w:rFonts w:ascii="Arial" w:cs="Arial" w:eastAsia="Arial" w:hAnsi="Arial"/>
                <w:sz w:val="14"/>
                <w:szCs w:val="14"/>
                <w:b w:val="1"/>
                <w:bCs w:val="1"/>
                <w:color w:val="auto"/>
              </w:rPr>
              <w:t>Nine Months Ended</w:t>
            </w:r>
          </w:p>
        </w:tc>
      </w:tr>
      <w:tr>
        <w:trPr>
          <w:trHeight w:val="188"/>
        </w:trPr>
        <w:tc>
          <w:tcPr>
            <w:tcW w:w="436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5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860" w:type="dxa"/>
            <w:vAlign w:val="bottom"/>
            <w:tcBorders>
              <w:bottom w:val="single" w:sz="8" w:color="auto"/>
            </w:tcBorders>
          </w:tcPr>
          <w:p>
            <w:pPr>
              <w:spacing w:after="0"/>
              <w:rPr>
                <w:sz w:val="16"/>
                <w:szCs w:val="16"/>
                <w:color w:val="auto"/>
              </w:rPr>
            </w:pPr>
          </w:p>
        </w:tc>
        <w:tc>
          <w:tcPr>
            <w:tcW w:w="14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5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880" w:type="dxa"/>
            <w:vAlign w:val="bottom"/>
            <w:tcBorders>
              <w:bottom w:val="single" w:sz="8" w:color="auto"/>
            </w:tcBorders>
          </w:tcPr>
          <w:p>
            <w:pPr>
              <w:spacing w:after="0"/>
              <w:rPr>
                <w:sz w:val="16"/>
                <w:szCs w:val="16"/>
                <w:color w:val="auto"/>
              </w:rPr>
            </w:pPr>
          </w:p>
        </w:tc>
      </w:tr>
      <w:tr>
        <w:trPr>
          <w:trHeight w:val="183"/>
        </w:trPr>
        <w:tc>
          <w:tcPr>
            <w:tcW w:w="4360" w:type="dxa"/>
            <w:vAlign w:val="bottom"/>
            <w:tcBorders>
              <w:bottom w:val="single" w:sz="8" w:color="CCEEFF"/>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right"/>
              <w:ind w:right="417"/>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5"/>
                <w:szCs w:val="15"/>
                <w:color w:val="auto"/>
              </w:rPr>
            </w:pPr>
          </w:p>
        </w:tc>
        <w:tc>
          <w:tcPr>
            <w:tcW w:w="44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ind w:right="413"/>
              <w:spacing w:after="0"/>
              <w:rPr>
                <w:sz w:val="20"/>
                <w:szCs w:val="20"/>
                <w:color w:val="auto"/>
              </w:rPr>
            </w:pPr>
            <w:r>
              <w:rPr>
                <w:rFonts w:ascii="Arial" w:cs="Arial" w:eastAsia="Arial" w:hAnsi="Arial"/>
                <w:sz w:val="14"/>
                <w:szCs w:val="14"/>
                <w:b w:val="1"/>
                <w:bCs w:val="1"/>
                <w:color w:val="auto"/>
              </w:rPr>
              <w:t>2020</w:t>
            </w:r>
          </w:p>
        </w:tc>
        <w:tc>
          <w:tcPr>
            <w:tcW w:w="140" w:type="dxa"/>
            <w:vAlign w:val="bottom"/>
            <w:tcBorders>
              <w:bottom w:val="single" w:sz="8" w:color="CCEEFF"/>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right"/>
              <w:ind w:right="417"/>
              <w:spacing w:after="0"/>
              <w:rPr>
                <w:sz w:val="20"/>
                <w:szCs w:val="20"/>
                <w:color w:val="auto"/>
              </w:rPr>
            </w:pPr>
            <w:r>
              <w:rPr>
                <w:rFonts w:ascii="Arial" w:cs="Arial" w:eastAsia="Arial" w:hAnsi="Arial"/>
                <w:sz w:val="14"/>
                <w:szCs w:val="14"/>
                <w:b w:val="1"/>
                <w:bCs w:val="1"/>
                <w:color w:val="auto"/>
              </w:rPr>
              <w:t>2021</w:t>
            </w:r>
          </w:p>
        </w:tc>
        <w:tc>
          <w:tcPr>
            <w:tcW w:w="140" w:type="dxa"/>
            <w:vAlign w:val="bottom"/>
            <w:tcBorders>
              <w:bottom w:val="single" w:sz="8" w:color="CCEEFF"/>
            </w:tcBorders>
          </w:tcPr>
          <w:p>
            <w:pPr>
              <w:spacing w:after="0"/>
              <w:rPr>
                <w:sz w:val="15"/>
                <w:szCs w:val="15"/>
                <w:color w:val="auto"/>
              </w:rPr>
            </w:pPr>
          </w:p>
        </w:tc>
        <w:tc>
          <w:tcPr>
            <w:tcW w:w="44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jc w:val="right"/>
              <w:ind w:right="433"/>
              <w:spacing w:after="0"/>
              <w:rPr>
                <w:sz w:val="20"/>
                <w:szCs w:val="20"/>
                <w:color w:val="auto"/>
              </w:rPr>
            </w:pPr>
            <w:r>
              <w:rPr>
                <w:rFonts w:ascii="Arial" w:cs="Arial" w:eastAsia="Arial" w:hAnsi="Arial"/>
                <w:sz w:val="14"/>
                <w:szCs w:val="14"/>
                <w:b w:val="1"/>
                <w:bCs w:val="1"/>
                <w:color w:val="auto"/>
              </w:rPr>
              <w:t>2020</w:t>
            </w:r>
          </w:p>
        </w:tc>
      </w:tr>
      <w:tr>
        <w:trPr>
          <w:trHeight w:val="224"/>
        </w:trPr>
        <w:tc>
          <w:tcPr>
            <w:tcW w:w="4360" w:type="dxa"/>
            <w:vAlign w:val="bottom"/>
            <w:shd w:val="clear" w:color="auto" w:fill="CCEEFF"/>
          </w:tcPr>
          <w:p>
            <w:pPr>
              <w:ind w:left="20"/>
              <w:spacing w:after="0"/>
              <w:rPr>
                <w:sz w:val="20"/>
                <w:szCs w:val="20"/>
                <w:color w:val="auto"/>
              </w:rPr>
            </w:pPr>
            <w:r>
              <w:rPr>
                <w:rFonts w:ascii="Arial" w:cs="Arial" w:eastAsia="Arial" w:hAnsi="Arial"/>
                <w:sz w:val="18"/>
                <w:szCs w:val="18"/>
                <w:color w:val="auto"/>
              </w:rPr>
              <w:t>Net cash provided by operating activities</w:t>
            </w:r>
          </w:p>
        </w:tc>
        <w:tc>
          <w:tcPr>
            <w:tcW w:w="30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00" w:type="dxa"/>
            <w:vAlign w:val="bottom"/>
            <w:shd w:val="clear" w:color="auto" w:fill="CCEEFF"/>
          </w:tcPr>
          <w:p>
            <w:pPr>
              <w:jc w:val="center"/>
              <w:ind w:left="377"/>
              <w:spacing w:after="0"/>
              <w:rPr>
                <w:sz w:val="20"/>
                <w:szCs w:val="20"/>
                <w:color w:val="auto"/>
              </w:rPr>
            </w:pPr>
            <w:r>
              <w:rPr>
                <w:rFonts w:ascii="Arial" w:cs="Arial" w:eastAsia="Arial" w:hAnsi="Arial"/>
                <w:sz w:val="18"/>
                <w:szCs w:val="18"/>
                <w:color w:val="auto"/>
                <w:w w:val="93"/>
              </w:rPr>
              <w:t>4,340</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w w:val="79"/>
              </w:rPr>
              <w:t>$</w:t>
            </w:r>
          </w:p>
        </w:tc>
        <w:tc>
          <w:tcPr>
            <w:tcW w:w="860" w:type="dxa"/>
            <w:vAlign w:val="bottom"/>
            <w:shd w:val="clear" w:color="auto" w:fill="CCEEFF"/>
          </w:tcPr>
          <w:p>
            <w:pPr>
              <w:jc w:val="center"/>
              <w:ind w:left="213"/>
              <w:spacing w:after="0"/>
              <w:rPr>
                <w:sz w:val="20"/>
                <w:szCs w:val="20"/>
                <w:color w:val="auto"/>
              </w:rPr>
            </w:pPr>
            <w:r>
              <w:rPr>
                <w:rFonts w:ascii="Arial" w:cs="Arial" w:eastAsia="Arial" w:hAnsi="Arial"/>
                <w:sz w:val="18"/>
                <w:szCs w:val="18"/>
                <w:color w:val="auto"/>
                <w:w w:val="88"/>
              </w:rPr>
              <w:t>8,575</w:t>
            </w:r>
          </w:p>
        </w:tc>
        <w:tc>
          <w:tcPr>
            <w:tcW w:w="140" w:type="dxa"/>
            <w:vAlign w:val="bottom"/>
            <w:shd w:val="clear" w:color="auto" w:fill="CCEEFF"/>
          </w:tcPr>
          <w:p>
            <w:pPr>
              <w:spacing w:after="0"/>
              <w:rPr>
                <w:sz w:val="19"/>
                <w:szCs w:val="19"/>
                <w:color w:val="auto"/>
              </w:rPr>
            </w:pPr>
          </w:p>
        </w:tc>
        <w:tc>
          <w:tcPr>
            <w:tcW w:w="30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40,027</w:t>
            </w:r>
          </w:p>
        </w:tc>
        <w:tc>
          <w:tcPr>
            <w:tcW w:w="140" w:type="dxa"/>
            <w:vAlign w:val="bottom"/>
            <w:shd w:val="clear" w:color="auto" w:fill="CCEEFF"/>
          </w:tcPr>
          <w:p>
            <w:pPr>
              <w:spacing w:after="0"/>
              <w:rPr>
                <w:sz w:val="19"/>
                <w:szCs w:val="19"/>
                <w:color w:val="auto"/>
              </w:rPr>
            </w:pPr>
          </w:p>
        </w:tc>
        <w:tc>
          <w:tcPr>
            <w:tcW w:w="44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15,827</w:t>
            </w:r>
          </w:p>
        </w:tc>
      </w:tr>
      <w:tr>
        <w:trPr>
          <w:trHeight w:val="230"/>
        </w:trPr>
        <w:tc>
          <w:tcPr>
            <w:tcW w:w="436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Capital expenditures</w:t>
            </w:r>
          </w:p>
        </w:tc>
        <w:tc>
          <w:tcPr>
            <w:tcW w:w="30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center"/>
              <w:ind w:left="357"/>
              <w:spacing w:after="0"/>
              <w:rPr>
                <w:sz w:val="20"/>
                <w:szCs w:val="20"/>
                <w:color w:val="auto"/>
              </w:rPr>
            </w:pPr>
            <w:r>
              <w:rPr>
                <w:rFonts w:ascii="Arial" w:cs="Arial" w:eastAsia="Arial" w:hAnsi="Arial"/>
                <w:sz w:val="18"/>
                <w:szCs w:val="18"/>
                <w:color w:val="auto"/>
                <w:w w:val="91"/>
              </w:rPr>
              <w:t>(2,420)</w:t>
            </w:r>
          </w:p>
        </w:tc>
        <w:tc>
          <w:tcPr>
            <w:tcW w:w="100" w:type="dxa"/>
            <w:vAlign w:val="bottom"/>
            <w:tcBorders>
              <w:bottom w:val="single" w:sz="8" w:color="CCEEFF"/>
            </w:tcBorders>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center"/>
              <w:ind w:left="173"/>
              <w:spacing w:after="0"/>
              <w:rPr>
                <w:sz w:val="20"/>
                <w:szCs w:val="20"/>
                <w:color w:val="auto"/>
              </w:rPr>
            </w:pPr>
            <w:r>
              <w:rPr>
                <w:rFonts w:ascii="Arial" w:cs="Arial" w:eastAsia="Arial" w:hAnsi="Arial"/>
                <w:sz w:val="18"/>
                <w:szCs w:val="18"/>
                <w:color w:val="auto"/>
                <w:w w:val="91"/>
              </w:rPr>
              <w:t>(3,736)</w:t>
            </w:r>
          </w:p>
        </w:tc>
        <w:tc>
          <w:tcPr>
            <w:tcW w:w="140" w:type="dxa"/>
            <w:vAlign w:val="bottom"/>
            <w:tcBorders>
              <w:bottom w:val="single" w:sz="8" w:color="CCEEFF"/>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(7,596)</w:t>
            </w:r>
          </w:p>
        </w:tc>
        <w:tc>
          <w:tcPr>
            <w:tcW w:w="140" w:type="dxa"/>
            <w:vAlign w:val="bottom"/>
            <w:tcBorders>
              <w:bottom w:val="single" w:sz="8" w:color="CCEEFF"/>
            </w:tcBorders>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(8,689)</w:t>
            </w:r>
          </w:p>
        </w:tc>
      </w:tr>
      <w:tr>
        <w:trPr>
          <w:trHeight w:val="248"/>
        </w:trPr>
        <w:tc>
          <w:tcPr>
            <w:tcW w:w="436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Free cash flow</w:t>
            </w:r>
          </w:p>
        </w:tc>
        <w:tc>
          <w:tcPr>
            <w:tcW w:w="30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shd w:val="clear" w:color="auto" w:fill="CCEEFF"/>
          </w:tcPr>
          <w:p>
            <w:pPr>
              <w:jc w:val="center"/>
              <w:ind w:left="377"/>
              <w:spacing w:after="0"/>
              <w:rPr>
                <w:sz w:val="20"/>
                <w:szCs w:val="20"/>
                <w:color w:val="auto"/>
              </w:rPr>
            </w:pPr>
            <w:r>
              <w:rPr>
                <w:rFonts w:ascii="Arial" w:cs="Arial" w:eastAsia="Arial" w:hAnsi="Arial"/>
                <w:sz w:val="18"/>
                <w:szCs w:val="18"/>
                <w:color w:val="auto"/>
                <w:w w:val="93"/>
              </w:rPr>
              <w:t>1,920</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auto"/>
            </w:tcBorders>
            <w:shd w:val="clear" w:color="auto" w:fill="CCEEFF"/>
          </w:tcPr>
          <w:p>
            <w:pPr>
              <w:jc w:val="right"/>
              <w:ind w:right="250"/>
              <w:spacing w:after="0"/>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auto"/>
            </w:tcBorders>
            <w:shd w:val="clear" w:color="auto" w:fill="CCEEFF"/>
          </w:tcPr>
          <w:p>
            <w:pPr>
              <w:jc w:val="center"/>
              <w:ind w:left="213"/>
              <w:spacing w:after="0"/>
              <w:rPr>
                <w:sz w:val="20"/>
                <w:szCs w:val="20"/>
                <w:color w:val="auto"/>
              </w:rPr>
            </w:pPr>
            <w:r>
              <w:rPr>
                <w:rFonts w:ascii="Arial" w:cs="Arial" w:eastAsia="Arial" w:hAnsi="Arial"/>
                <w:sz w:val="18"/>
                <w:szCs w:val="18"/>
                <w:color w:val="auto"/>
                <w:w w:val="88"/>
              </w:rPr>
              <w:t>4,839</w:t>
            </w:r>
          </w:p>
        </w:tc>
        <w:tc>
          <w:tcPr>
            <w:tcW w:w="14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32,431</w:t>
            </w:r>
          </w:p>
        </w:tc>
        <w:tc>
          <w:tcPr>
            <w:tcW w:w="14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auto"/>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7,138</w:t>
            </w:r>
          </w:p>
        </w:tc>
      </w:tr>
      <w:tr>
        <w:trPr>
          <w:trHeight w:val="20"/>
        </w:trPr>
        <w:tc>
          <w:tcPr>
            <w:tcW w:w="436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r>
      <w:tr>
        <w:trPr>
          <w:trHeight w:val="204"/>
        </w:trPr>
        <w:tc>
          <w:tcPr>
            <w:tcW w:w="43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880" w:type="dxa"/>
            <w:vAlign w:val="bottom"/>
          </w:tcPr>
          <w:p>
            <w:pPr>
              <w:spacing w:after="0"/>
              <w:rPr>
                <w:sz w:val="17"/>
                <w:szCs w:val="17"/>
                <w:color w:val="auto"/>
              </w:rPr>
            </w:pPr>
          </w:p>
        </w:tc>
      </w:tr>
      <w:tr>
        <w:trPr>
          <w:trHeight w:val="254"/>
        </w:trPr>
        <w:tc>
          <w:tcPr>
            <w:tcW w:w="43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cash (used in) provided by investing activities</w:t>
            </w:r>
          </w:p>
        </w:tc>
        <w:tc>
          <w:tcPr>
            <w:tcW w:w="30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shd w:val="clear" w:color="auto" w:fill="CCEEFF"/>
          </w:tcPr>
          <w:p>
            <w:pPr>
              <w:jc w:val="center"/>
              <w:ind w:left="357"/>
              <w:spacing w:after="0"/>
              <w:rPr>
                <w:sz w:val="20"/>
                <w:szCs w:val="20"/>
                <w:color w:val="auto"/>
              </w:rPr>
            </w:pPr>
            <w:r>
              <w:rPr>
                <w:rFonts w:ascii="Arial" w:cs="Arial" w:eastAsia="Arial" w:hAnsi="Arial"/>
                <w:sz w:val="18"/>
                <w:szCs w:val="18"/>
                <w:color w:val="auto"/>
                <w:w w:val="91"/>
              </w:rPr>
              <w:t>(2,420)</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auto"/>
            </w:tcBorders>
            <w:shd w:val="clear" w:color="auto" w:fill="CCEEFF"/>
          </w:tcPr>
          <w:p>
            <w:pPr>
              <w:jc w:val="right"/>
              <w:ind w:right="250"/>
              <w:spacing w:after="0"/>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auto"/>
            </w:tcBorders>
            <w:shd w:val="clear" w:color="auto" w:fill="CCEEFF"/>
          </w:tcPr>
          <w:p>
            <w:pPr>
              <w:jc w:val="center"/>
              <w:ind w:left="173"/>
              <w:spacing w:after="0"/>
              <w:rPr>
                <w:sz w:val="20"/>
                <w:szCs w:val="20"/>
                <w:color w:val="auto"/>
              </w:rPr>
            </w:pPr>
            <w:r>
              <w:rPr>
                <w:rFonts w:ascii="Arial" w:cs="Arial" w:eastAsia="Arial" w:hAnsi="Arial"/>
                <w:sz w:val="18"/>
                <w:szCs w:val="18"/>
                <w:color w:val="auto"/>
                <w:w w:val="91"/>
              </w:rPr>
              <w:t>(3,736)</w:t>
            </w:r>
          </w:p>
        </w:tc>
        <w:tc>
          <w:tcPr>
            <w:tcW w:w="14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8,227</w:t>
            </w:r>
          </w:p>
        </w:tc>
        <w:tc>
          <w:tcPr>
            <w:tcW w:w="14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auto"/>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(1,127)</w:t>
            </w:r>
          </w:p>
        </w:tc>
      </w:tr>
      <w:tr>
        <w:trPr>
          <w:trHeight w:val="20"/>
        </w:trPr>
        <w:tc>
          <w:tcPr>
            <w:tcW w:w="436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r>
      <w:tr>
        <w:trPr>
          <w:trHeight w:val="203"/>
        </w:trPr>
        <w:tc>
          <w:tcPr>
            <w:tcW w:w="4360" w:type="dxa"/>
            <w:vAlign w:val="bottom"/>
          </w:tcPr>
          <w:p>
            <w:pPr>
              <w:ind w:left="20"/>
              <w:spacing w:after="0" w:line="203" w:lineRule="exact"/>
              <w:rPr>
                <w:sz w:val="20"/>
                <w:szCs w:val="20"/>
                <w:color w:val="auto"/>
              </w:rPr>
            </w:pPr>
            <w:r>
              <w:rPr>
                <w:rFonts w:ascii="Arial" w:cs="Arial" w:eastAsia="Arial" w:hAnsi="Arial"/>
                <w:sz w:val="18"/>
                <w:szCs w:val="18"/>
                <w:color w:val="auto"/>
              </w:rPr>
              <w:t>Net cash used in financing activities</w:t>
            </w:r>
          </w:p>
        </w:tc>
        <w:tc>
          <w:tcPr>
            <w:tcW w:w="300" w:type="dxa"/>
            <w:vAlign w:val="bottom"/>
            <w:tcBorders>
              <w:bottom w:val="single" w:sz="8" w:color="auto"/>
            </w:tcBorders>
          </w:tcPr>
          <w:p>
            <w:pPr>
              <w:jc w:val="right"/>
              <w:ind w:right="110"/>
              <w:spacing w:after="0" w:line="203" w:lineRule="exact"/>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tcPr>
          <w:p>
            <w:pPr>
              <w:jc w:val="center"/>
              <w:ind w:left="357"/>
              <w:spacing w:after="0" w:line="203" w:lineRule="exact"/>
              <w:rPr>
                <w:sz w:val="20"/>
                <w:szCs w:val="20"/>
                <w:color w:val="auto"/>
              </w:rPr>
            </w:pPr>
            <w:r>
              <w:rPr>
                <w:rFonts w:ascii="Arial" w:cs="Arial" w:eastAsia="Arial" w:hAnsi="Arial"/>
                <w:sz w:val="18"/>
                <w:szCs w:val="18"/>
                <w:color w:val="auto"/>
                <w:w w:val="91"/>
              </w:rPr>
              <w:t>(1,726)</w:t>
            </w:r>
          </w:p>
        </w:tc>
        <w:tc>
          <w:tcPr>
            <w:tcW w:w="100" w:type="dxa"/>
            <w:vAlign w:val="bottom"/>
          </w:tcPr>
          <w:p>
            <w:pPr>
              <w:spacing w:after="0"/>
              <w:rPr>
                <w:sz w:val="17"/>
                <w:szCs w:val="17"/>
                <w:color w:val="auto"/>
              </w:rPr>
            </w:pPr>
          </w:p>
        </w:tc>
        <w:tc>
          <w:tcPr>
            <w:tcW w:w="440" w:type="dxa"/>
            <w:vAlign w:val="bottom"/>
            <w:tcBorders>
              <w:bottom w:val="single" w:sz="8" w:color="auto"/>
            </w:tcBorders>
          </w:tcPr>
          <w:p>
            <w:pPr>
              <w:jc w:val="right"/>
              <w:ind w:right="250"/>
              <w:spacing w:after="0" w:line="203" w:lineRule="exact"/>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auto"/>
            </w:tcBorders>
          </w:tcPr>
          <w:p>
            <w:pPr>
              <w:jc w:val="center"/>
              <w:ind w:left="173"/>
              <w:spacing w:after="0" w:line="203" w:lineRule="exact"/>
              <w:rPr>
                <w:sz w:val="20"/>
                <w:szCs w:val="20"/>
                <w:color w:val="auto"/>
              </w:rPr>
            </w:pPr>
            <w:r>
              <w:rPr>
                <w:rFonts w:ascii="Arial" w:cs="Arial" w:eastAsia="Arial" w:hAnsi="Arial"/>
                <w:sz w:val="18"/>
                <w:szCs w:val="18"/>
                <w:color w:val="auto"/>
                <w:w w:val="91"/>
              </w:rPr>
              <w:t>(7,270)</w:t>
            </w:r>
          </w:p>
        </w:tc>
        <w:tc>
          <w:tcPr>
            <w:tcW w:w="140" w:type="dxa"/>
            <w:vAlign w:val="bottom"/>
          </w:tcPr>
          <w:p>
            <w:pPr>
              <w:spacing w:after="0"/>
              <w:rPr>
                <w:sz w:val="17"/>
                <w:szCs w:val="17"/>
                <w:color w:val="auto"/>
              </w:rPr>
            </w:pPr>
          </w:p>
        </w:tc>
        <w:tc>
          <w:tcPr>
            <w:tcW w:w="300" w:type="dxa"/>
            <w:vAlign w:val="bottom"/>
            <w:tcBorders>
              <w:bottom w:val="single" w:sz="8" w:color="auto"/>
            </w:tcBorders>
          </w:tcPr>
          <w:p>
            <w:pPr>
              <w:jc w:val="right"/>
              <w:ind w:right="110"/>
              <w:spacing w:after="0" w:line="203" w:lineRule="exact"/>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(37,232)</w:t>
            </w:r>
          </w:p>
        </w:tc>
        <w:tc>
          <w:tcPr>
            <w:tcW w:w="140" w:type="dxa"/>
            <w:vAlign w:val="bottom"/>
          </w:tcPr>
          <w:p>
            <w:pPr>
              <w:spacing w:after="0"/>
              <w:rPr>
                <w:sz w:val="17"/>
                <w:szCs w:val="17"/>
                <w:color w:val="auto"/>
              </w:rPr>
            </w:pPr>
          </w:p>
        </w:tc>
        <w:tc>
          <w:tcPr>
            <w:tcW w:w="440" w:type="dxa"/>
            <w:vAlign w:val="bottom"/>
            <w:tcBorders>
              <w:bottom w:val="single" w:sz="8" w:color="auto"/>
            </w:tcBorders>
          </w:tcPr>
          <w:p>
            <w:pPr>
              <w:jc w:val="right"/>
              <w:ind w:right="230"/>
              <w:spacing w:after="0" w:line="203" w:lineRule="exact"/>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(17,488)</w:t>
            </w:r>
          </w:p>
        </w:tc>
      </w:tr>
      <w:tr>
        <w:trPr>
          <w:trHeight w:val="21"/>
        </w:trPr>
        <w:tc>
          <w:tcPr>
            <w:tcW w:w="436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bl>
    <w:p>
      <w:pPr>
        <w:spacing w:after="0" w:line="188"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Page 7 of 9</w:t>
      </w:r>
    </w:p>
    <w:p>
      <w:pPr>
        <w:sectPr>
          <w:pgSz w:w="11900" w:h="16838" w:orient="portrait"/>
          <w:cols w:equalWidth="0" w:num="1">
            <w:col w:w="9940"/>
          </w:cols>
          <w:pgMar w:left="980" w:top="715" w:right="979" w:bottom="1440" w:gutter="0" w:footer="0" w:header="0"/>
        </w:sectPr>
      </w:pPr>
    </w:p>
    <w:bookmarkStart w:id="10" w:name="page11"/>
    <w:bookmarkEnd w:id="10"/>
    <w:p>
      <w:pPr>
        <w:jc w:val="center"/>
        <w:spacing w:after="0"/>
        <w:rPr>
          <w:sz w:val="20"/>
          <w:szCs w:val="20"/>
          <w:color w:val="auto"/>
        </w:rPr>
      </w:pPr>
      <w:r>
        <w:rPr>
          <w:rFonts w:ascii="Arial" w:cs="Arial" w:eastAsia="Arial" w:hAnsi="Arial"/>
          <w:sz w:val="18"/>
          <w:szCs w:val="18"/>
          <w:b w:val="1"/>
          <w:bCs w:val="1"/>
          <w:color w:val="auto"/>
        </w:rPr>
        <w:t>Lantheus Holdings, Inc.</w:t>
      </w:r>
    </w:p>
    <w:p>
      <w:pPr>
        <w:spacing w:after="0" w:line="6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Balance Sheets</w:t>
      </w:r>
    </w:p>
    <w:p>
      <w:pPr>
        <w:spacing w:after="0" w:line="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 – unaudited)</w:t>
      </w:r>
    </w:p>
    <w:p>
      <w:pPr>
        <w:spacing w:after="0" w:line="24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1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20" w:type="dxa"/>
            <w:vAlign w:val="bottom"/>
            <w:gridSpan w:val="2"/>
          </w:tcPr>
          <w:p>
            <w:pPr>
              <w:ind w:left="80"/>
              <w:spacing w:after="0"/>
              <w:rPr>
                <w:sz w:val="20"/>
                <w:szCs w:val="20"/>
                <w:color w:val="auto"/>
              </w:rPr>
            </w:pPr>
            <w:r>
              <w:rPr>
                <w:rFonts w:ascii="Arial" w:cs="Arial" w:eastAsia="Arial" w:hAnsi="Arial"/>
                <w:sz w:val="14"/>
                <w:szCs w:val="14"/>
                <w:b w:val="1"/>
                <w:bCs w:val="1"/>
                <w:color w:val="auto"/>
              </w:rPr>
              <w:t>September 30,</w:t>
            </w:r>
          </w:p>
        </w:tc>
        <w:tc>
          <w:tcPr>
            <w:tcW w:w="180" w:type="dxa"/>
            <w:vAlign w:val="bottom"/>
          </w:tcPr>
          <w:p>
            <w:pPr>
              <w:spacing w:after="0"/>
              <w:rPr>
                <w:sz w:val="14"/>
                <w:szCs w:val="14"/>
                <w:color w:val="auto"/>
              </w:rPr>
            </w:pPr>
          </w:p>
        </w:tc>
        <w:tc>
          <w:tcPr>
            <w:tcW w:w="1200" w:type="dxa"/>
            <w:vAlign w:val="bottom"/>
          </w:tcPr>
          <w:p>
            <w:pPr>
              <w:jc w:val="right"/>
              <w:ind w:right="171"/>
              <w:spacing w:after="0"/>
              <w:rPr>
                <w:sz w:val="20"/>
                <w:szCs w:val="20"/>
                <w:color w:val="auto"/>
              </w:rPr>
            </w:pPr>
            <w:r>
              <w:rPr>
                <w:rFonts w:ascii="Arial" w:cs="Arial" w:eastAsia="Arial" w:hAnsi="Arial"/>
                <w:sz w:val="14"/>
                <w:szCs w:val="14"/>
                <w:b w:val="1"/>
                <w:bCs w:val="1"/>
                <w:color w:val="auto"/>
              </w:rPr>
              <w:t>December 31,</w:t>
            </w:r>
          </w:p>
        </w:tc>
      </w:tr>
      <w:tr>
        <w:trPr>
          <w:trHeight w:val="188"/>
        </w:trPr>
        <w:tc>
          <w:tcPr>
            <w:tcW w:w="616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451"/>
              <w:spacing w:after="0"/>
              <w:rPr>
                <w:sz w:val="20"/>
                <w:szCs w:val="20"/>
                <w:color w:val="auto"/>
              </w:rPr>
            </w:pPr>
            <w:r>
              <w:rPr>
                <w:rFonts w:ascii="Arial" w:cs="Arial" w:eastAsia="Arial" w:hAnsi="Arial"/>
                <w:sz w:val="14"/>
                <w:szCs w:val="14"/>
                <w:b w:val="1"/>
                <w:bCs w:val="1"/>
                <w:color w:val="auto"/>
              </w:rPr>
              <w:t>2021</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451"/>
              <w:spacing w:after="0"/>
              <w:rPr>
                <w:sz w:val="20"/>
                <w:szCs w:val="20"/>
                <w:color w:val="auto"/>
              </w:rPr>
            </w:pPr>
            <w:r>
              <w:rPr>
                <w:rFonts w:ascii="Arial" w:cs="Arial" w:eastAsia="Arial" w:hAnsi="Arial"/>
                <w:sz w:val="14"/>
                <w:szCs w:val="14"/>
                <w:b w:val="1"/>
                <w:bCs w:val="1"/>
                <w:color w:val="auto"/>
              </w:rPr>
              <w:t>2020</w:t>
            </w:r>
          </w:p>
        </w:tc>
      </w:tr>
      <w:tr>
        <w:trPr>
          <w:trHeight w:val="211"/>
        </w:trPr>
        <w:tc>
          <w:tcPr>
            <w:tcW w:w="6160" w:type="dxa"/>
            <w:vAlign w:val="bottom"/>
            <w:shd w:val="clear" w:color="auto" w:fill="CCEEFF"/>
          </w:tcPr>
          <w:p>
            <w:pPr>
              <w:ind w:left="20"/>
              <w:spacing w:after="0"/>
              <w:rPr>
                <w:sz w:val="20"/>
                <w:szCs w:val="20"/>
                <w:color w:val="auto"/>
              </w:rPr>
            </w:pPr>
            <w:r>
              <w:rPr>
                <w:rFonts w:ascii="Arial" w:cs="Arial" w:eastAsia="Arial" w:hAnsi="Arial"/>
                <w:sz w:val="18"/>
                <w:szCs w:val="18"/>
                <w:b w:val="1"/>
                <w:bCs w:val="1"/>
                <w:color w:val="auto"/>
              </w:rPr>
              <w:t>Assets</w:t>
            </w:r>
          </w:p>
        </w:tc>
        <w:tc>
          <w:tcPr>
            <w:tcW w:w="1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r>
      <w:tr>
        <w:trPr>
          <w:trHeight w:val="229"/>
        </w:trPr>
        <w:tc>
          <w:tcPr>
            <w:tcW w:w="6160" w:type="dxa"/>
            <w:vAlign w:val="bottom"/>
          </w:tcPr>
          <w:p>
            <w:pPr>
              <w:ind w:left="20"/>
              <w:spacing w:after="0"/>
              <w:rPr>
                <w:sz w:val="20"/>
                <w:szCs w:val="20"/>
                <w:color w:val="auto"/>
              </w:rPr>
            </w:pPr>
            <w:r>
              <w:rPr>
                <w:rFonts w:ascii="Arial" w:cs="Arial" w:eastAsia="Arial" w:hAnsi="Arial"/>
                <w:sz w:val="18"/>
                <w:szCs w:val="18"/>
                <w:b w:val="1"/>
                <w:bCs w:val="1"/>
                <w:color w:val="auto"/>
              </w:rPr>
              <w:t>Current assets</w:t>
            </w:r>
          </w:p>
        </w:tc>
        <w:tc>
          <w:tcPr>
            <w:tcW w:w="18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0" w:type="dxa"/>
            <w:vAlign w:val="bottom"/>
          </w:tcPr>
          <w:p>
            <w:pPr>
              <w:spacing w:after="0"/>
              <w:rPr>
                <w:sz w:val="19"/>
                <w:szCs w:val="19"/>
                <w:color w:val="auto"/>
              </w:rPr>
            </w:pPr>
          </w:p>
        </w:tc>
      </w:tr>
      <w:tr>
        <w:trPr>
          <w:trHeight w:val="230"/>
        </w:trPr>
        <w:tc>
          <w:tcPr>
            <w:tcW w:w="61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Cash and cash equivalents</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91,475</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79,612</w:t>
            </w:r>
          </w:p>
        </w:tc>
      </w:tr>
      <w:tr>
        <w:trPr>
          <w:trHeight w:val="229"/>
        </w:trPr>
        <w:tc>
          <w:tcPr>
            <w:tcW w:w="6160" w:type="dxa"/>
            <w:vAlign w:val="bottom"/>
          </w:tcPr>
          <w:p>
            <w:pPr>
              <w:ind w:left="220"/>
              <w:spacing w:after="0"/>
              <w:rPr>
                <w:sz w:val="20"/>
                <w:szCs w:val="20"/>
                <w:color w:val="auto"/>
              </w:rPr>
            </w:pPr>
            <w:r>
              <w:rPr>
                <w:rFonts w:ascii="Arial" w:cs="Arial" w:eastAsia="Arial" w:hAnsi="Arial"/>
                <w:sz w:val="18"/>
                <w:szCs w:val="18"/>
                <w:color w:val="auto"/>
              </w:rPr>
              <w:t>Accounts receivable, net</w:t>
            </w:r>
          </w:p>
        </w:tc>
        <w:tc>
          <w:tcPr>
            <w:tcW w:w="1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64,054</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54,002</w:t>
            </w:r>
          </w:p>
        </w:tc>
      </w:tr>
      <w:tr>
        <w:trPr>
          <w:trHeight w:val="229"/>
        </w:trPr>
        <w:tc>
          <w:tcPr>
            <w:tcW w:w="61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Inventory</w:t>
            </w:r>
          </w:p>
        </w:tc>
        <w:tc>
          <w:tcPr>
            <w:tcW w:w="18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33,949</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35,744</w:t>
            </w:r>
          </w:p>
        </w:tc>
      </w:tr>
      <w:tr>
        <w:trPr>
          <w:trHeight w:val="230"/>
        </w:trPr>
        <w:tc>
          <w:tcPr>
            <w:tcW w:w="6160" w:type="dxa"/>
            <w:vAlign w:val="bottom"/>
          </w:tcPr>
          <w:p>
            <w:pPr>
              <w:ind w:left="220"/>
              <w:spacing w:after="0"/>
              <w:rPr>
                <w:sz w:val="20"/>
                <w:szCs w:val="20"/>
                <w:color w:val="auto"/>
              </w:rPr>
            </w:pPr>
            <w:r>
              <w:rPr>
                <w:rFonts w:ascii="Arial" w:cs="Arial" w:eastAsia="Arial" w:hAnsi="Arial"/>
                <w:sz w:val="18"/>
                <w:szCs w:val="18"/>
                <w:color w:val="auto"/>
              </w:rPr>
              <w:t>Other current assets</w:t>
            </w:r>
          </w:p>
        </w:tc>
        <w:tc>
          <w:tcPr>
            <w:tcW w:w="1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12,043</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9,625</w:t>
            </w:r>
          </w:p>
        </w:tc>
      </w:tr>
      <w:tr>
        <w:trPr>
          <w:trHeight w:val="229"/>
        </w:trPr>
        <w:tc>
          <w:tcPr>
            <w:tcW w:w="61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Assets held for sale</w:t>
            </w:r>
          </w:p>
        </w:tc>
        <w:tc>
          <w:tcPr>
            <w:tcW w:w="180" w:type="dxa"/>
            <w:vAlign w:val="bottom"/>
            <w:shd w:val="clear" w:color="auto" w:fill="CCEEFF"/>
          </w:tcPr>
          <w:p>
            <w:pPr>
              <w:spacing w:after="0"/>
              <w:rPr>
                <w:sz w:val="19"/>
                <w:szCs w:val="19"/>
                <w:color w:val="auto"/>
              </w:rPr>
            </w:pPr>
          </w:p>
        </w:tc>
        <w:tc>
          <w:tcPr>
            <w:tcW w:w="13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5,242</w:t>
            </w:r>
          </w:p>
        </w:tc>
      </w:tr>
      <w:tr>
        <w:trPr>
          <w:trHeight w:val="223"/>
        </w:trPr>
        <w:tc>
          <w:tcPr>
            <w:tcW w:w="6160" w:type="dxa"/>
            <w:vAlign w:val="bottom"/>
          </w:tcPr>
          <w:p>
            <w:pPr>
              <w:ind w:left="460"/>
              <w:spacing w:after="0"/>
              <w:rPr>
                <w:sz w:val="20"/>
                <w:szCs w:val="20"/>
                <w:color w:val="auto"/>
              </w:rPr>
            </w:pPr>
            <w:r>
              <w:rPr>
                <w:rFonts w:ascii="Arial" w:cs="Arial" w:eastAsia="Arial" w:hAnsi="Arial"/>
                <w:sz w:val="18"/>
                <w:szCs w:val="18"/>
                <w:b w:val="1"/>
                <w:bCs w:val="1"/>
                <w:color w:val="auto"/>
              </w:rPr>
              <w:t>Total current assets</w:t>
            </w:r>
          </w:p>
        </w:tc>
        <w:tc>
          <w:tcPr>
            <w:tcW w:w="180" w:type="dxa"/>
            <w:vAlign w:val="bottom"/>
            <w:tcBorders>
              <w:top w:val="single" w:sz="8" w:color="auto"/>
            </w:tcBorders>
          </w:tcPr>
          <w:p>
            <w:pPr>
              <w:spacing w:after="0"/>
              <w:rPr>
                <w:sz w:val="19"/>
                <w:szCs w:val="19"/>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201,521</w:t>
            </w:r>
          </w:p>
        </w:tc>
        <w:tc>
          <w:tcPr>
            <w:tcW w:w="12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184,225</w:t>
            </w:r>
          </w:p>
        </w:tc>
      </w:tr>
      <w:tr>
        <w:trPr>
          <w:trHeight w:val="229"/>
        </w:trPr>
        <w:tc>
          <w:tcPr>
            <w:tcW w:w="6160" w:type="dxa"/>
            <w:vAlign w:val="bottom"/>
            <w:shd w:val="clear" w:color="auto" w:fill="CCEEFF"/>
          </w:tcPr>
          <w:p>
            <w:pPr>
              <w:ind w:left="20"/>
              <w:spacing w:after="0"/>
              <w:rPr>
                <w:sz w:val="20"/>
                <w:szCs w:val="20"/>
                <w:color w:val="auto"/>
              </w:rPr>
            </w:pPr>
            <w:r>
              <w:rPr>
                <w:rFonts w:ascii="Arial" w:cs="Arial" w:eastAsia="Arial" w:hAnsi="Arial"/>
                <w:sz w:val="18"/>
                <w:szCs w:val="18"/>
                <w:color w:val="auto"/>
              </w:rPr>
              <w:t>Property, plant and equipment, net</w:t>
            </w:r>
          </w:p>
        </w:tc>
        <w:tc>
          <w:tcPr>
            <w:tcW w:w="18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116,441</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120,171</w:t>
            </w:r>
          </w:p>
        </w:tc>
      </w:tr>
      <w:tr>
        <w:trPr>
          <w:trHeight w:val="230"/>
        </w:trPr>
        <w:tc>
          <w:tcPr>
            <w:tcW w:w="6160" w:type="dxa"/>
            <w:vAlign w:val="bottom"/>
          </w:tcPr>
          <w:p>
            <w:pPr>
              <w:ind w:left="20"/>
              <w:spacing w:after="0"/>
              <w:rPr>
                <w:sz w:val="20"/>
                <w:szCs w:val="20"/>
                <w:color w:val="auto"/>
              </w:rPr>
            </w:pPr>
            <w:r>
              <w:rPr>
                <w:rFonts w:ascii="Arial" w:cs="Arial" w:eastAsia="Arial" w:hAnsi="Arial"/>
                <w:sz w:val="18"/>
                <w:szCs w:val="18"/>
                <w:color w:val="auto"/>
              </w:rPr>
              <w:t>Intangibles, net</w:t>
            </w:r>
          </w:p>
        </w:tc>
        <w:tc>
          <w:tcPr>
            <w:tcW w:w="1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356,883</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376,012</w:t>
            </w:r>
          </w:p>
        </w:tc>
      </w:tr>
      <w:tr>
        <w:trPr>
          <w:trHeight w:val="229"/>
        </w:trPr>
        <w:tc>
          <w:tcPr>
            <w:tcW w:w="6160" w:type="dxa"/>
            <w:vAlign w:val="bottom"/>
            <w:shd w:val="clear" w:color="auto" w:fill="CCEEFF"/>
          </w:tcPr>
          <w:p>
            <w:pPr>
              <w:ind w:left="20"/>
              <w:spacing w:after="0"/>
              <w:rPr>
                <w:sz w:val="20"/>
                <w:szCs w:val="20"/>
                <w:color w:val="auto"/>
              </w:rPr>
            </w:pPr>
            <w:r>
              <w:rPr>
                <w:rFonts w:ascii="Arial" w:cs="Arial" w:eastAsia="Arial" w:hAnsi="Arial"/>
                <w:sz w:val="18"/>
                <w:szCs w:val="18"/>
                <w:color w:val="auto"/>
              </w:rPr>
              <w:t>Goodwill</w:t>
            </w:r>
          </w:p>
        </w:tc>
        <w:tc>
          <w:tcPr>
            <w:tcW w:w="18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61,189</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58,632</w:t>
            </w:r>
          </w:p>
        </w:tc>
      </w:tr>
      <w:tr>
        <w:trPr>
          <w:trHeight w:val="229"/>
        </w:trPr>
        <w:tc>
          <w:tcPr>
            <w:tcW w:w="6160" w:type="dxa"/>
            <w:vAlign w:val="bottom"/>
          </w:tcPr>
          <w:p>
            <w:pPr>
              <w:ind w:left="20"/>
              <w:spacing w:after="0"/>
              <w:rPr>
                <w:sz w:val="20"/>
                <w:szCs w:val="20"/>
                <w:color w:val="auto"/>
              </w:rPr>
            </w:pPr>
            <w:r>
              <w:rPr>
                <w:rFonts w:ascii="Arial" w:cs="Arial" w:eastAsia="Arial" w:hAnsi="Arial"/>
                <w:sz w:val="18"/>
                <w:szCs w:val="18"/>
                <w:color w:val="auto"/>
              </w:rPr>
              <w:t>Deferred tax assets, net</w:t>
            </w:r>
          </w:p>
        </w:tc>
        <w:tc>
          <w:tcPr>
            <w:tcW w:w="1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66,493</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70,147</w:t>
            </w:r>
          </w:p>
        </w:tc>
      </w:tr>
      <w:tr>
        <w:trPr>
          <w:trHeight w:val="230"/>
        </w:trPr>
        <w:tc>
          <w:tcPr>
            <w:tcW w:w="6160" w:type="dxa"/>
            <w:vAlign w:val="bottom"/>
            <w:shd w:val="clear" w:color="auto" w:fill="CCEEFF"/>
          </w:tcPr>
          <w:p>
            <w:pPr>
              <w:ind w:left="20"/>
              <w:spacing w:after="0"/>
              <w:rPr>
                <w:sz w:val="20"/>
                <w:szCs w:val="20"/>
                <w:color w:val="auto"/>
              </w:rPr>
            </w:pPr>
            <w:r>
              <w:rPr>
                <w:rFonts w:ascii="Arial" w:cs="Arial" w:eastAsia="Arial" w:hAnsi="Arial"/>
                <w:sz w:val="18"/>
                <w:szCs w:val="18"/>
                <w:color w:val="auto"/>
              </w:rPr>
              <w:t>Other long-term assets</w:t>
            </w:r>
          </w:p>
        </w:tc>
        <w:tc>
          <w:tcPr>
            <w:tcW w:w="18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45,289</w:t>
            </w:r>
          </w:p>
        </w:tc>
        <w:tc>
          <w:tcPr>
            <w:tcW w:w="12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60,634</w:t>
            </w:r>
          </w:p>
        </w:tc>
      </w:tr>
      <w:tr>
        <w:trPr>
          <w:trHeight w:val="223"/>
        </w:trPr>
        <w:tc>
          <w:tcPr>
            <w:tcW w:w="6160" w:type="dxa"/>
            <w:vAlign w:val="bottom"/>
          </w:tcPr>
          <w:p>
            <w:pPr>
              <w:ind w:left="220"/>
              <w:spacing w:after="0"/>
              <w:rPr>
                <w:sz w:val="20"/>
                <w:szCs w:val="20"/>
                <w:color w:val="auto"/>
              </w:rPr>
            </w:pPr>
            <w:r>
              <w:rPr>
                <w:rFonts w:ascii="Arial" w:cs="Arial" w:eastAsia="Arial" w:hAnsi="Arial"/>
                <w:sz w:val="18"/>
                <w:szCs w:val="18"/>
                <w:b w:val="1"/>
                <w:bCs w:val="1"/>
                <w:color w:val="auto"/>
              </w:rPr>
              <w:t>Total assets</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847,816</w:t>
            </w:r>
          </w:p>
        </w:tc>
        <w:tc>
          <w:tcPr>
            <w:tcW w:w="120" w:type="dxa"/>
            <w:vAlign w:val="bottom"/>
          </w:tcPr>
          <w:p>
            <w:pPr>
              <w:spacing w:after="0"/>
              <w:rPr>
                <w:sz w:val="19"/>
                <w:szCs w:val="19"/>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869,821</w:t>
            </w:r>
          </w:p>
        </w:tc>
      </w:tr>
      <w:tr>
        <w:trPr>
          <w:trHeight w:val="20"/>
        </w:trPr>
        <w:tc>
          <w:tcPr>
            <w:tcW w:w="616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r>
      <w:tr>
        <w:trPr>
          <w:trHeight w:val="197"/>
        </w:trPr>
        <w:tc>
          <w:tcPr>
            <w:tcW w:w="6160" w:type="dxa"/>
            <w:vAlign w:val="bottom"/>
            <w:shd w:val="clear" w:color="auto" w:fill="CCEEFF"/>
          </w:tcPr>
          <w:p>
            <w:pPr>
              <w:ind w:left="20"/>
              <w:spacing w:after="0" w:line="196" w:lineRule="exact"/>
              <w:rPr>
                <w:sz w:val="20"/>
                <w:szCs w:val="20"/>
                <w:color w:val="auto"/>
              </w:rPr>
            </w:pPr>
            <w:r>
              <w:rPr>
                <w:rFonts w:ascii="Arial" w:cs="Arial" w:eastAsia="Arial" w:hAnsi="Arial"/>
                <w:sz w:val="18"/>
                <w:szCs w:val="18"/>
                <w:b w:val="1"/>
                <w:bCs w:val="1"/>
                <w:color w:val="auto"/>
              </w:rPr>
              <w:t>Liabilities and stockholders’ equity</w:t>
            </w:r>
          </w:p>
        </w:tc>
        <w:tc>
          <w:tcPr>
            <w:tcW w:w="18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r>
      <w:tr>
        <w:trPr>
          <w:trHeight w:val="229"/>
        </w:trPr>
        <w:tc>
          <w:tcPr>
            <w:tcW w:w="6160" w:type="dxa"/>
            <w:vAlign w:val="bottom"/>
          </w:tcPr>
          <w:p>
            <w:pPr>
              <w:ind w:left="20"/>
              <w:spacing w:after="0"/>
              <w:rPr>
                <w:sz w:val="20"/>
                <w:szCs w:val="20"/>
                <w:color w:val="auto"/>
              </w:rPr>
            </w:pPr>
            <w:r>
              <w:rPr>
                <w:rFonts w:ascii="Arial" w:cs="Arial" w:eastAsia="Arial" w:hAnsi="Arial"/>
                <w:sz w:val="18"/>
                <w:szCs w:val="18"/>
                <w:b w:val="1"/>
                <w:bCs w:val="1"/>
                <w:color w:val="auto"/>
              </w:rPr>
              <w:t>Current liabilities</w:t>
            </w:r>
          </w:p>
        </w:tc>
        <w:tc>
          <w:tcPr>
            <w:tcW w:w="18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0" w:type="dxa"/>
            <w:vAlign w:val="bottom"/>
          </w:tcPr>
          <w:p>
            <w:pPr>
              <w:spacing w:after="0"/>
              <w:rPr>
                <w:sz w:val="19"/>
                <w:szCs w:val="19"/>
                <w:color w:val="auto"/>
              </w:rPr>
            </w:pPr>
          </w:p>
        </w:tc>
      </w:tr>
      <w:tr>
        <w:trPr>
          <w:trHeight w:val="230"/>
        </w:trPr>
        <w:tc>
          <w:tcPr>
            <w:tcW w:w="61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Current portion of long-term debt and other borrowings</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10,356</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20,701</w:t>
            </w:r>
          </w:p>
        </w:tc>
      </w:tr>
      <w:tr>
        <w:trPr>
          <w:trHeight w:val="229"/>
        </w:trPr>
        <w:tc>
          <w:tcPr>
            <w:tcW w:w="6160" w:type="dxa"/>
            <w:vAlign w:val="bottom"/>
          </w:tcPr>
          <w:p>
            <w:pPr>
              <w:ind w:left="220"/>
              <w:spacing w:after="0"/>
              <w:rPr>
                <w:sz w:val="20"/>
                <w:szCs w:val="20"/>
                <w:color w:val="auto"/>
              </w:rPr>
            </w:pPr>
            <w:r>
              <w:rPr>
                <w:rFonts w:ascii="Arial" w:cs="Arial" w:eastAsia="Arial" w:hAnsi="Arial"/>
                <w:sz w:val="18"/>
                <w:szCs w:val="18"/>
                <w:color w:val="auto"/>
              </w:rPr>
              <w:t>Accounts payable</w:t>
            </w:r>
          </w:p>
        </w:tc>
        <w:tc>
          <w:tcPr>
            <w:tcW w:w="1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20,508</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16,284</w:t>
            </w:r>
          </w:p>
        </w:tc>
      </w:tr>
      <w:tr>
        <w:trPr>
          <w:trHeight w:val="230"/>
        </w:trPr>
        <w:tc>
          <w:tcPr>
            <w:tcW w:w="61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Accrued expenses and other liabilities</w:t>
            </w:r>
          </w:p>
        </w:tc>
        <w:tc>
          <w:tcPr>
            <w:tcW w:w="18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46,039</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41,726</w:t>
            </w:r>
          </w:p>
        </w:tc>
      </w:tr>
      <w:tr>
        <w:trPr>
          <w:trHeight w:val="229"/>
        </w:trPr>
        <w:tc>
          <w:tcPr>
            <w:tcW w:w="6160" w:type="dxa"/>
            <w:vAlign w:val="bottom"/>
          </w:tcPr>
          <w:p>
            <w:pPr>
              <w:ind w:left="220"/>
              <w:spacing w:after="0"/>
              <w:rPr>
                <w:sz w:val="20"/>
                <w:szCs w:val="20"/>
                <w:color w:val="auto"/>
              </w:rPr>
            </w:pPr>
            <w:r>
              <w:rPr>
                <w:rFonts w:ascii="Arial" w:cs="Arial" w:eastAsia="Arial" w:hAnsi="Arial"/>
                <w:sz w:val="18"/>
                <w:szCs w:val="18"/>
                <w:color w:val="auto"/>
              </w:rPr>
              <w:t>Liabilities held for sale</w:t>
            </w:r>
          </w:p>
        </w:tc>
        <w:tc>
          <w:tcPr>
            <w:tcW w:w="180" w:type="dxa"/>
            <w:vAlign w:val="bottom"/>
          </w:tcPr>
          <w:p>
            <w:pPr>
              <w:spacing w:after="0"/>
              <w:rPr>
                <w:sz w:val="19"/>
                <w:szCs w:val="19"/>
                <w:color w:val="auto"/>
              </w:rPr>
            </w:pPr>
          </w:p>
        </w:tc>
        <w:tc>
          <w:tcPr>
            <w:tcW w:w="132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1,793</w:t>
            </w:r>
          </w:p>
        </w:tc>
      </w:tr>
      <w:tr>
        <w:trPr>
          <w:trHeight w:val="223"/>
        </w:trPr>
        <w:tc>
          <w:tcPr>
            <w:tcW w:w="6160" w:type="dxa"/>
            <w:vAlign w:val="bottom"/>
            <w:tcBorders>
              <w:top w:val="single" w:sz="8" w:color="CCEEFF"/>
            </w:tcBorders>
            <w:shd w:val="clear" w:color="auto" w:fill="CCEEFF"/>
          </w:tcPr>
          <w:p>
            <w:pPr>
              <w:ind w:left="460"/>
              <w:spacing w:after="0"/>
              <w:rPr>
                <w:sz w:val="20"/>
                <w:szCs w:val="20"/>
                <w:color w:val="auto"/>
              </w:rPr>
            </w:pPr>
            <w:r>
              <w:rPr>
                <w:rFonts w:ascii="Arial" w:cs="Arial" w:eastAsia="Arial" w:hAnsi="Arial"/>
                <w:sz w:val="18"/>
                <w:szCs w:val="18"/>
                <w:b w:val="1"/>
                <w:bCs w:val="1"/>
                <w:color w:val="auto"/>
              </w:rPr>
              <w:t>Total current liabilities</w:t>
            </w:r>
          </w:p>
        </w:tc>
        <w:tc>
          <w:tcPr>
            <w:tcW w:w="180" w:type="dxa"/>
            <w:vAlign w:val="bottom"/>
            <w:tcBorders>
              <w:top w:val="single" w:sz="8" w:color="auto"/>
            </w:tcBorders>
            <w:shd w:val="clear" w:color="auto" w:fill="CCEEFF"/>
          </w:tcPr>
          <w:p>
            <w:pPr>
              <w:spacing w:after="0"/>
              <w:rPr>
                <w:sz w:val="19"/>
                <w:szCs w:val="19"/>
                <w:color w:val="auto"/>
              </w:rPr>
            </w:pPr>
          </w:p>
        </w:tc>
        <w:tc>
          <w:tcPr>
            <w:tcW w:w="12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76,903</w:t>
            </w:r>
          </w:p>
        </w:tc>
        <w:tc>
          <w:tcPr>
            <w:tcW w:w="120" w:type="dxa"/>
            <w:vAlign w:val="bottom"/>
            <w:tcBorders>
              <w:top w:val="single" w:sz="8" w:color="CCEEFF"/>
            </w:tcBorders>
            <w:shd w:val="clear" w:color="auto" w:fill="CCEEFF"/>
          </w:tcPr>
          <w:p>
            <w:pPr>
              <w:spacing w:after="0"/>
              <w:rPr>
                <w:sz w:val="19"/>
                <w:szCs w:val="19"/>
                <w:color w:val="auto"/>
              </w:rPr>
            </w:pPr>
          </w:p>
        </w:tc>
        <w:tc>
          <w:tcPr>
            <w:tcW w:w="180" w:type="dxa"/>
            <w:vAlign w:val="bottom"/>
            <w:tcBorders>
              <w:top w:val="single" w:sz="8" w:color="auto"/>
            </w:tcBorders>
            <w:shd w:val="clear" w:color="auto" w:fill="CCEEFF"/>
          </w:tcPr>
          <w:p>
            <w:pPr>
              <w:spacing w:after="0"/>
              <w:rPr>
                <w:sz w:val="19"/>
                <w:szCs w:val="19"/>
                <w:color w:val="auto"/>
              </w:rPr>
            </w:pPr>
          </w:p>
        </w:tc>
        <w:tc>
          <w:tcPr>
            <w:tcW w:w="12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80,504</w:t>
            </w:r>
          </w:p>
        </w:tc>
      </w:tr>
      <w:tr>
        <w:trPr>
          <w:trHeight w:val="230"/>
        </w:trPr>
        <w:tc>
          <w:tcPr>
            <w:tcW w:w="6160" w:type="dxa"/>
            <w:vAlign w:val="bottom"/>
          </w:tcPr>
          <w:p>
            <w:pPr>
              <w:ind w:left="20"/>
              <w:spacing w:after="0"/>
              <w:rPr>
                <w:sz w:val="20"/>
                <w:szCs w:val="20"/>
                <w:color w:val="auto"/>
              </w:rPr>
            </w:pPr>
            <w:r>
              <w:rPr>
                <w:rFonts w:ascii="Arial" w:cs="Arial" w:eastAsia="Arial" w:hAnsi="Arial"/>
                <w:sz w:val="18"/>
                <w:szCs w:val="18"/>
                <w:color w:val="auto"/>
              </w:rPr>
              <w:t>Asset retirement obligations</w:t>
            </w:r>
          </w:p>
        </w:tc>
        <w:tc>
          <w:tcPr>
            <w:tcW w:w="1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15,185</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14,020</w:t>
            </w:r>
          </w:p>
        </w:tc>
      </w:tr>
      <w:tr>
        <w:trPr>
          <w:trHeight w:val="230"/>
        </w:trPr>
        <w:tc>
          <w:tcPr>
            <w:tcW w:w="6160" w:type="dxa"/>
            <w:vAlign w:val="bottom"/>
            <w:shd w:val="clear" w:color="auto" w:fill="CCEEFF"/>
          </w:tcPr>
          <w:p>
            <w:pPr>
              <w:ind w:left="20"/>
              <w:spacing w:after="0"/>
              <w:rPr>
                <w:sz w:val="20"/>
                <w:szCs w:val="20"/>
                <w:color w:val="auto"/>
              </w:rPr>
            </w:pPr>
            <w:r>
              <w:rPr>
                <w:rFonts w:ascii="Arial" w:cs="Arial" w:eastAsia="Arial" w:hAnsi="Arial"/>
                <w:sz w:val="18"/>
                <w:szCs w:val="18"/>
                <w:color w:val="auto"/>
              </w:rPr>
              <w:t>Long-term debt, net and other borrowings</w:t>
            </w:r>
          </w:p>
        </w:tc>
        <w:tc>
          <w:tcPr>
            <w:tcW w:w="18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166,741</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197,699</w:t>
            </w:r>
          </w:p>
        </w:tc>
      </w:tr>
      <w:tr>
        <w:trPr>
          <w:trHeight w:val="229"/>
        </w:trPr>
        <w:tc>
          <w:tcPr>
            <w:tcW w:w="616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Other long-term liabilities</w:t>
            </w:r>
          </w:p>
        </w:tc>
        <w:tc>
          <w:tcPr>
            <w:tcW w:w="18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89,643</w:t>
            </w:r>
          </w:p>
        </w:tc>
        <w:tc>
          <w:tcPr>
            <w:tcW w:w="12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63,393</w:t>
            </w:r>
          </w:p>
        </w:tc>
      </w:tr>
      <w:tr>
        <w:trPr>
          <w:trHeight w:val="223"/>
        </w:trPr>
        <w:tc>
          <w:tcPr>
            <w:tcW w:w="6160" w:type="dxa"/>
            <w:vAlign w:val="bottom"/>
            <w:shd w:val="clear" w:color="auto" w:fill="CCEEFF"/>
          </w:tcPr>
          <w:p>
            <w:pPr>
              <w:ind w:left="220"/>
              <w:spacing w:after="0"/>
              <w:rPr>
                <w:sz w:val="20"/>
                <w:szCs w:val="20"/>
                <w:color w:val="auto"/>
              </w:rPr>
            </w:pPr>
            <w:r>
              <w:rPr>
                <w:rFonts w:ascii="Arial" w:cs="Arial" w:eastAsia="Arial" w:hAnsi="Arial"/>
                <w:sz w:val="18"/>
                <w:szCs w:val="18"/>
                <w:b w:val="1"/>
                <w:bCs w:val="1"/>
                <w:color w:val="auto"/>
              </w:rPr>
              <w:t>Total liabilities</w:t>
            </w:r>
          </w:p>
        </w:tc>
        <w:tc>
          <w:tcPr>
            <w:tcW w:w="18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348,472</w:t>
            </w:r>
          </w:p>
        </w:tc>
        <w:tc>
          <w:tcPr>
            <w:tcW w:w="12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355,616</w:t>
            </w:r>
          </w:p>
        </w:tc>
      </w:tr>
      <w:tr>
        <w:trPr>
          <w:trHeight w:val="223"/>
        </w:trPr>
        <w:tc>
          <w:tcPr>
            <w:tcW w:w="6160" w:type="dxa"/>
            <w:vAlign w:val="bottom"/>
            <w:tcBorders>
              <w:bottom w:val="single" w:sz="8" w:color="CCEEFF"/>
            </w:tcBorders>
          </w:tcPr>
          <w:p>
            <w:pPr>
              <w:ind w:left="20"/>
              <w:spacing w:after="0"/>
              <w:rPr>
                <w:sz w:val="20"/>
                <w:szCs w:val="20"/>
                <w:color w:val="auto"/>
              </w:rPr>
            </w:pPr>
            <w:r>
              <w:rPr>
                <w:rFonts w:ascii="Arial" w:cs="Arial" w:eastAsia="Arial" w:hAnsi="Arial"/>
                <w:sz w:val="18"/>
                <w:szCs w:val="18"/>
                <w:b w:val="1"/>
                <w:bCs w:val="1"/>
                <w:color w:val="auto"/>
              </w:rPr>
              <w:t>Total stockholders’ equity</w:t>
            </w:r>
          </w:p>
        </w:tc>
        <w:tc>
          <w:tcPr>
            <w:tcW w:w="18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499,344</w:t>
            </w:r>
          </w:p>
        </w:tc>
        <w:tc>
          <w:tcPr>
            <w:tcW w:w="12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514,205</w:t>
            </w:r>
          </w:p>
        </w:tc>
      </w:tr>
      <w:tr>
        <w:trPr>
          <w:trHeight w:val="248"/>
        </w:trPr>
        <w:tc>
          <w:tcPr>
            <w:tcW w:w="616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b w:val="1"/>
                <w:bCs w:val="1"/>
                <w:color w:val="auto"/>
              </w:rPr>
              <w:t>Total liabilities and stockholders’ equity</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847,816</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869,821</w:t>
            </w:r>
          </w:p>
        </w:tc>
      </w:tr>
      <w:tr>
        <w:trPr>
          <w:trHeight w:val="20"/>
        </w:trPr>
        <w:tc>
          <w:tcPr>
            <w:tcW w:w="616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r>
    </w:tbl>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8 of 9</w:t>
      </w:r>
    </w:p>
    <w:p>
      <w:pPr>
        <w:sectPr>
          <w:pgSz w:w="11900" w:h="16838" w:orient="portrait"/>
          <w:cols w:equalWidth="0" w:num="1">
            <w:col w:w="9040"/>
          </w:cols>
          <w:pgMar w:left="1420" w:top="715" w:right="1439" w:bottom="1440" w:gutter="0" w:footer="0" w:header="0"/>
        </w:sectPr>
      </w:pPr>
    </w:p>
    <w:bookmarkStart w:id="11" w:name="page12"/>
    <w:bookmarkEnd w:id="11"/>
    <w:p>
      <w:pPr>
        <w:ind w:left="5480"/>
        <w:spacing w:after="0"/>
        <w:rPr>
          <w:sz w:val="20"/>
          <w:szCs w:val="20"/>
          <w:color w:val="auto"/>
        </w:rPr>
      </w:pPr>
      <w:r>
        <w:rPr>
          <w:rFonts w:ascii="Arial" w:cs="Arial" w:eastAsia="Arial" w:hAnsi="Arial"/>
          <w:sz w:val="18"/>
          <w:szCs w:val="18"/>
          <w:color w:val="auto"/>
        </w:rPr>
        <w:t>###</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Contacts:</w:t>
      </w:r>
    </w:p>
    <w:p>
      <w:pPr>
        <w:spacing w:after="0" w:line="67" w:lineRule="exact"/>
        <w:rPr>
          <w:sz w:val="20"/>
          <w:szCs w:val="20"/>
          <w:color w:val="auto"/>
        </w:rPr>
      </w:pPr>
    </w:p>
    <w:p>
      <w:pPr>
        <w:spacing w:after="0"/>
        <w:rPr>
          <w:sz w:val="20"/>
          <w:szCs w:val="20"/>
          <w:color w:val="auto"/>
        </w:rPr>
      </w:pPr>
      <w:r>
        <w:rPr>
          <w:rFonts w:ascii="Arial" w:cs="Arial" w:eastAsia="Arial" w:hAnsi="Arial"/>
          <w:sz w:val="18"/>
          <w:szCs w:val="18"/>
          <w:color w:val="auto"/>
        </w:rPr>
        <w:t>Mark Kinarney</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color w:val="auto"/>
        </w:rPr>
        <w:t>Senior Director, Investor Relations</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color w:val="auto"/>
        </w:rPr>
        <w:t>978-671-8842</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color w:val="auto"/>
        </w:rPr>
        <w:t>ir@lantheus.com</w:t>
      </w:r>
    </w:p>
    <w:p>
      <w:pPr>
        <w:spacing w:after="0" w:line="200" w:lineRule="exact"/>
        <w:rPr>
          <w:sz w:val="20"/>
          <w:szCs w:val="20"/>
          <w:color w:val="auto"/>
        </w:rPr>
      </w:pPr>
    </w:p>
    <w:p>
      <w:pPr>
        <w:spacing w:after="0" w:line="363" w:lineRule="exact"/>
        <w:rPr>
          <w:sz w:val="20"/>
          <w:szCs w:val="20"/>
          <w:color w:val="auto"/>
        </w:rPr>
      </w:pPr>
    </w:p>
    <w:p>
      <w:pPr>
        <w:spacing w:after="0"/>
        <w:rPr>
          <w:sz w:val="20"/>
          <w:szCs w:val="20"/>
          <w:color w:val="auto"/>
        </w:rPr>
      </w:pPr>
      <w:r>
        <w:rPr>
          <w:rFonts w:ascii="Arial" w:cs="Arial" w:eastAsia="Arial" w:hAnsi="Arial"/>
          <w:sz w:val="18"/>
          <w:szCs w:val="18"/>
          <w:color w:val="auto"/>
        </w:rPr>
        <w:t>Melissa Downs</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color w:val="auto"/>
        </w:rPr>
        <w:t>Director, Corporate Communications</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color w:val="auto"/>
        </w:rPr>
        <w:t>646-975-2533</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color w:val="auto"/>
        </w:rPr>
        <w:t>media@lantheus.com</w:t>
      </w:r>
    </w:p>
    <w:p>
      <w:pPr>
        <w:spacing w:after="0" w:line="158" w:lineRule="exact"/>
        <w:rPr>
          <w:sz w:val="20"/>
          <w:szCs w:val="20"/>
          <w:color w:val="auto"/>
        </w:rPr>
      </w:pPr>
    </w:p>
    <w:p>
      <w:pPr>
        <w:jc w:val="right"/>
        <w:ind w:right="4099"/>
        <w:spacing w:after="0"/>
        <w:rPr>
          <w:sz w:val="20"/>
          <w:szCs w:val="20"/>
          <w:color w:val="auto"/>
        </w:rPr>
      </w:pPr>
      <w:r>
        <w:rPr>
          <w:rFonts w:ascii="Arial" w:cs="Arial" w:eastAsia="Arial" w:hAnsi="Arial"/>
          <w:sz w:val="18"/>
          <w:szCs w:val="18"/>
          <w:color w:val="auto"/>
        </w:rPr>
        <w:t>Page 9 of 9</w:t>
      </w:r>
    </w:p>
    <w:sectPr>
      <w:pgSz w:w="11900" w:h="16838" w:orient="portrait"/>
      <w:cols w:equalWidth="0" w:num="1">
        <w:col w:w="10139"/>
      </w:cols>
      <w:pgMar w:left="320" w:top="881"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
      <w:numFmt w:val="bullet"/>
      <w:start w:val="1"/>
    </w:lvl>
    <w:lvl w:ilvl="1">
      <w:lvlJc w:val="left"/>
      <w:lvlText w:val="%2"/>
      <w:numFmt w:val="decimal"/>
      <w:start w:val="104"/>
    </w:lvl>
  </w:abstractNum>
  <w:abstractNum w:abstractNumId="2">
    <w:nsid w:val="625558EC"/>
    <w:multiLevelType w:val="hybridMultilevel"/>
    <w:lvl w:ilvl="0">
      <w:lvlJc w:val="left"/>
      <w:lvlText w:val="•"/>
      <w:numFmt w:val="bullet"/>
      <w:start w:val="1"/>
    </w:lvl>
  </w:abstractNum>
  <w:abstractNum w:abstractNumId="3">
    <w:nsid w:val="238E1F29"/>
    <w:multiLevelType w:val="hybridMultilevel"/>
    <w:lvl w:ilvl="0">
      <w:lvlJc w:val="left"/>
      <w:lvlText w:val="%1."/>
      <w:numFmt w:val="decimal"/>
      <w:start w:val="1"/>
    </w:lvl>
  </w:abstractNum>
  <w:abstractNum w:abstractNumId="4">
    <w:nsid w:val="46E87CCD"/>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2021-11-04T06:40:20Z</dcterms:created>
  <dcterms:modified xsi:type="dcterms:W3CDTF">2021-11-04T06:40:20Z</dcterms:modified>
</cp:coreProperties>
</file>