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214630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241935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219075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219075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11080"/>
          </w:cols>
          <w:pgMar w:left="320" w:top="1226" w:right="49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35-2318913</w:t>
      </w:r>
    </w:p>
    <w:p>
      <w:pPr>
        <w:spacing w:after="0" w:line="12" w:lineRule="exact"/>
        <w:rPr>
          <w:sz w:val="24"/>
          <w:szCs w:val="24"/>
          <w:color w:val="auto"/>
        </w:rPr>
      </w:pPr>
    </w:p>
    <w:p>
      <w:pPr>
        <w:sectPr>
          <w:pgSz w:w="11900" w:h="16838" w:orient="portrait"/>
          <w:cols w:equalWidth="0" w:num="3">
            <w:col w:w="4500" w:space="720"/>
            <w:col w:w="2980" w:space="720"/>
            <w:col w:w="2160"/>
          </w:cols>
          <w:pgMar w:left="320" w:top="1226" w:right="49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880" w:space="720"/>
            <w:col w:w="2280"/>
          </w:cols>
          <w:pgMar w:left="320" w:top="1226" w:right="49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7"/>
          <w:szCs w:val="17"/>
          <w:b w:val="1"/>
          <w:bCs w:val="1"/>
          <w:color w:val="auto"/>
        </w:rPr>
        <w:t>201 Burlington Road, South Building, Bedford,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01730</w:t>
      </w:r>
    </w:p>
    <w:p>
      <w:pPr>
        <w:spacing w:after="0" w:line="31" w:lineRule="exact"/>
        <w:rPr>
          <w:sz w:val="24"/>
          <w:szCs w:val="24"/>
          <w:color w:val="auto"/>
        </w:rPr>
      </w:pPr>
    </w:p>
    <w:p>
      <w:pPr>
        <w:sectPr>
          <w:pgSz w:w="11900" w:h="16838" w:orient="portrait"/>
          <w:cols w:equalWidth="0" w:num="2">
            <w:col w:w="7380" w:space="720"/>
            <w:col w:w="2980"/>
          </w:cols>
          <w:pgMar w:left="320" w:top="1226" w:right="49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0" w:space="720"/>
            <w:col w:w="3080"/>
          </w:cols>
          <w:pgMar w:left="320" w:top="1226"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671-8001</w:t>
      </w:r>
    </w:p>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232410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right="340" w:firstLine="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640" w:firstLine="48"/>
        <w:spacing w:after="0" w:line="407"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750" w:type="dxa"/>
        <w:tblCellMar>
          <w:top w:w="0" w:type="dxa"/>
          <w:left w:w="0" w:type="dxa"/>
          <w:bottom w:w="0" w:type="dxa"/>
          <w:right w:w="0" w:type="dxa"/>
        </w:tblCellMar>
      </w:tblPr>
      <w:tr>
        <w:trPr>
          <w:trHeight w:val="243"/>
        </w:trPr>
        <w:tc>
          <w:tcPr>
            <w:tcW w:w="3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LNTH</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9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6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120015</wp:posOffset>
            </wp:positionV>
            <wp:extent cx="7046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659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59690</wp:posOffset>
            </wp:positionV>
            <wp:extent cx="7046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080"/>
          </w:cols>
          <w:pgMar w:left="320" w:top="1226" w:right="499" w:bottom="1440" w:gutter="0" w:footer="0" w:header="0"/>
          <w:type w:val="continuous"/>
        </w:sectPr>
      </w:pPr>
    </w:p>
    <w:bookmarkStart w:id="1" w:name="page2"/>
    <w:bookmarkEnd w:id="1"/>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9, 2024, Lantheus Holdings, Inc. (the “Company”) announced via press release certain unaudited financial results for the twelve months ended December 31, 2023. A copy of that press release is being furnished as Exhibit 99.1 and is hereby incorporated by reference.</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8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80"/>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7551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20" w:lineRule="exact"/>
        <w:rPr>
          <w:sz w:val="20"/>
          <w:szCs w:val="20"/>
          <w:color w:val="auto"/>
        </w:rPr>
      </w:pPr>
    </w:p>
    <w:p>
      <w:pPr>
        <w:ind w:left="32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Lantheus Holdings, Inc. dated January 9, 2024, entitled "Lantheus Reports Preliminary Fiscal Year 2023 Revenue"</w:t>
      </w:r>
    </w:p>
    <w:p>
      <w:pPr>
        <w:spacing w:after="0" w:line="27" w:lineRule="exact"/>
        <w:rPr>
          <w:sz w:val="20"/>
          <w:szCs w:val="20"/>
          <w:color w:val="auto"/>
        </w:rPr>
      </w:pPr>
    </w:p>
    <w:p>
      <w:pPr>
        <w:ind w:left="1180" w:hanging="787"/>
        <w:spacing w:after="0"/>
        <w:tabs>
          <w:tab w:leader="none" w:pos="11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16" w:lineRule="exact"/>
        <w:rPr>
          <w:rFonts w:ascii="Times New Roman" w:cs="Times New Roman" w:eastAsia="Times New Roman" w:hAnsi="Times New Roman"/>
          <w:sz w:val="18"/>
          <w:szCs w:val="18"/>
          <w:color w:val="auto"/>
        </w:rPr>
      </w:pPr>
    </w:p>
    <w:p>
      <w:pPr>
        <w:ind w:left="460" w:right="100" w:hanging="405"/>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 99.1 attached hereto are being furnished and shall not be deemed “filed” for purposes of Section 18 of the Exchange Act, as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subject to the liabilities of that section, nor shall such information be deemed incorporated by reference in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43" w:lineRule="exact"/>
        <w:rPr>
          <w:sz w:val="20"/>
          <w:szCs w:val="20"/>
          <w:color w:val="auto"/>
        </w:rPr>
      </w:pPr>
    </w:p>
    <w:tbl>
      <w:tblPr>
        <w:tblLayout w:type="fixed"/>
        <w:tblInd w:w="66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M. Niedzwiecki</w:t>
            </w:r>
          </w:p>
        </w:tc>
        <w:tc>
          <w:tcPr>
            <w:tcW w:w="0" w:type="dxa"/>
            <w:vAlign w:val="bottom"/>
          </w:tcPr>
          <w:p>
            <w:pPr>
              <w:spacing w:after="0"/>
              <w:rPr>
                <w:sz w:val="1"/>
                <w:szCs w:val="1"/>
                <w:color w:val="auto"/>
              </w:rPr>
            </w:pPr>
          </w:p>
        </w:tc>
      </w:tr>
      <w:tr>
        <w:trPr>
          <w:trHeight w:val="88"/>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M. Niedzwiecki</w:t>
            </w:r>
          </w:p>
        </w:tc>
        <w:tc>
          <w:tcPr>
            <w:tcW w:w="0" w:type="dxa"/>
            <w:vAlign w:val="bottom"/>
          </w:tcPr>
          <w:p>
            <w:pPr>
              <w:spacing w:after="0"/>
              <w:rPr>
                <w:sz w:val="1"/>
                <w:szCs w:val="1"/>
                <w:color w:val="auto"/>
              </w:rPr>
            </w:pP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9, 2024</w:t>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173990</wp:posOffset>
            </wp:positionV>
            <wp:extent cx="216852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Reports Preliminary Fiscal Year 2023 Revenue</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Full year 2023 worldwide revenue expected to be in the range of $1.295 – 1.297 billion, a 38 - 39% increase over the prior year including a $15 million RELISTOR milestone achievement</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Full year 2023 PYLARIFY revenue expected to be in the range of $851 - 853 million, pending final partner reconciliation, an increase of 61 - 62% over the prior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year 2023 DEFINITY revenue expected to be approximately $279 million, a 14% increase over the prior year</w:t>
      </w:r>
    </w:p>
    <w:p>
      <w:pPr>
        <w:spacing w:after="0" w:line="223"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b w:val="1"/>
          <w:bCs w:val="1"/>
          <w:color w:val="auto"/>
        </w:rPr>
        <w:t>BEDFORD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Mass.</w:t>
      </w:r>
      <w:r>
        <w:rPr>
          <w:rFonts w:ascii="Times New Roman" w:cs="Times New Roman" w:eastAsia="Times New Roman" w:hAnsi="Times New Roman"/>
          <w:sz w:val="18"/>
          <w:szCs w:val="18"/>
          <w:color w:val="auto"/>
        </w:rPr>
        <w:t>, January 09, 2024 (GLOBE NEWSWIRE) – Lantheus Holdings, Inc. (the Company) (NASDAQ: LNTH), the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radiopharmaceutical-focused company committed to enabling clinicians to Find, Fight and Follow disease to deliver better patient outcomes, today reported certain preliminary unaudited financial results for its fiscal year ended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Year 2023 Revenue Highlights</w:t>
      </w:r>
    </w:p>
    <w:p>
      <w:pPr>
        <w:spacing w:after="0" w:line="31" w:lineRule="exact"/>
        <w:rPr>
          <w:sz w:val="20"/>
          <w:szCs w:val="20"/>
          <w:color w:val="auto"/>
        </w:rPr>
      </w:pPr>
    </w:p>
    <w:tbl>
      <w:tblPr>
        <w:tblLayout w:type="fixed"/>
        <w:tblInd w:w="1200" w:type="dxa"/>
        <w:tblCellMar>
          <w:top w:w="0" w:type="dxa"/>
          <w:left w:w="0" w:type="dxa"/>
          <w:bottom w:w="0" w:type="dxa"/>
          <w:right w:w="0" w:type="dxa"/>
        </w:tblCellMar>
      </w:tblPr>
      <w:tr>
        <w:trPr>
          <w:trHeight w:val="263"/>
        </w:trPr>
        <w:tc>
          <w:tcPr>
            <w:tcW w:w="1720" w:type="dxa"/>
            <w:vAlign w:val="bottom"/>
            <w:tcBorders>
              <w:top w:val="single" w:sz="8" w:color="auto"/>
            </w:tcBorders>
            <w:shd w:val="clear" w:color="auto" w:fill="CCEEFF"/>
          </w:tcPr>
          <w:p>
            <w:pPr>
              <w:spacing w:after="0"/>
              <w:rPr>
                <w:sz w:val="22"/>
                <w:szCs w:val="22"/>
                <w:color w:val="auto"/>
              </w:rPr>
            </w:pPr>
          </w:p>
        </w:tc>
        <w:tc>
          <w:tcPr>
            <w:tcW w:w="2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Year Ended December 31, 2022</w:t>
            </w:r>
          </w:p>
        </w:tc>
        <w:tc>
          <w:tcPr>
            <w:tcW w:w="14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YoY Change</w:t>
            </w:r>
          </w:p>
        </w:tc>
      </w:tr>
      <w:tr>
        <w:trPr>
          <w:trHeight w:val="257"/>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 Revenue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$1.295 - 1.297 billion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$935.1 million</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+38 - 39%</w:t>
            </w:r>
          </w:p>
        </w:tc>
      </w:tr>
      <w:tr>
        <w:trPr>
          <w:trHeight w:val="257"/>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PYLARIFY Revenue</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$851 - 853 million</w:t>
            </w: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$527.4 million</w:t>
            </w:r>
          </w:p>
        </w:tc>
        <w:tc>
          <w:tcPr>
            <w:tcW w:w="1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+61 - 62%</w:t>
            </w:r>
          </w:p>
        </w:tc>
      </w:tr>
    </w:tbl>
    <w:p>
      <w:pPr>
        <w:spacing w:after="0" w:line="2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“Lantheus has consistently exemplified our strong commitment to excellence and has been at the forefront in the ongoing renaissance in the radiopharmaceutical industry,” stated Mary Anne Heino, Chief Executive Officer of Lantheus. “Over the course of the past year, Lantheus has impacted the lives of more than six million patients and their families. Our efforts have resulted in record revenues and a period of exceptional achievement. As we head into 2024, Lantheus is well positioned for growth and to deliver sustained shareholder value, driven by our radiopharmaceutical platform and supported by the dedicated efforts of the Lantheus team to Find, Fight and Follow disease to deliver better patient outcomes.”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Revenue</w:t>
      </w:r>
    </w:p>
    <w:p>
      <w:pPr>
        <w:spacing w:after="0" w:line="229" w:lineRule="exact"/>
        <w:rPr>
          <w:sz w:val="20"/>
          <w:szCs w:val="20"/>
          <w:color w:val="auto"/>
        </w:rPr>
      </w:pPr>
    </w:p>
    <w:p>
      <w:pPr>
        <w:jc w:val="both"/>
        <w:ind w:left="420" w:right="60" w:hanging="169"/>
        <w:spacing w:after="0" w:line="266"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revenue for the full year 2023 is expected to be in the range of $1.295 - 1.297 billion, compared with $0.935 billion for the full year 2022, which would represent an increase of approximately 38 - 39% over the prior year period, exceeding the Company’s previously issued guidance range of $1.255 - 1.270 billion;</w:t>
      </w:r>
    </w:p>
    <w:p>
      <w:pPr>
        <w:spacing w:after="0" w:line="175"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worldwide revenue for the full year 2023, excluding the RELISTOR sales milestone of $15 million, represents an increase of approximately 37% over the prior year period;</w:t>
      </w:r>
    </w:p>
    <w:p>
      <w:pPr>
        <w:spacing w:after="0" w:line="161" w:lineRule="exact"/>
        <w:rPr>
          <w:rFonts w:ascii="Times New Roman" w:cs="Times New Roman" w:eastAsia="Times New Roman" w:hAnsi="Times New Roman"/>
          <w:sz w:val="18"/>
          <w:szCs w:val="18"/>
          <w:color w:val="auto"/>
        </w:rPr>
      </w:pPr>
    </w:p>
    <w:p>
      <w:pPr>
        <w:ind w:left="420" w:right="240" w:hanging="169"/>
        <w:spacing w:after="0" w:line="282"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PYLARIFY revenue for the full year 2023 is expected to be in the range of $851 - 853 million, pending final partner reconciliation, compared with $527.4 million for full year 2022, which represents an increase of approximately 61 - 62%; and</w:t>
      </w:r>
    </w:p>
    <w:p>
      <w:pPr>
        <w:spacing w:after="0" w:line="161" w:lineRule="exact"/>
        <w:rPr>
          <w:rFonts w:ascii="Times New Roman" w:cs="Times New Roman" w:eastAsia="Times New Roman" w:hAnsi="Times New Roman"/>
          <w:sz w:val="18"/>
          <w:szCs w:val="18"/>
          <w:color w:val="auto"/>
        </w:rPr>
      </w:pPr>
    </w:p>
    <w:p>
      <w:pPr>
        <w:ind w:left="420" w:right="400" w:hanging="169"/>
        <w:spacing w:after="0" w:line="282"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DEFINITY revenue for the full year 2023 is expected to be approximately $279 million, compared with $245.0 million for full year 2022, which represents an increase of approximately 14%.</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preliminary results are unaudited and remain subject to adjustment. Lantheus will provide its fourth quarter and full year 2023 financial results, and further details related to its 2024 financial expectations, in late February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Lantheus is the leading radiopharmaceutical-focused company, delivering life-changing science to enable clinicians to Find, Fight and Follow disease to deliver better patient outcomes. Headquartered in Massachusetts with offices in New Jersey, Canada and Sweden, Lantheus has been providing radiopharmaceutical solutions for more than 65 years. For more information, visit www.lantheus.com.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281"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3</w:t>
      </w:r>
    </w:p>
    <w:p>
      <w:pPr>
        <w:sectPr>
          <w:pgSz w:w="11900" w:h="16838" w:orient="portrait"/>
          <w:cols w:equalWidth="0" w:num="1">
            <w:col w:w="11240"/>
          </w:cols>
          <w:pgMar w:left="320" w:top="657" w:right="339" w:bottom="1440" w:gutter="0" w:footer="0" w:header="0"/>
        </w:sectPr>
      </w:pPr>
    </w:p>
    <w:bookmarkStart w:id="4" w:name="page5"/>
    <w:bookmarkEnd w:id="4"/>
    <w:p>
      <w:pPr>
        <w:spacing w:after="0" w:line="267" w:lineRule="auto"/>
        <w:rPr>
          <w:sz w:val="20"/>
          <w:szCs w:val="20"/>
          <w:color w:val="auto"/>
        </w:rPr>
      </w:pPr>
      <w:r>
        <w:rPr>
          <w:rFonts w:ascii="Times New Roman" w:cs="Times New Roman" w:eastAsia="Times New Roman" w:hAnsi="Times New Roman"/>
          <w:sz w:val="17"/>
          <w:szCs w:val="17"/>
          <w:i w:val="1"/>
          <w:iCs w:val="1"/>
          <w:color w:val="auto"/>
        </w:rPr>
        <w:t>1933, as amended, and Section 21E of the Securities Exchange Act of 1934, as amended. Forward-looking statements may be identified by their use of terms such as “anticipate,” “believe,” “confident,” “continue,” “could,” “estimate,” “expect,” “guidance,” “intend,” “introduce,” “may,” “momentum,” “plan,” “potential,” “predict,” “progress,” “project,” “promising,” “should,” “target,” “will,” “would” and other similar terms. Such forward-looking statements include our preliminary revenue results for fiscal year 2023 and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continued market expansion and penetration for our established commercial products, particularly PYLARIFY and DEFINITY, in a competitive environment in which other imaging agents have been approved and are being commercialized, and our ability to clinically and commercially differentiate our products from other products; (ii) our ability to have third parties manufacture our products and our ability to manufacture DEFINITY in our in-house manufacturing facility; (iii) the global availability of Molybdenum-99 (“Mo-99”) and other raw material and key components; (iv) the efforts and timing for clinical development, regulatory approval and successful commercialization of our product candidates and new clinical applications and territories for our products, in each case, that we or our strategic partners may undertake; (v) our strategies, future prospects, and our projected growth, including revenue related to our collaboration agreements with POINT Biopharma Global Inc.; (vi) our ability to successfully continue existing clinical development partnerships using MK-6240 as a research tool and to further develop and commercialize such research tool; (vii) our ability to identify and acquire or in-license additional diagnostic and therapeutic product opportunities in oncology and other strategic areas and continue to grow our pipeline of products; and (viii) the risk and uncertainties discussed in our filings with the Securities and Exchange Commission (including those described in the Risk Factors section in our Annual Reports on Form 10-K and our Quarterly Reports on Form 10-Q).</w:t>
      </w: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2 of 3</w:t>
      </w:r>
    </w:p>
    <w:p>
      <w:pPr>
        <w:sectPr>
          <w:pgSz w:w="11900" w:h="16838" w:orient="portrait"/>
          <w:cols w:equalWidth="0" w:num="1">
            <w:col w:w="11160"/>
          </w:cols>
          <w:pgMar w:left="320" w:top="929" w:right="419" w:bottom="1440" w:gutter="0" w:footer="0" w:header="0"/>
        </w:sectPr>
      </w:pPr>
    </w:p>
    <w:bookmarkStart w:id="5" w:name="page6"/>
    <w:bookmarkEnd w:id="5"/>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ir@lantheus.com</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External Communications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media@lantheus.com</w:t>
      </w:r>
    </w:p>
    <w:p>
      <w:pPr>
        <w:spacing w:after="0" w:line="171"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Page 3 of 3</w:t>
      </w:r>
    </w:p>
    <w:sectPr>
      <w:pgSz w:w="11900" w:h="16838" w:orient="portrait"/>
      <w:cols w:equalWidth="0" w:num="1">
        <w:col w:w="10139"/>
      </w:cols>
      <w:pgMar w:left="32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2024-01-09T07:07:17Z</dcterms:created>
  <dcterms:modified xsi:type="dcterms:W3CDTF">2024-01-09T07:07:17Z</dcterms:modified>
</cp:coreProperties>
</file>