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Filed by Lantheus Holdings,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Rule 425 of the Securities Act of 1933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and deemed filed pursuant to Rule 14a-12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right"/>
        <w:ind w:right="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of the Securities Exchange Act of 1934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Subject Company: Progenics Pharmaceuticals,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No.: 000 – 23143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On January 8, 2020, Lantheus Holdings, Inc. made available the following slides to its investors.</w:t>
      </w:r>
    </w:p>
    <w:p>
      <w:pPr>
        <w:sectPr>
          <w:pgSz w:w="11900" w:h="16838" w:orient="portrait"/>
          <w:cols w:equalWidth="0" w:num="1">
            <w:col w:w="9019"/>
          </w:cols>
          <w:pgMar w:left="1440" w:top="201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29170" cy="298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121920</wp:posOffset>
            </wp:positionH>
            <wp:positionV relativeFrom="page">
              <wp:posOffset>88900</wp:posOffset>
            </wp:positionV>
            <wp:extent cx="7345680" cy="4236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680" cy="423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2020-01-08T16:20:41Z</dcterms:created>
  <dcterms:modified xsi:type="dcterms:W3CDTF">2020-01-08T16:20:41Z</dcterms:modified>
</cp:coreProperties>
</file>