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82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Heino Mary Anne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Lantheus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LNTH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7"/>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7"/>
            <w:vMerge w:val="continue"/>
          </w:tcPr>
          <w:p>
            <w:pPr>
              <w:spacing w:after="0" w:line="20" w:lineRule="exact"/>
              <w:rPr>
                <w:sz w:val="1"/>
                <w:szCs w:val="1"/>
                <w:color w:val="auto"/>
              </w:rPr>
            </w:pPr>
          </w:p>
        </w:tc>
        <w:tc>
          <w:tcPr>
            <w:tcW w:w="366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7"/>
            <w:vMerge w:val="continue"/>
          </w:tcPr>
          <w:p>
            <w:pPr>
              <w:spacing w:after="0"/>
              <w:rPr>
                <w:sz w:val="12"/>
                <w:szCs w:val="12"/>
                <w:color w:val="auto"/>
              </w:rPr>
            </w:pPr>
          </w:p>
        </w:tc>
        <w:tc>
          <w:tcPr>
            <w:tcW w:w="3660" w:type="dxa"/>
            <w:vAlign w:val="bottom"/>
            <w:gridSpan w:val="7"/>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NORTH</w:t>
            </w: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01862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3" w:lineRule="exact"/>
              <w:rPr>
                <w:sz w:val="20"/>
                <w:szCs w:val="20"/>
                <w:color w:val="auto"/>
              </w:rPr>
            </w:pPr>
            <w:r>
              <w:rPr>
                <w:rFonts w:ascii="Arial" w:cs="Arial" w:eastAsia="Arial" w:hAnsi="Arial"/>
                <w:sz w:val="17"/>
                <w:szCs w:val="17"/>
                <w:color w:val="0000FF"/>
              </w:rPr>
              <w:t>BILLERICA</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tcPr>
          <w:p>
            <w:pPr>
              <w:ind w:left="10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38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05/09/2022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625</w:t>
            </w:r>
          </w:p>
        </w:tc>
        <w:tc>
          <w:tcPr>
            <w:tcW w:w="50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58.5947</w:t>
            </w:r>
            <w:r>
              <w:rPr>
                <w:rFonts w:ascii="Arial" w:cs="Arial" w:eastAsia="Arial" w:hAnsi="Arial"/>
                <w:sz w:val="22"/>
                <w:szCs w:val="22"/>
                <w:color w:val="008000"/>
                <w:w w:val="87"/>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706,766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05/09/2022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2,173</w:t>
            </w:r>
          </w:p>
        </w:tc>
        <w:tc>
          <w:tcPr>
            <w:tcW w:w="50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59.6288</w:t>
            </w:r>
            <w:r>
              <w:rPr>
                <w:rFonts w:ascii="Arial" w:cs="Arial" w:eastAsia="Arial" w:hAnsi="Arial"/>
                <w:sz w:val="22"/>
                <w:szCs w:val="22"/>
                <w:color w:val="008000"/>
                <w:w w:val="87"/>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704,593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05/09/2022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2,978</w:t>
            </w:r>
          </w:p>
        </w:tc>
        <w:tc>
          <w:tcPr>
            <w:tcW w:w="50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60.6106</w:t>
            </w:r>
            <w:r>
              <w:rPr>
                <w:rFonts w:ascii="Arial" w:cs="Arial" w:eastAsia="Arial" w:hAnsi="Arial"/>
                <w:sz w:val="22"/>
                <w:szCs w:val="22"/>
                <w:color w:val="008000"/>
                <w:w w:val="87"/>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701,615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05/09/2022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3,400</w:t>
            </w:r>
          </w:p>
        </w:tc>
        <w:tc>
          <w:tcPr>
            <w:tcW w:w="50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61.5458</w:t>
            </w:r>
            <w:r>
              <w:rPr>
                <w:rFonts w:ascii="Arial" w:cs="Arial" w:eastAsia="Arial" w:hAnsi="Arial"/>
                <w:sz w:val="22"/>
                <w:szCs w:val="22"/>
                <w:color w:val="008000"/>
                <w:w w:val="87"/>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698,215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05/09/2022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2,100</w:t>
            </w:r>
          </w:p>
        </w:tc>
        <w:tc>
          <w:tcPr>
            <w:tcW w:w="50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62.6027</w:t>
            </w:r>
            <w:r>
              <w:rPr>
                <w:rFonts w:ascii="Arial" w:cs="Arial" w:eastAsia="Arial" w:hAnsi="Arial"/>
                <w:sz w:val="22"/>
                <w:szCs w:val="22"/>
                <w:color w:val="008000"/>
                <w:w w:val="87"/>
                <w:vertAlign w:val="superscript"/>
              </w:rPr>
              <w:t>(6)</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696,115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Arial" w:cs="Arial" w:eastAsia="Arial" w:hAnsi="Arial"/>
                <w:sz w:val="17"/>
                <w:szCs w:val="17"/>
                <w:color w:val="0000FF"/>
              </w:rPr>
              <w:t>05/09/2022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w:t>
            </w:r>
          </w:p>
        </w:tc>
        <w:tc>
          <w:tcPr>
            <w:tcW w:w="50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63.705</w:t>
            </w:r>
            <w:r>
              <w:rPr>
                <w:rFonts w:ascii="Arial" w:cs="Arial" w:eastAsia="Arial" w:hAnsi="Arial"/>
                <w:sz w:val="22"/>
                <w:szCs w:val="22"/>
                <w:color w:val="008000"/>
                <w:w w:val="88"/>
                <w:vertAlign w:val="superscript"/>
              </w:rPr>
              <w:t>(7)</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695,115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March 11, 2022.</w:t>
      </w:r>
    </w:p>
    <w:p>
      <w:pPr>
        <w:spacing w:after="0" w:line="50" w:lineRule="exact"/>
        <w:rPr>
          <w:rFonts w:ascii="Arial" w:cs="Arial" w:eastAsia="Arial" w:hAnsi="Arial"/>
          <w:sz w:val="13"/>
          <w:szCs w:val="13"/>
          <w:color w:val="008000"/>
        </w:rPr>
      </w:pPr>
    </w:p>
    <w:p>
      <w:pPr>
        <w:ind w:left="40" w:right="4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$58.11 to $58.945, inclusive. The reporting person undertakes to provide to Lantheus Holdings, Inc., ("LNTH") any security holder of LNTH or the staff of the Securities and Exchange Commission ("SEC"), upon request, full information regarding the number of shares sold at each separate price within the ranges set forth in this footnote (2) to this Form 4.</w:t>
      </w:r>
    </w:p>
    <w:p>
      <w:pPr>
        <w:spacing w:after="0" w:line="25" w:lineRule="exact"/>
        <w:rPr>
          <w:rFonts w:ascii="Arial" w:cs="Arial" w:eastAsia="Arial" w:hAnsi="Arial"/>
          <w:sz w:val="13"/>
          <w:szCs w:val="13"/>
          <w:color w:val="008000"/>
        </w:rPr>
      </w:pPr>
    </w:p>
    <w:p>
      <w:pPr>
        <w:ind w:left="40" w:right="24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$59.14 to $60.125,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(3) to this Form 4.</w:t>
      </w:r>
    </w:p>
    <w:p>
      <w:pPr>
        <w:spacing w:after="0" w:line="40" w:lineRule="exact"/>
        <w:rPr>
          <w:rFonts w:ascii="Arial" w:cs="Arial" w:eastAsia="Arial" w:hAnsi="Arial"/>
          <w:sz w:val="12"/>
          <w:szCs w:val="12"/>
          <w:color w:val="008000"/>
        </w:rPr>
      </w:pPr>
    </w:p>
    <w:p>
      <w:pPr>
        <w:ind w:left="40" w:right="24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$60.16 to $60.935,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(4) to this Form 4.</w:t>
      </w:r>
    </w:p>
    <w:p>
      <w:pPr>
        <w:spacing w:after="0" w:line="40" w:lineRule="exact"/>
        <w:rPr>
          <w:rFonts w:ascii="Arial" w:cs="Arial" w:eastAsia="Arial" w:hAnsi="Arial"/>
          <w:sz w:val="12"/>
          <w:szCs w:val="12"/>
          <w:color w:val="008000"/>
        </w:rPr>
      </w:pPr>
    </w:p>
    <w:p>
      <w:pPr>
        <w:ind w:left="40" w:right="24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$61.32 to $61.88,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(5) to this Form 4.</w:t>
      </w:r>
    </w:p>
    <w:p>
      <w:pPr>
        <w:spacing w:after="0" w:line="40" w:lineRule="exact"/>
        <w:rPr>
          <w:rFonts w:ascii="Arial" w:cs="Arial" w:eastAsia="Arial" w:hAnsi="Arial"/>
          <w:sz w:val="12"/>
          <w:szCs w:val="12"/>
          <w:color w:val="008000"/>
        </w:rPr>
      </w:pPr>
    </w:p>
    <w:p>
      <w:pPr>
        <w:ind w:left="40" w:right="24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$62.21 to $63.12,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(6) to this Form 4.</w:t>
      </w:r>
    </w:p>
    <w:p>
      <w:pPr>
        <w:spacing w:after="0" w:line="40" w:lineRule="exact"/>
        <w:rPr>
          <w:rFonts w:ascii="Arial" w:cs="Arial" w:eastAsia="Arial" w:hAnsi="Arial"/>
          <w:sz w:val="12"/>
          <w:szCs w:val="12"/>
          <w:color w:val="008000"/>
        </w:rPr>
      </w:pPr>
    </w:p>
    <w:p>
      <w:pPr>
        <w:ind w:left="40" w:right="24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$63.25 to $63.90, inclusive. The reporting person undertakes to provide to LNTH any security holder of LNTH or the staff of the SEC, upon request, full information regarding the number of shares sold at each separate price within the ranges set forth in this footnote</w:t>
      </w:r>
    </w:p>
    <w:p>
      <w:pPr>
        <w:ind w:left="40"/>
        <w:spacing w:after="0"/>
        <w:rPr>
          <w:rFonts w:ascii="Arial" w:cs="Arial" w:eastAsia="Arial" w:hAnsi="Arial"/>
          <w:sz w:val="12"/>
          <w:szCs w:val="12"/>
          <w:color w:val="008000"/>
        </w:rPr>
      </w:pPr>
      <w:r>
        <w:rPr>
          <w:rFonts w:ascii="Arial" w:cs="Arial" w:eastAsia="Arial" w:hAnsi="Arial"/>
          <w:sz w:val="13"/>
          <w:szCs w:val="13"/>
          <w:color w:val="008000"/>
        </w:rPr>
        <w:t>(7) to this Form 4.</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0000FF"/>
              </w:rPr>
              <w:t>/s/ Daniel M. Niedzwiecki ,</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05/11/2022</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9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92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0676"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2022-05-11T15:41:24Z</dcterms:created>
  <dcterms:modified xsi:type="dcterms:W3CDTF">2022-05-11T15:41:24Z</dcterms:modified>
</cp:coreProperties>
</file>