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36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3698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Heino Mary Anne</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Lantheus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LNTH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03/03/2025</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LANTHEUS HOLDINGS, INC.</w:t>
            </w: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201 BURLINGTON ROAD, SOUTH BLDG</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BEDFORD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01730</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jc w:val="center"/>
              <w:ind w:left="54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2"/>
              <w:spacing w:after="0"/>
              <w:rPr>
                <w:sz w:val="20"/>
                <w:szCs w:val="20"/>
                <w:color w:val="auto"/>
              </w:rPr>
            </w:pPr>
            <w:r>
              <w:rPr>
                <w:rFonts w:ascii="Times New Roman" w:cs="Times New Roman" w:eastAsia="Times New Roman" w:hAnsi="Times New Roman"/>
                <w:sz w:val="17"/>
                <w:szCs w:val="17"/>
                <w:color w:val="0000FF"/>
              </w:rPr>
              <w:t>03/03/2025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50,070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493,506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2"/>
              <w:spacing w:after="0"/>
              <w:rPr>
                <w:sz w:val="20"/>
                <w:szCs w:val="20"/>
                <w:color w:val="auto"/>
              </w:rPr>
            </w:pPr>
            <w:r>
              <w:rPr>
                <w:rFonts w:ascii="Times New Roman" w:cs="Times New Roman" w:eastAsia="Times New Roman" w:hAnsi="Times New Roman"/>
                <w:sz w:val="17"/>
                <w:szCs w:val="17"/>
                <w:color w:val="0000FF"/>
              </w:rPr>
              <w:t>03/03/2025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6,265</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92.29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487,241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2"/>
              <w:spacing w:after="0"/>
              <w:rPr>
                <w:sz w:val="20"/>
                <w:szCs w:val="20"/>
                <w:color w:val="auto"/>
              </w:rPr>
            </w:pPr>
            <w:r>
              <w:rPr>
                <w:rFonts w:ascii="Times New Roman" w:cs="Times New Roman" w:eastAsia="Times New Roman" w:hAnsi="Times New Roman"/>
                <w:sz w:val="17"/>
                <w:szCs w:val="17"/>
                <w:color w:val="0000FF"/>
              </w:rPr>
              <w:t>03/03/2025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9,160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93.32</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478,081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2"/>
              <w:spacing w:after="0"/>
              <w:rPr>
                <w:sz w:val="20"/>
                <w:szCs w:val="20"/>
                <w:color w:val="auto"/>
              </w:rPr>
            </w:pPr>
            <w:r>
              <w:rPr>
                <w:rFonts w:ascii="Times New Roman" w:cs="Times New Roman" w:eastAsia="Times New Roman" w:hAnsi="Times New Roman"/>
                <w:sz w:val="17"/>
                <w:szCs w:val="17"/>
                <w:color w:val="0000FF"/>
              </w:rPr>
              <w:t>03/03/2025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15,017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94.09</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463,064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2"/>
              <w:spacing w:after="0"/>
              <w:rPr>
                <w:sz w:val="20"/>
                <w:szCs w:val="20"/>
                <w:color w:val="auto"/>
              </w:rPr>
            </w:pPr>
            <w:r>
              <w:rPr>
                <w:rFonts w:ascii="Times New Roman" w:cs="Times New Roman" w:eastAsia="Times New Roman" w:hAnsi="Times New Roman"/>
                <w:sz w:val="17"/>
                <w:szCs w:val="17"/>
                <w:color w:val="0000FF"/>
              </w:rPr>
              <w:t>03/03/2025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17,694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95.4</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445,370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42"/>
              <w:spacing w:after="0"/>
              <w:rPr>
                <w:sz w:val="20"/>
                <w:szCs w:val="20"/>
                <w:color w:val="auto"/>
              </w:rPr>
            </w:pPr>
            <w:r>
              <w:rPr>
                <w:rFonts w:ascii="Times New Roman" w:cs="Times New Roman" w:eastAsia="Times New Roman" w:hAnsi="Times New Roman"/>
                <w:sz w:val="17"/>
                <w:szCs w:val="17"/>
                <w:color w:val="0000FF"/>
              </w:rPr>
              <w:t>03/03/2025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4,971</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95.91</w:t>
            </w:r>
            <w:r>
              <w:rPr>
                <w:rFonts w:ascii="Times New Roman" w:cs="Times New Roman" w:eastAsia="Times New Roman" w:hAnsi="Times New Roman"/>
                <w:sz w:val="22"/>
                <w:szCs w:val="22"/>
                <w:color w:val="008000"/>
                <w:w w:val="95"/>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440,399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Grantor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37,720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Grantor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130,134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Retained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Annuity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reflects additional shares of common stock issued by Lantheus Holdings, Inc. ("LNTH") to the reporting person upon the vesting of relative Total Shareholder Return performance-based restricted stock units ("PSUs") that were previously granted and included in the Form 4 filed on March 7, 2022. The number of shares reported in the Form 4 reflected 100% of the target number of shares underlying the PSUs. The number of shares that actually vested under the PSUs equaled 200% of the target number of shares. Accordingly, the number of shares reported in this Form 4 reflects the difference between the number of shares that actually vested under the PSUs and the target number of shares originally included in the Form 4.</w:t>
      </w:r>
    </w:p>
    <w:p>
      <w:pPr>
        <w:spacing w:after="0" w:line="24" w:lineRule="exact"/>
        <w:rPr>
          <w:rFonts w:ascii="Times New Roman" w:cs="Times New Roman" w:eastAsia="Times New Roman" w:hAnsi="Times New Roman"/>
          <w:sz w:val="13"/>
          <w:szCs w:val="13"/>
          <w:color w:val="008000"/>
        </w:rPr>
      </w:pPr>
    </w:p>
    <w:p>
      <w:pPr>
        <w:ind w:left="40" w:right="1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by the reporting person on March 13, 2024, in connection with sell-to-cover transactions to satisfy withholding tax liabilities of the Reporting Person associated with the vesting of restricted stock previously granted and reported on a previously filed Form 4.</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$91.76 to $92.725, inclusive. The reporting person undertakes to provide to LNTH any security holder of LNTH or the staff of the Securities and Exchange Commission ("SEC"), upon request, full information regarding the number of shares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$92.79 to $93.755, inclusive. The reporting person undertakes to</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provide to LNTH, any security holder of LNTH or the staff of the SEC, upon request, full information regarding the number of shares sold at each separate price within the ranges set forth in this footnote (4) to this Form 4.</w:t>
      </w:r>
    </w:p>
    <w:p>
      <w:pPr>
        <w:spacing w:after="0" w:line="8" w:lineRule="exact"/>
        <w:rPr>
          <w:sz w:val="20"/>
          <w:szCs w:val="20"/>
          <w:color w:val="auto"/>
        </w:rPr>
      </w:pPr>
    </w:p>
    <w:p>
      <w:pPr>
        <w:ind w:firstLine="7"/>
        <w:spacing w:after="0" w:line="246"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$93.79 to $94.78, inclusive. The reporting person undertakes to provide to LNTH, any security holder of LNTH or the staff of the SEC, upon request, full information regarding the number of shares sold at each separate price within the ranges set forth in this footnote</w:t>
      </w:r>
    </w:p>
    <w:p>
      <w:pPr>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 to this Form 4.</w:t>
      </w:r>
    </w:p>
    <w:p>
      <w:pPr>
        <w:spacing w:after="0" w:line="36" w:lineRule="exact"/>
        <w:rPr>
          <w:rFonts w:ascii="Times New Roman" w:cs="Times New Roman" w:eastAsia="Times New Roman" w:hAnsi="Times New Roman"/>
          <w:sz w:val="13"/>
          <w:szCs w:val="13"/>
          <w:color w:val="008000"/>
        </w:rPr>
      </w:pPr>
    </w:p>
    <w:p>
      <w:pPr>
        <w:ind w:firstLine="7"/>
        <w:spacing w:after="0" w:line="246"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$94.79 to $95.77, inclusive. The reporting person undertakes to provide to LNTH, any security holder of LNTH or the staff of the SEC, upon request, full information regarding the number of shares sold at each separate price within the ranges set forth in this footnote</w:t>
      </w:r>
    </w:p>
    <w:p>
      <w:pPr>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 to this Form 4.</w:t>
      </w:r>
    </w:p>
    <w:p>
      <w:pPr>
        <w:spacing w:after="0" w:line="36" w:lineRule="exact"/>
        <w:rPr>
          <w:rFonts w:ascii="Times New Roman" w:cs="Times New Roman" w:eastAsia="Times New Roman" w:hAnsi="Times New Roman"/>
          <w:sz w:val="13"/>
          <w:szCs w:val="13"/>
          <w:color w:val="008000"/>
        </w:rPr>
      </w:pPr>
    </w:p>
    <w:p>
      <w:pPr>
        <w:ind w:firstLine="7"/>
        <w:spacing w:after="0" w:line="246"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$95.79 to $96.09, inclusive. The reporting person undertakes to provide to LNTH, any security holder of LNTH or the staff of the SEC, upon request, full information regarding the number of shares sold at each separate price within the ranges set forth in this footnote</w:t>
      </w:r>
    </w:p>
    <w:p>
      <w:pPr>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(7) to this Form 4.</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Eric M. Green, attorney-in- </w:t>
      </w:r>
      <w:r>
        <w:rPr>
          <w:rFonts w:ascii="Times New Roman" w:cs="Times New Roman" w:eastAsia="Times New Roman" w:hAnsi="Times New Roman"/>
          <w:sz w:val="34"/>
          <w:szCs w:val="34"/>
          <w:color w:val="0000FF"/>
          <w:vertAlign w:val="subscript"/>
        </w:rPr>
        <w:t>03/05/2025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0676" TargetMode="External"/><Relationship Id="rId14"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2025-03-05T16:22:26Z</dcterms:created>
  <dcterms:modified xsi:type="dcterms:W3CDTF">2025-03-05T16:22:26Z</dcterms:modified>
</cp:coreProperties>
</file>