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21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-647700</wp:posOffset>
            </wp:positionV>
            <wp:extent cx="59055" cy="661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035"/>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-647700</wp:posOffset>
            </wp:positionV>
            <wp:extent cx="59055" cy="661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03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5332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33209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Orlandi Cesare</w:t>
        </w:r>
      </w:hyperlink>
    </w:p>
    <w:p>
      <w:pPr>
        <w:spacing w:after="0" w:line="322"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LANTHEUS HOLDINGS, INC.</w:t>
      </w:r>
    </w:p>
    <w:p>
      <w:pPr>
        <w:spacing w:after="0" w:line="7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331 TREBLE COVE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Lantheus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LNTH</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4"/>
          <w:szCs w:val="24"/>
          <w:color w:val="auto"/>
        </w:rPr>
      </w:pPr>
    </w:p>
    <w:p>
      <w:pPr>
        <w:spacing w:after="0" w:line="25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06/25/2015</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4" w:right="660" w:firstLine="4"/>
        <w:spacing w:after="0" w:line="253"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196"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142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76"/>
        <w:spacing w:after="0"/>
        <w:rPr>
          <w:sz w:val="20"/>
          <w:szCs w:val="20"/>
          <w:color w:val="auto"/>
        </w:rPr>
      </w:pPr>
      <w:r>
        <w:rPr>
          <w:rFonts w:ascii="Arial" w:cs="Arial" w:eastAsia="Arial" w:hAnsi="Arial"/>
          <w:sz w:val="17"/>
          <w:szCs w:val="17"/>
          <w:color w:val="0000FF"/>
        </w:rPr>
        <w:t>Chief Medical Officer</w:t>
      </w:r>
    </w:p>
    <w:p>
      <w:pPr>
        <w:spacing w:after="0" w:line="570" w:lineRule="exact"/>
        <w:rPr>
          <w:sz w:val="24"/>
          <w:szCs w:val="24"/>
          <w:color w:val="auto"/>
        </w:rPr>
      </w:pPr>
    </w:p>
    <w:p>
      <w:pPr>
        <w:sectPr>
          <w:pgSz w:w="11900" w:h="16838" w:orient="portrait"/>
          <w:cols w:equalWidth="0" w:num="3">
            <w:col w:w="3340" w:space="720"/>
            <w:col w:w="3264" w:space="720"/>
            <w:col w:w="3476"/>
          </w:cols>
          <w:pgMar w:left="240" w:top="225" w:right="139" w:bottom="1440" w:gutter="0" w:footer="0" w:header="0"/>
          <w:type w:val="continuous"/>
        </w:sectPr>
      </w:pPr>
    </w:p>
    <w:p>
      <w:pPr>
        <w:spacing w:after="0" w:line="13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NORTH</w:t>
            </w:r>
          </w:p>
        </w:tc>
        <w:tc>
          <w:tcPr>
            <w:tcW w:w="1000" w:type="dxa"/>
            <w:vAlign w:val="bottom"/>
            <w:vMerge w:val="restart"/>
          </w:tcPr>
          <w:p>
            <w:pPr>
              <w:ind w:left="180"/>
              <w:spacing w:after="0"/>
              <w:rPr>
                <w:sz w:val="20"/>
                <w:szCs w:val="20"/>
                <w:color w:val="auto"/>
              </w:rPr>
            </w:pPr>
            <w:r>
              <w:rPr>
                <w:rFonts w:ascii="Arial" w:cs="Arial" w:eastAsia="Arial" w:hAnsi="Arial"/>
                <w:sz w:val="17"/>
                <w:szCs w:val="17"/>
                <w:color w:val="0000FF"/>
              </w:rPr>
              <w:t>MA</w:t>
            </w:r>
          </w:p>
        </w:tc>
        <w:tc>
          <w:tcPr>
            <w:tcW w:w="1680" w:type="dxa"/>
            <w:vAlign w:val="bottom"/>
            <w:vMerge w:val="restart"/>
          </w:tcPr>
          <w:p>
            <w:pPr>
              <w:ind w:left="440"/>
              <w:spacing w:after="0"/>
              <w:rPr>
                <w:sz w:val="20"/>
                <w:szCs w:val="20"/>
                <w:color w:val="auto"/>
              </w:rPr>
            </w:pPr>
            <w:r>
              <w:rPr>
                <w:rFonts w:ascii="Arial" w:cs="Arial" w:eastAsia="Arial" w:hAnsi="Arial"/>
                <w:sz w:val="17"/>
                <w:szCs w:val="17"/>
                <w:color w:val="0000FF"/>
              </w:rPr>
              <w:t>01862</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BILLERICA</w:t>
            </w:r>
          </w:p>
        </w:tc>
        <w:tc>
          <w:tcPr>
            <w:tcW w:w="100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33"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2"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499"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260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7"/>
                <w:szCs w:val="7"/>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0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9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9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Securities</w:t>
            </w:r>
          </w:p>
        </w:tc>
        <w:tc>
          <w:tcPr>
            <w:tcW w:w="15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Acquired (A)</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or 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Following</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1"/>
                <w:szCs w:val="11"/>
                <w:color w:val="auto"/>
              </w:rPr>
            </w:pPr>
          </w:p>
        </w:tc>
        <w:tc>
          <w:tcPr>
            <w:tcW w:w="9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720" w:type="dxa"/>
            <w:vAlign w:val="bottom"/>
          </w:tcPr>
          <w:p>
            <w:pPr>
              <w:ind w:left="60"/>
              <w:spacing w:after="0" w:line="147"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21.1</w:t>
            </w:r>
          </w:p>
        </w:tc>
        <w:tc>
          <w:tcPr>
            <w:tcW w:w="1120" w:type="dxa"/>
            <w:vAlign w:val="bottom"/>
            <w:vMerge w:val="restart"/>
          </w:tcPr>
          <w:p>
            <w:pPr>
              <w:jc w:val="right"/>
              <w:ind w:right="197"/>
              <w:spacing w:after="0"/>
              <w:rPr>
                <w:sz w:val="20"/>
                <w:szCs w:val="20"/>
                <w:color w:val="auto"/>
              </w:rPr>
            </w:pPr>
            <w:r>
              <w:rPr>
                <w:rFonts w:ascii="Arial" w:cs="Arial" w:eastAsia="Arial" w:hAnsi="Arial"/>
                <w:sz w:val="13"/>
                <w:szCs w:val="13"/>
                <w:color w:val="0000FF"/>
              </w:rPr>
              <w:t>06/25/2015</w:t>
            </w:r>
          </w:p>
        </w:tc>
        <w:tc>
          <w:tcPr>
            <w:tcW w:w="1120" w:type="dxa"/>
            <w:vAlign w:val="bottom"/>
          </w:tcPr>
          <w:p>
            <w:pPr>
              <w:spacing w:after="0"/>
              <w:rPr>
                <w:sz w:val="12"/>
                <w:szCs w:val="12"/>
                <w:color w:val="auto"/>
              </w:rPr>
            </w:pPr>
          </w:p>
        </w:tc>
        <w:tc>
          <w:tcPr>
            <w:tcW w:w="820" w:type="dxa"/>
            <w:vAlign w:val="bottom"/>
            <w:vMerge w:val="restart"/>
          </w:tcPr>
          <w:p>
            <w:pPr>
              <w:ind w:left="120"/>
              <w:spacing w:after="0" w:line="277" w:lineRule="exact"/>
              <w:rPr>
                <w:sz w:val="20"/>
                <w:szCs w:val="20"/>
                <w:color w:val="auto"/>
              </w:rPr>
            </w:pPr>
            <w:r>
              <w:rPr>
                <w:rFonts w:ascii="Arial" w:cs="Arial" w:eastAsia="Arial" w:hAnsi="Arial"/>
                <w:sz w:val="26"/>
                <w:szCs w:val="26"/>
                <w:color w:val="0000FF"/>
                <w:vertAlign w:val="subscript"/>
              </w:rPr>
              <w:t>D</w:t>
            </w:r>
            <w:r>
              <w:rPr>
                <w:rFonts w:ascii="Arial" w:cs="Arial" w:eastAsia="Arial" w:hAnsi="Arial"/>
                <w:sz w:val="11"/>
                <w:szCs w:val="11"/>
                <w:color w:val="008000"/>
              </w:rPr>
              <w:t>(1)</w:t>
            </w:r>
          </w:p>
        </w:tc>
        <w:tc>
          <w:tcPr>
            <w:tcW w:w="460" w:type="dxa"/>
            <w:vAlign w:val="bottom"/>
          </w:tcPr>
          <w:p>
            <w:pPr>
              <w:spacing w:after="0"/>
              <w:rPr>
                <w:sz w:val="12"/>
                <w:szCs w:val="12"/>
                <w:color w:val="auto"/>
              </w:rPr>
            </w:pPr>
          </w:p>
        </w:tc>
        <w:tc>
          <w:tcPr>
            <w:tcW w:w="440" w:type="dxa"/>
            <w:vAlign w:val="bottom"/>
            <w:vMerge w:val="restart"/>
          </w:tcPr>
          <w:p>
            <w:pPr>
              <w:ind w:left="80"/>
              <w:spacing w:after="0"/>
              <w:rPr>
                <w:sz w:val="20"/>
                <w:szCs w:val="20"/>
                <w:color w:val="auto"/>
              </w:rPr>
            </w:pPr>
            <w:r>
              <w:rPr>
                <w:rFonts w:ascii="Arial" w:cs="Arial" w:eastAsia="Arial" w:hAnsi="Arial"/>
                <w:sz w:val="13"/>
                <w:szCs w:val="13"/>
                <w:color w:val="0000FF"/>
              </w:rPr>
              <w:t>6,673</w:t>
            </w: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40" w:type="dxa"/>
            <w:vAlign w:val="bottom"/>
            <w:vMerge w:val="restart"/>
          </w:tcPr>
          <w:p>
            <w:pPr>
              <w:ind w:left="80"/>
              <w:spacing w:after="0"/>
              <w:rPr>
                <w:sz w:val="20"/>
                <w:szCs w:val="20"/>
                <w:color w:val="auto"/>
              </w:rPr>
            </w:pPr>
            <w:r>
              <w:rPr>
                <w:rFonts w:ascii="Arial" w:cs="Arial" w:eastAsia="Arial" w:hAnsi="Arial"/>
                <w:sz w:val="13"/>
                <w:szCs w:val="13"/>
                <w:color w:val="0000FF"/>
                <w:w w:val="98"/>
              </w:rPr>
              <w:t>03/04/2023</w:t>
            </w:r>
          </w:p>
        </w:tc>
        <w:tc>
          <w:tcPr>
            <w:tcW w:w="720" w:type="dxa"/>
            <w:vAlign w:val="bottom"/>
          </w:tcPr>
          <w:p>
            <w:pPr>
              <w:ind w:left="80"/>
              <w:spacing w:after="0" w:line="147"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6,673</w:t>
            </w:r>
          </w:p>
        </w:tc>
        <w:tc>
          <w:tcPr>
            <w:tcW w:w="70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60" w:type="dxa"/>
            <w:vAlign w:val="bottom"/>
            <w:vMerge w:val="restart"/>
          </w:tcPr>
          <w:p>
            <w:pPr>
              <w:jc w:val="right"/>
              <w:ind w:right="379"/>
              <w:spacing w:after="0"/>
              <w:rPr>
                <w:sz w:val="20"/>
                <w:szCs w:val="20"/>
                <w:color w:val="auto"/>
              </w:rPr>
            </w:pPr>
            <w:r>
              <w:rPr>
                <w:rFonts w:ascii="Arial" w:cs="Arial" w:eastAsia="Arial" w:hAnsi="Arial"/>
                <w:sz w:val="13"/>
                <w:szCs w:val="13"/>
                <w:color w:val="0000FF"/>
              </w:rPr>
              <w:t>0</w:t>
            </w:r>
          </w:p>
        </w:tc>
        <w:tc>
          <w:tcPr>
            <w:tcW w:w="7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720" w:type="dxa"/>
            <w:vAlign w:val="bottom"/>
          </w:tcPr>
          <w:p>
            <w:pPr>
              <w:ind w:left="60"/>
              <w:spacing w:after="0" w:line="147" w:lineRule="exact"/>
              <w:rPr>
                <w:sz w:val="20"/>
                <w:szCs w:val="20"/>
                <w:color w:val="auto"/>
              </w:rPr>
            </w:pPr>
            <w:r>
              <w:rPr>
                <w:rFonts w:ascii="Arial" w:cs="Arial" w:eastAsia="Arial" w:hAnsi="Arial"/>
                <w:sz w:val="13"/>
                <w:szCs w:val="13"/>
                <w:color w:val="0000FF"/>
              </w:rPr>
              <w:t>(right to</w:t>
            </w:r>
          </w:p>
        </w:tc>
        <w:tc>
          <w:tcPr>
            <w:tcW w:w="80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180"/>
              <w:spacing w:after="0" w:line="147" w:lineRule="exact"/>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96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720" w:type="dxa"/>
            <w:vAlign w:val="bottom"/>
          </w:tcPr>
          <w:p>
            <w:pPr>
              <w:ind w:left="60"/>
              <w:spacing w:after="0" w:line="147"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21.1</w:t>
            </w:r>
          </w:p>
        </w:tc>
        <w:tc>
          <w:tcPr>
            <w:tcW w:w="1120" w:type="dxa"/>
            <w:vAlign w:val="bottom"/>
            <w:vMerge w:val="restart"/>
          </w:tcPr>
          <w:p>
            <w:pPr>
              <w:jc w:val="right"/>
              <w:ind w:right="197"/>
              <w:spacing w:after="0"/>
              <w:rPr>
                <w:sz w:val="20"/>
                <w:szCs w:val="20"/>
                <w:color w:val="auto"/>
              </w:rPr>
            </w:pPr>
            <w:r>
              <w:rPr>
                <w:rFonts w:ascii="Arial" w:cs="Arial" w:eastAsia="Arial" w:hAnsi="Arial"/>
                <w:sz w:val="13"/>
                <w:szCs w:val="13"/>
                <w:color w:val="0000FF"/>
              </w:rPr>
              <w:t>06/25/2015</w:t>
            </w:r>
          </w:p>
        </w:tc>
        <w:tc>
          <w:tcPr>
            <w:tcW w:w="1120" w:type="dxa"/>
            <w:vAlign w:val="bottom"/>
          </w:tcPr>
          <w:p>
            <w:pPr>
              <w:spacing w:after="0"/>
              <w:rPr>
                <w:sz w:val="12"/>
                <w:szCs w:val="12"/>
                <w:color w:val="auto"/>
              </w:rPr>
            </w:pPr>
          </w:p>
        </w:tc>
        <w:tc>
          <w:tcPr>
            <w:tcW w:w="820" w:type="dxa"/>
            <w:vAlign w:val="bottom"/>
            <w:vMerge w:val="restart"/>
          </w:tcPr>
          <w:p>
            <w:pPr>
              <w:ind w:left="120"/>
              <w:spacing w:after="0" w:line="277" w:lineRule="exact"/>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460" w:type="dxa"/>
            <w:vAlign w:val="bottom"/>
            <w:vMerge w:val="restart"/>
          </w:tcPr>
          <w:p>
            <w:pPr>
              <w:ind w:left="100"/>
              <w:spacing w:after="0"/>
              <w:rPr>
                <w:sz w:val="20"/>
                <w:szCs w:val="20"/>
                <w:color w:val="auto"/>
              </w:rPr>
            </w:pPr>
            <w:r>
              <w:rPr>
                <w:rFonts w:ascii="Arial" w:cs="Arial" w:eastAsia="Arial" w:hAnsi="Arial"/>
                <w:sz w:val="13"/>
                <w:szCs w:val="13"/>
                <w:color w:val="0000FF"/>
              </w:rPr>
              <w:t>6,673</w:t>
            </w:r>
          </w:p>
        </w:tc>
        <w:tc>
          <w:tcPr>
            <w:tcW w:w="44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740" w:type="dxa"/>
            <w:vAlign w:val="bottom"/>
            <w:vMerge w:val="restart"/>
          </w:tcPr>
          <w:p>
            <w:pPr>
              <w:ind w:left="80"/>
              <w:spacing w:after="0"/>
              <w:rPr>
                <w:sz w:val="20"/>
                <w:szCs w:val="20"/>
                <w:color w:val="auto"/>
              </w:rPr>
            </w:pPr>
            <w:r>
              <w:rPr>
                <w:rFonts w:ascii="Arial" w:cs="Arial" w:eastAsia="Arial" w:hAnsi="Arial"/>
                <w:sz w:val="13"/>
                <w:szCs w:val="13"/>
                <w:color w:val="0000FF"/>
                <w:w w:val="98"/>
              </w:rPr>
              <w:t>03/04/2023</w:t>
            </w:r>
          </w:p>
        </w:tc>
        <w:tc>
          <w:tcPr>
            <w:tcW w:w="720" w:type="dxa"/>
            <w:vAlign w:val="bottom"/>
          </w:tcPr>
          <w:p>
            <w:pPr>
              <w:ind w:left="80"/>
              <w:spacing w:after="0" w:line="147"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6,673</w:t>
            </w:r>
          </w:p>
        </w:tc>
        <w:tc>
          <w:tcPr>
            <w:tcW w:w="70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960" w:type="dxa"/>
            <w:vAlign w:val="bottom"/>
            <w:vMerge w:val="restart"/>
          </w:tcPr>
          <w:p>
            <w:pPr>
              <w:jc w:val="right"/>
              <w:ind w:right="259"/>
              <w:spacing w:after="0"/>
              <w:rPr>
                <w:sz w:val="20"/>
                <w:szCs w:val="20"/>
                <w:color w:val="auto"/>
              </w:rPr>
            </w:pPr>
            <w:r>
              <w:rPr>
                <w:rFonts w:ascii="Arial" w:cs="Arial" w:eastAsia="Arial" w:hAnsi="Arial"/>
                <w:sz w:val="13"/>
                <w:szCs w:val="13"/>
                <w:color w:val="0000FF"/>
              </w:rPr>
              <w:t>6,673</w:t>
            </w:r>
          </w:p>
        </w:tc>
        <w:tc>
          <w:tcPr>
            <w:tcW w:w="7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460" w:type="dxa"/>
            <w:vAlign w:val="bottom"/>
            <w:vMerge w:val="continue"/>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2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54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72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540" w:type="dxa"/>
            <w:vAlign w:val="bottom"/>
          </w:tcPr>
          <w:p>
            <w:pPr>
              <w:spacing w:after="0"/>
              <w:rPr>
                <w:sz w:val="2"/>
                <w:szCs w:val="2"/>
                <w:color w:val="auto"/>
              </w:rPr>
            </w:pPr>
          </w:p>
        </w:tc>
        <w:tc>
          <w:tcPr>
            <w:tcW w:w="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320" w:firstLine="7"/>
        <w:spacing w:after="0" w:line="281"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reported transactions involve an amendment applicable to outstanding unvested options, resulting in the deemed cancellation of the "old" options and the grant of replacement options. The options were originally granted on March 4, 2013 and provide for vesting in up to four equal annual installments, based on the level of LNTH's satisfaction of certain performance criteria for each of fiscal years 2013, 2014, 2015 and 2016. The amendment provides for additional vesting on the third anniversary of the amendment date (or the day before any earlier expiration) of any options that remain unvested at that time.</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5"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w w:val="97"/>
              </w:rPr>
              <w:t>/s/ Michael P. Duffy, attorney-</w:t>
            </w:r>
          </w:p>
        </w:tc>
        <w:tc>
          <w:tcPr>
            <w:tcW w:w="88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9"/>
              </w:rPr>
              <w:t>06/25/2015</w:t>
            </w:r>
          </w:p>
        </w:tc>
        <w:tc>
          <w:tcPr>
            <w:tcW w:w="0" w:type="dxa"/>
            <w:vAlign w:val="bottom"/>
          </w:tcPr>
          <w:p>
            <w:pPr>
              <w:spacing w:after="0"/>
              <w:rPr>
                <w:sz w:val="1"/>
                <w:szCs w:val="1"/>
                <w:color w:val="auto"/>
              </w:rPr>
            </w:pPr>
          </w:p>
        </w:tc>
      </w:tr>
      <w:tr>
        <w:trPr>
          <w:trHeight w:val="87"/>
        </w:trPr>
        <w:tc>
          <w:tcPr>
            <w:tcW w:w="2100" w:type="dxa"/>
            <w:vAlign w:val="bottom"/>
            <w:tcBorders>
              <w:top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10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6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10664" TargetMode="External"/><Relationship Id="rId13" Type="http://schemas.openxmlformats.org/officeDocument/2006/relationships/hyperlink" Target="http://www.sec.gov/cgi-bin/browse-edgar?action=getcompany&amp;CIK=00015210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2019-12-09T00:37:48Z</dcterms:created>
  <dcterms:modified xsi:type="dcterms:W3CDTF">2019-12-09T00:37:48Z</dcterms:modified>
</cp:coreProperties>
</file>