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nth-20260806.htm"/>
      <w:bookmarkStart w:id="1" w:name="kslnth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LANTHEUS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001-36569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35-2318913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Burlington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Building</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Bedford,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(978)</w:t>
            </w:r>
            <w:r>
              <w:rPr>
                <w:rFonts w:ascii="Times New Roman" w:hAnsi="Times New Roman"/>
                <w:color w:val="000000"/>
                <w:sz w:val="20"/>
              </w:rPr>
              <w:t xml:space="preserve"> </w:t>
            </w:r>
            <w:r>
              <w:rPr>
                <w:rFonts w:ascii="Times New Roman" w:hAnsi="Times New Roman"/>
                <w:b/>
                <w:color w:val="000000"/>
                <w:sz w:val="20"/>
              </w:rPr>
              <w:t>671-8001</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2026, Lantheus Holdings, Inc. (the “Company”) announced via press release its financial results as of and for the three and six months ended June 30, 2026. A copy of that press release is being furnished as Exhibit 99.1 and is hereby incorporated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 except as shall be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1018"/>
        <w:gridCol w:w="281"/>
        <w:gridCol w:w="8906"/>
      </w:tblGrid>
      <w:tr>
        <w:trPr/>
        <w:tc>
          <w:tcPr>
            <w:tcW w:w="10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r>
      <w:tr>
        <w:trPr/>
        <w:tc>
          <w:tcPr>
            <w:tcW w:w="101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Exhibit No.</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ind w:left="0" w:right="0" w:firstLine="112"/>
              <w:jc w:val="left"/>
              <w:rPr>
                <w:sz w:val="4"/>
                <w:szCs w:val="4"/>
              </w:rPr>
            </w:pPr>
            <w:r>
              <w:rPr>
                <w:sz w:val="4"/>
                <w:szCs w:val="4"/>
              </w:rPr>
            </w:r>
          </w:p>
        </w:tc>
        <w:tc>
          <w:tcPr>
            <w:tcW w:w="8906" w:type="dxa"/>
            <w:tcBorders>
              <w:bottom w:val="single" w:sz="8" w:space="0" w:color="000000"/>
            </w:tcBorders>
            <w:tcMar>
              <w:top w:w="0" w:type="dxa"/>
              <w:left w:w="0" w:type="dxa"/>
              <w:right w:w="0" w:type="dxa"/>
            </w:tcMar>
            <w:vAlign w:val="center"/>
          </w:tcPr>
          <w:p>
            <w:pPr>
              <w:pStyle w:val="TableContents"/>
              <w:bidi w:val="0"/>
              <w:spacing w:before="75" w:after="30"/>
              <w:ind w:left="0" w:right="0" w:firstLine="112"/>
              <w:jc w:val="center"/>
              <w:rPr>
                <w:rFonts w:ascii="Times New Roman" w:hAnsi="Times New Roman"/>
                <w:b/>
                <w:color w:val="000000"/>
                <w:sz w:val="20"/>
              </w:rPr>
            </w:pPr>
            <w:r>
              <w:rPr>
                <w:rFonts w:ascii="Times New Roman" w:hAnsi="Times New Roman"/>
                <w:b/>
                <w:color w:val="000000"/>
                <w:sz w:val="20"/>
              </w:rPr>
              <w:t>Description</w:t>
            </w:r>
          </w:p>
        </w:tc>
      </w:tr>
      <w:tr>
        <w:trPr/>
        <w:tc>
          <w:tcPr>
            <w:tcW w:w="1018"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0"/>
              </w:rPr>
            </w:pPr>
            <w:r>
              <w:rPr>
                <w:rFonts w:ascii="Times New Roman" w:hAnsi="Times New Roman"/>
                <w:color w:val="000000"/>
                <w:sz w:val="20"/>
              </w:rPr>
              <w:t>99.1*</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tcBorders/>
            <w:tcMar>
              <w:top w:w="0" w:type="dxa"/>
              <w:left w:w="0" w:type="dxa"/>
              <w:bottom w:w="0" w:type="dxa"/>
              <w:right w:w="0" w:type="dxa"/>
            </w:tcMar>
            <w:vAlign w:val="center"/>
          </w:tcPr>
          <w:p>
            <w:pPr>
              <w:pStyle w:val="TableContents"/>
              <w:bidi w:val="0"/>
              <w:spacing w:before="55" w:after="30"/>
              <w:jc w:val="left"/>
              <w:rPr/>
            </w:pPr>
            <w:hyperlink w:anchor="lnth-ex99_1.htm">
              <w:r>
                <w:rPr>
                  <w:rStyle w:val="InternetLink"/>
                  <w:rFonts w:ascii="Times New Roman" w:hAnsi="Times New Roman"/>
                  <w:color w:val="0000FF"/>
                  <w:sz w:val="20"/>
                  <w:u w:val="single"/>
                </w:rPr>
                <w:t>Press release of Lantheus Holdings, Inc. dated August 6, 2026, entitled “Lantheus Reports Second Quarter 2026 Financial Results”</w:t>
              </w:r>
            </w:hyperlink>
          </w:p>
        </w:tc>
      </w:tr>
      <w:tr>
        <w:trPr/>
        <w:tc>
          <w:tcPr>
            <w:tcW w:w="1018" w:type="dxa"/>
            <w:tcBorders/>
            <w:tcMar>
              <w:top w:w="0" w:type="dxa"/>
              <w:left w:w="0" w:type="dxa"/>
              <w:bottom w:w="0" w:type="dxa"/>
              <w:right w:w="0" w:type="dxa"/>
            </w:tcMar>
            <w:vAlign w:val="center"/>
          </w:tcPr>
          <w:p>
            <w:pPr>
              <w:pStyle w:val="TableContents"/>
              <w:bidi w:val="0"/>
              <w:spacing w:before="75" w:after="30"/>
              <w:jc w:val="center"/>
              <w:rPr/>
            </w:pPr>
            <w:r>
              <w:rPr/>
              <w:t> </w:t>
            </w:r>
          </w:p>
        </w:tc>
        <w:tc>
          <w:tcPr>
            <w:tcW w:w="2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8906" w:type="dxa"/>
            <w:tcBorders/>
            <w:tcMar>
              <w:top w:w="0" w:type="dxa"/>
              <w:left w:w="0" w:type="dxa"/>
              <w:bottom w:w="0" w:type="dxa"/>
              <w:right w:w="0" w:type="dxa"/>
            </w:tcMar>
            <w:vAlign w:val="center"/>
          </w:tcPr>
          <w:p>
            <w:pPr>
              <w:pStyle w:val="TableContents"/>
              <w:bidi w:val="0"/>
              <w:spacing w:before="75" w:after="30"/>
              <w:ind w:left="0" w:right="0" w:firstLine="135"/>
              <w:jc w:val="left"/>
              <w:rPr/>
            </w:pPr>
            <w:r>
              <w:rPr/>
              <w:t> </w:t>
            </w:r>
          </w:p>
        </w:tc>
      </w:tr>
      <w:tr>
        <w:trPr/>
        <w:tc>
          <w:tcPr>
            <w:tcW w:w="1018"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104</w:t>
            </w:r>
          </w:p>
        </w:tc>
        <w:tc>
          <w:tcPr>
            <w:tcW w:w="281"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8906" w:type="dxa"/>
            <w:tcBorders/>
            <w:tcMar>
              <w:top w:w="0" w:type="dxa"/>
              <w:left w:w="0" w:type="dxa"/>
              <w:bottom w:w="0" w:type="dxa"/>
              <w:right w:w="0" w:type="dxa"/>
            </w:tcMar>
            <w:vAlign w:val="center"/>
          </w:tcPr>
          <w:p>
            <w:pPr>
              <w:pStyle w:val="TableContents"/>
              <w:bidi w:val="0"/>
              <w:spacing w:before="75" w:after="30"/>
              <w:ind w:left="0" w:right="0" w:firstLine="135"/>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40" w:after="283"/>
        <w:jc w:val="left"/>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Exhibits 99.1 attached hereto are being furnished and shall not be deemed “filed” for purposes of Section 18 of the Exchange Act, as amended, or otherwise subject to the liabilities of that section, nor shall such information be deemed incorporated by reference in any filing under the Securities Act or the Exchange Act, except as shall be expressly set forth by specific reference in such filing.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47" w:type="dxa"/>
        <w:jc w:val="left"/>
        <w:tblInd w:w="0" w:type="dxa"/>
        <w:tblLayout w:type="fixed"/>
        <w:tblCellMar>
          <w:top w:w="28" w:type="dxa"/>
          <w:left w:w="28" w:type="dxa"/>
          <w:bottom w:w="28" w:type="dxa"/>
          <w:right w:w="28" w:type="dxa"/>
        </w:tblCellMar>
      </w:tblPr>
      <w:tblGrid>
        <w:gridCol w:w="646"/>
        <w:gridCol w:w="4201"/>
      </w:tblGrid>
      <w:tr>
        <w:trPr/>
        <w:tc>
          <w:tcPr>
            <w:tcW w:w="64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4847" w:type="dxa"/>
            <w:gridSpan w:val="2"/>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LANTHEUS HOLDINGS,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4201" w:type="dxa"/>
            <w:tcBorders>
              <w:bottom w:val="single" w:sz="1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Daniel M. Niedzwiecki</w:t>
            </w:r>
          </w:p>
        </w:tc>
      </w:tr>
      <w:tr>
        <w:trPr/>
        <w:tc>
          <w:tcPr>
            <w:tcW w:w="646" w:type="dxa"/>
            <w:tcBorders/>
            <w:tcMar>
              <w:top w:w="0" w:type="dxa"/>
              <w:left w:w="0" w:type="dxa"/>
              <w:bottom w:w="0" w:type="dxa"/>
              <w:right w:w="0" w:type="dxa"/>
            </w:tcMar>
            <w:vAlign w:val="center"/>
          </w:tcPr>
          <w:p>
            <w:pPr>
              <w:pStyle w:val="TableContents"/>
              <w:bidi w:val="0"/>
              <w:spacing w:before="35" w:after="30"/>
              <w:jc w:val="left"/>
              <w:rPr>
                <w:rFonts w:ascii="Times New Roman" w:hAnsi="Times New Roman"/>
                <w:color w:val="000000"/>
                <w:sz w:val="20"/>
              </w:rPr>
            </w:pPr>
            <w:r>
              <w:rPr>
                <w:rFonts w:ascii="Times New Roman" w:hAnsi="Times New Roman"/>
                <w:color w:val="000000"/>
                <w:sz w:val="20"/>
              </w:rPr>
              <w:t>Name:</w:t>
            </w:r>
          </w:p>
        </w:tc>
        <w:tc>
          <w:tcPr>
            <w:tcW w:w="4201" w:type="dxa"/>
            <w:tcBorders/>
            <w:tcMar>
              <w:top w:w="0" w:type="dxa"/>
              <w:left w:w="0" w:type="dxa"/>
              <w:bottom w:w="0" w:type="dxa"/>
              <w:right w:w="0" w:type="dxa"/>
            </w:tcMar>
            <w:vAlign w:val="center"/>
          </w:tcPr>
          <w:p>
            <w:pPr>
              <w:pStyle w:val="TableContents"/>
              <w:bidi w:val="0"/>
              <w:spacing w:before="35" w:after="30"/>
              <w:jc w:val="left"/>
              <w:rPr>
                <w:rFonts w:ascii="Times New Roman" w:hAnsi="Times New Roman"/>
                <w:color w:val="000000"/>
                <w:sz w:val="20"/>
              </w:rPr>
            </w:pPr>
            <w:r>
              <w:rPr>
                <w:rFonts w:ascii="Times New Roman" w:hAnsi="Times New Roman"/>
                <w:color w:val="000000"/>
                <w:sz w:val="20"/>
              </w:rPr>
              <w:t>Daniel M. Niedzwiecki</w:t>
            </w:r>
          </w:p>
        </w:tc>
      </w:tr>
      <w:tr>
        <w:trPr/>
        <w:tc>
          <w:tcPr>
            <w:tcW w:w="64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Title:</w:t>
            </w:r>
          </w:p>
        </w:tc>
        <w:tc>
          <w:tcPr>
            <w:tcW w:w="420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Chief Administrative Officer and General Counsel</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Date: August 6,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nth-ex99_1.htm"/>
      <w:bookmarkStart w:id="3" w:name="kslnthex99_1"/>
      <w:bookmarkEnd w:id="2"/>
      <w:bookmarkEnd w:id="3"/>
      <w:r>
        <w:rPr/>
        <w:t> </w:t>
      </w:r>
      <w:r>
        <w:br w:type="page"/>
      </w:r>
    </w:p>
    <w:p>
      <w:pPr>
        <w:pStyle w:val="TextBody"/>
        <w:bidi w:val="0"/>
        <w:spacing w:before="0" w:after="240"/>
        <w:jc w:val="right"/>
        <w:rPr>
          <w:rFonts w:ascii="Times New Roman" w:hAnsi="Times New Roman"/>
          <w:b/>
          <w:color w:val="000000"/>
          <w:sz w:val="20"/>
        </w:rPr>
      </w:pPr>
      <w:bookmarkStart w:id="4" w:name="section1"/>
      <w:bookmarkEnd w:id="4"/>
      <w:r>
        <w:rPr>
          <w:rFonts w:ascii="Times New Roman" w:hAnsi="Times New Roman"/>
          <w:b/>
          <w:color w:val="000000"/>
          <w:sz w:val="20"/>
        </w:rPr>
        <w:t>Exhibit 99.1</w:t>
      </w:r>
    </w:p>
    <w:tbl>
      <w:tblPr>
        <w:tblW w:w="4233" w:type="dxa"/>
        <w:jc w:val="left"/>
        <w:tblInd w:w="0" w:type="dxa"/>
        <w:tblLayout w:type="fixed"/>
        <w:tblCellMar>
          <w:top w:w="28" w:type="dxa"/>
          <w:left w:w="28" w:type="dxa"/>
          <w:bottom w:w="28" w:type="dxa"/>
          <w:right w:w="28" w:type="dxa"/>
        </w:tblCellMar>
      </w:tblPr>
      <w:tblGrid>
        <w:gridCol w:w="3896"/>
        <w:gridCol w:w="146"/>
        <w:gridCol w:w="19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96" w:type="dxa"/>
            <w:tcBorders/>
            <w:tcMar>
              <w:top w:w="0" w:type="dxa"/>
              <w:left w:w="0" w:type="dxa"/>
              <w:bottom w:w="0" w:type="dxa"/>
              <w:right w:w="0" w:type="dxa"/>
            </w:tcMar>
            <w:vAlign w:val="center"/>
          </w:tcPr>
          <w:p>
            <w:pPr>
              <w:pStyle w:val="TableContents"/>
              <w:bidi w:val="0"/>
              <w:spacing w:before="75" w:after="30"/>
              <w:jc w:val="left"/>
              <w:rPr/>
            </w:pPr>
            <w:r>
              <w:rPr/>
              <w:drawing>
                <wp:inline distT="0" distB="0" distL="0" distR="0">
                  <wp:extent cx="24098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5429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Lantheus Reports Second Quarter 2026 Financial Results</w:t>
      </w:r>
    </w:p>
    <w:p>
      <w:pPr>
        <w:pStyle w:val="TextBody"/>
        <w:bidi w:val="0"/>
        <w:jc w:val="left"/>
        <w:rPr/>
      </w:pPr>
      <w:r>
        <w:rPr/>
        <w:t> </w:t>
      </w:r>
    </w:p>
    <w:p>
      <w:pPr>
        <w:pStyle w:val="TextBody"/>
        <w:bidi w:val="0"/>
        <w:spacing w:before="240" w:after="160"/>
        <w:jc w:val="left"/>
        <w:rPr>
          <w:color w:val="000000"/>
        </w:rPr>
      </w:pPr>
      <w:r>
        <w:rPr>
          <w:color w:val="00000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Worldwide revenue of $388.2 million in the second quarter of 2026</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GAAP fully diluted earnings per share of $1.11, compared to $1.12 in the second quarter of 2025</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Adjusted fully diluted earnings per share of $1.55, compared to $1.57 in the second quarter of 2025</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Announced on August 3, 2026 that it has entered into a definitive agreement to merge with Curium under which Curium US Holdings LLC will acquire all outstanding shares in an all-cash transaction that represents a total transaction value of up to approximately $8.0 billion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BEDFORD, Mass., August 6, 2026 (GLOBE NEWSWIRE) -- Lantheus Holdings, Inc. (Lantheus or the Company) (NASDAQ: LNTH), the leading radiopharmaceutical-focused company committed to enabling clinicians to Find, Fight and Follow disease to deliver better patient outcomes, today reported financial results for its second quarter ended June 30, 2026.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and as previously announced, Lantheus entered into a definitive agreement on August 3, 2026 to merge with Curium under which Curium US Holdings LLC will acquire all outstanding shares of Lantheus for $102.50 per share in cash at closing, plus non-transferable Contingent Value Rights (“CVRs”) providing for up to $12.00 per share in potential additional cash payments, subject to achievement of specified commercial milestones for Lantheus’ products through 2030. The transaction represents a total per share consideration of up to $114.50 and a total transaction value of up to approximately $8.0 billion. Together, Curium and Lantheus are positioned to create a radiopharmaceutical company spanning diagnostics and therapeutics, with the infrastructure and capabilities to serve patients in more than 70 countries. The Board of Directors of Lantheus has unanimously approved the transaction. Additional information regarding the transaction is available in the Company’s Current Report on Form 8-K filed with the SEC on August 4,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pending transaction, Lantheus is suspending its previously issued full year 2026 financial guidance and will not be hosting a conference call in connection with its second quarter 2026 results.</w:t>
      </w:r>
    </w:p>
    <w:p>
      <w:pPr>
        <w:pStyle w:val="TextBody"/>
        <w:bidi w:val="0"/>
        <w:spacing w:before="240" w:after="120"/>
        <w:jc w:val="left"/>
        <w:rPr>
          <w:rFonts w:ascii="Times New Roman" w:hAnsi="Times New Roman"/>
          <w:b/>
          <w:color w:val="000000"/>
          <w:sz w:val="20"/>
          <w:u w:val="single"/>
        </w:rPr>
      </w:pPr>
      <w:r>
        <w:rPr>
          <w:rFonts w:ascii="Times New Roman" w:hAnsi="Times New Roman"/>
          <w:b/>
          <w:color w:val="000000"/>
          <w:sz w:val="20"/>
          <w:u w:val="single"/>
        </w:rPr>
        <w:t>Summary Financial Results</w:t>
      </w:r>
    </w:p>
    <w:tbl>
      <w:tblPr>
        <w:tblW w:w="8012" w:type="dxa"/>
        <w:jc w:val="left"/>
        <w:tblInd w:w="0" w:type="dxa"/>
        <w:tblLayout w:type="fixed"/>
        <w:tblCellMar>
          <w:top w:w="28" w:type="dxa"/>
          <w:left w:w="28" w:type="dxa"/>
          <w:bottom w:w="28" w:type="dxa"/>
          <w:right w:w="28" w:type="dxa"/>
        </w:tblCellMar>
      </w:tblPr>
      <w:tblGrid>
        <w:gridCol w:w="4471"/>
        <w:gridCol w:w="146"/>
        <w:gridCol w:w="211"/>
        <w:gridCol w:w="571"/>
        <w:gridCol w:w="146"/>
        <w:gridCol w:w="146"/>
        <w:gridCol w:w="211"/>
        <w:gridCol w:w="571"/>
        <w:gridCol w:w="146"/>
        <w:gridCol w:w="146"/>
        <w:gridCol w:w="224"/>
        <w:gridCol w:w="647"/>
        <w:gridCol w:w="37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per share data -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fully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fully diluted earnings per share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Second Quarter 2026</w:t>
      </w:r>
    </w:p>
    <w:p>
      <w:pPr>
        <w:pStyle w:val="TextBody"/>
        <w:bidi w:val="0"/>
        <w:spacing w:before="240" w:after="160"/>
        <w:jc w:val="left"/>
        <w:rPr>
          <w:color w:val="000000"/>
        </w:rPr>
      </w:pPr>
      <w:r>
        <w:rPr>
          <w:color w:val="00000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Worldwide revenue increased 2.7% to $388.2 million compared to the same period in 2025.</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Sales of PYLARIFY were $240.4 million, a decrease of 4.1%.</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Sales of Neuraceq were $39.6 million.</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Sales of DEFINITY were $88.3 million, an increase of 5.2%.</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Operating income increased 13.9% to $100.2 million. Adjusted operating income (non-GAAP) decreased 6.9% to $142.0 million. </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Fully diluted earnings per share decreased 0.9% to $1.11, compared to fully diluted earnings per share of $1.12 in the prior year period. Adjusted fully diluted earnings per share (non-GAAP) decreased 1.3% to $1.55, compared to $1.57 in the prior year period. </w:t>
      </w:r>
    </w:p>
    <w:p>
      <w:pPr>
        <w:pStyle w:val="TextBody"/>
        <w:bidi w:val="0"/>
        <w:jc w:val="center"/>
        <w:rPr>
          <w:rFonts w:ascii="Times New Roman" w:hAnsi="Times New Roman"/>
          <w:color w:val="000000"/>
          <w:sz w:val="20"/>
        </w:rPr>
      </w:pPr>
      <w:r>
        <w:rPr>
          <w:rFonts w:ascii="Times New Roman" w:hAnsi="Times New Roman"/>
          <w:color w:val="000000"/>
          <w:sz w:val="20"/>
        </w:rPr>
        <w:t>Page 1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color w:val="000000"/>
        </w:rPr>
      </w:pPr>
      <w:r>
        <w:rPr>
          <w:color w:val="00000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Net cash provided by operating activities and free cash flow were $92.2 million and $89.9 million, respectively. </w:t>
      </w:r>
    </w:p>
    <w:p>
      <w:pPr>
        <w:pStyle w:val="TextBody"/>
        <w:bidi w:val="0"/>
        <w:spacing w:before="80" w:after="283"/>
        <w:jc w:val="left"/>
        <w:rPr>
          <w:rFonts w:ascii="Times New Roman" w:hAnsi="Times New Roman"/>
          <w:sz w:val="20"/>
        </w:rPr>
      </w:pPr>
      <w:r>
        <w:rPr>
          <w:rFonts w:ascii="Times New Roman" w:hAnsi="Times New Roman"/>
          <w:b/>
          <w:color w:val="000000"/>
          <w:sz w:val="20"/>
          <w:u w:val="single"/>
        </w:rPr>
        <w:t>Balance Sheet</w:t>
      </w:r>
      <w:r>
        <w:rPr>
          <w:rFonts w:ascii="Times New Roman" w:hAnsi="Times New Roman"/>
          <w:color w:val="000000"/>
          <w:sz w:val="20"/>
        </w:rPr>
        <w:t xml:space="preserve"> </w:t>
      </w:r>
    </w:p>
    <w:p>
      <w:pPr>
        <w:pStyle w:val="TextBody"/>
        <w:bidi w:val="0"/>
        <w:spacing w:before="240" w:after="160"/>
        <w:jc w:val="left"/>
        <w:rPr>
          <w:color w:val="000000"/>
        </w:rPr>
      </w:pPr>
      <w:r>
        <w:rPr>
          <w:color w:val="000000"/>
        </w:rPr>
        <w: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At June 30, 2026, the Company's cash and cash equivalents were $593.3 million, compared to $359.1 million at December 31, 2025.</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Company currently has access to up to $750.0 million from a revolving line of credit. </w:t>
      </w:r>
    </w:p>
    <w:p>
      <w:pPr>
        <w:pStyle w:val="TextBody"/>
        <w:bidi w:val="0"/>
        <w:spacing w:before="80" w:after="283"/>
        <w:jc w:val="left"/>
        <w:rPr>
          <w:rFonts w:ascii="Times New Roman" w:hAnsi="Times New Roman"/>
          <w:sz w:val="20"/>
        </w:rPr>
      </w:pPr>
      <w:r>
        <w:rPr>
          <w:rFonts w:ascii="Times New Roman" w:hAnsi="Times New Roman"/>
          <w:b/>
          <w:color w:val="000000"/>
          <w:sz w:val="20"/>
        </w:rPr>
        <w:t>About Lantheus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Lantheus is the leading radiopharmaceutical-focused company, delivering life-changing science to enable clinicians to Find, Fight and Follow disease to deliver better patient outcomes. Headquartered in Massachusetts with offices in New Jersey, Canada, Germany, Switzerland, Sweden and the United Kingdom, Lantheus has been providing radiopharmaceutical solutions for 70 years. For more information, visit www.lantheus.com.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Internet Posting of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non-GAAP financial measures, such as adjusted net income and its line components; adjusted fully diluted net income per share; adjusted operating income,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connection with the proposed acquisition of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w:t>
      </w:r>
    </w:p>
    <w:p>
      <w:pPr>
        <w:pStyle w:val="TextBody"/>
        <w:bidi w:val="0"/>
        <w:jc w:val="center"/>
        <w:rPr>
          <w:rFonts w:ascii="Times New Roman" w:hAnsi="Times New Roman"/>
          <w:color w:val="000000"/>
          <w:sz w:val="20"/>
        </w:rPr>
      </w:pPr>
      <w:r>
        <w:rPr>
          <w:rFonts w:ascii="Times New Roman" w:hAnsi="Times New Roman"/>
          <w:color w:val="000000"/>
          <w:sz w:val="20"/>
        </w:rPr>
        <w:t>Page 2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Safe Harbor for Forward-Looking and Cautionary Statements</w:t>
      </w:r>
    </w:p>
    <w:p>
      <w:pPr>
        <w:pStyle w:val="TextBody"/>
        <w:bidi w:val="0"/>
        <w:jc w:val="left"/>
        <w:rPr>
          <w:rFonts w:ascii="Times New Roman" w:hAnsi="Times New Roman"/>
          <w:sz w:val="20"/>
        </w:rPr>
      </w:pPr>
      <w:r>
        <w:rPr>
          <w:rFonts w:ascii="Times New Roman" w:hAnsi="Times New Roman"/>
          <w:i/>
          <w:color w:val="000000"/>
          <w:sz w:val="20"/>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our guidance for the fiscal year 2026 and our plans to successfully execute on the commercialization of marketed products, ensure launch readiness for new products, advance a focused late-stage pipeline, and allocate capital thoughtfully, and our focus mainly on our radiodiagnostic business and pursuing value-maximizing alternatives for our radiotherapeutic assets,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to manufacture PYLARIFY TruVu, to obtain adequate coverage and payment, including transitional pass-through payment status (“TPT Status”), for PYLARIFY TruVu, to have payers add Healthcare Common Procedure Coding System (“HCPCS”) coding to their systems on a timely basis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MK-6240,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and to further develop and commercialize MK-6240 and NAV-4694 as approved products; (vi) our ability to continue to successfully integrate acquisitions, including of Lantheus Biosciences,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including resolving certain unresolved facility inspection-related conditions identified in the Complete Response Letter issued by the FDA on June 26, 2026, and to successfully commercialize LNTH-2501, if approved; (viii) our ability to obtain final FDA approval for PNT2003, which received FDA tentative approval earlier this year, to successfully defend the favorable District Court ruling invalidating all patents asserted by ADACAP, which is currently on appeal before the Court of Appeals for the Federal Circuit, and the timing, execution and success of the launch and commercialization of PNT2003, if approved; (ix) 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those investigational assets for which FDA approval has been obtained or is anticipated to be obtained this year; (x) the timing, execution, and success of our strategic program to simplify and streamline our operations so we can focus mainly on our radiodiagnostic business and pursue value-maximizing alternatives for our radiotherapeutic assets, (xi) our ability to identify opportunities to collaborate with strategic partners and to acquire or in-license additional product opportunities in oncology, neurology and other strategic areas and continue to grow and advance our pipeline of products; (xii) the timing and outcome of alleged stockholder actions filed against us; (xiii) the effect that changes to management, including the recent turnover in our leadership and senior management team, could have on our business; (xiv) our ability and the ability of Curium US Holdings LLC to complete the transactions contemplated by the Merger Agreement, including the parties’ ability to satisfy the closing conditions in the agreement; (xv) statements about the expected time frame for completing the proposed acquisition of us by Curium US Holdings LLC; (xvi) our and Curium US Holdings LLC’s beliefs and expectations and statements about the benefits sought to be achieved by the proposed acquisition; (xvii) the potential effects of the proposed acquisition on us and Curium US Holdings LLC; (xviii) the possibility of any termination of the Merger Agreement; and (xix) the risk and uncertainties discussed in our filings with the Securities and Exchange Commission (including those described in the Risk Factors section in our Annual Reports on Form 10-K and our Quarterly Reports on Form 10-Q).</w:t>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Page 3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Tables Follow -</w:t>
      </w:r>
    </w:p>
    <w:p>
      <w:pPr>
        <w:pStyle w:val="TextBody"/>
        <w:bidi w:val="0"/>
        <w:jc w:val="center"/>
        <w:rPr>
          <w:rFonts w:ascii="Times New Roman" w:hAnsi="Times New Roman"/>
          <w:color w:val="000000"/>
          <w:sz w:val="20"/>
        </w:rPr>
      </w:pPr>
      <w:r>
        <w:rPr>
          <w:rFonts w:ascii="Times New Roman" w:hAnsi="Times New Roman"/>
          <w:color w:val="000000"/>
          <w:sz w:val="20"/>
        </w:rPr>
        <w:t>Page 4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bookmarkStart w:id="5" w:name="section2"/>
      <w:bookmarkEnd w:id="5"/>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per share data – unaudited)</w:t>
      </w:r>
    </w:p>
    <w:tbl>
      <w:tblPr>
        <w:tblW w:w="10042" w:type="dxa"/>
        <w:jc w:val="left"/>
        <w:tblInd w:w="0" w:type="dxa"/>
        <w:tblLayout w:type="fixed"/>
        <w:tblCellMar>
          <w:top w:w="28" w:type="dxa"/>
          <w:left w:w="28" w:type="dxa"/>
          <w:bottom w:w="28" w:type="dxa"/>
          <w:right w:w="28" w:type="dxa"/>
        </w:tblCellMar>
      </w:tblPr>
      <w:tblGrid>
        <w:gridCol w:w="4501"/>
        <w:gridCol w:w="146"/>
        <w:gridCol w:w="211"/>
        <w:gridCol w:w="781"/>
        <w:gridCol w:w="166"/>
        <w:gridCol w:w="146"/>
        <w:gridCol w:w="211"/>
        <w:gridCol w:w="781"/>
        <w:gridCol w:w="166"/>
        <w:gridCol w:w="146"/>
        <w:gridCol w:w="211"/>
        <w:gridCol w:w="781"/>
        <w:gridCol w:w="166"/>
        <w:gridCol w:w="146"/>
        <w:gridCol w:w="211"/>
        <w:gridCol w:w="781"/>
        <w:gridCol w:w="4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190,033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 - unrealized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5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bookmarkStart w:id="6" w:name="section3"/>
      <w:bookmarkEnd w:id="6"/>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Consolidated Revenues Analysis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percent data – unaudited)</w:t>
      </w:r>
    </w:p>
    <w:tbl>
      <w:tblPr>
        <w:tblW w:w="10438" w:type="dxa"/>
        <w:jc w:val="left"/>
        <w:tblInd w:w="0" w:type="dxa"/>
        <w:tblLayout w:type="fixed"/>
        <w:tblCellMar>
          <w:top w:w="28" w:type="dxa"/>
          <w:left w:w="28" w:type="dxa"/>
          <w:bottom w:w="28" w:type="dxa"/>
          <w:right w:w="28" w:type="dxa"/>
        </w:tblCellMar>
      </w:tblPr>
      <w:tblGrid>
        <w:gridCol w:w="1031"/>
        <w:gridCol w:w="146"/>
        <w:gridCol w:w="196"/>
        <w:gridCol w:w="691"/>
        <w:gridCol w:w="146"/>
        <w:gridCol w:w="146"/>
        <w:gridCol w:w="196"/>
        <w:gridCol w:w="691"/>
        <w:gridCol w:w="146"/>
        <w:gridCol w:w="146"/>
        <w:gridCol w:w="196"/>
        <w:gridCol w:w="661"/>
        <w:gridCol w:w="166"/>
        <w:gridCol w:w="146"/>
        <w:gridCol w:w="146"/>
        <w:gridCol w:w="571"/>
        <w:gridCol w:w="241"/>
        <w:gridCol w:w="146"/>
        <w:gridCol w:w="196"/>
        <w:gridCol w:w="691"/>
        <w:gridCol w:w="146"/>
        <w:gridCol w:w="146"/>
        <w:gridCol w:w="196"/>
        <w:gridCol w:w="691"/>
        <w:gridCol w:w="146"/>
        <w:gridCol w:w="146"/>
        <w:gridCol w:w="196"/>
        <w:gridCol w:w="661"/>
        <w:gridCol w:w="166"/>
        <w:gridCol w:w="146"/>
        <w:gridCol w:w="146"/>
        <w:gridCol w:w="571"/>
        <w:gridCol w:w="38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3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PYLARIFY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240,366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250,642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481,290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508,296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Neuraceq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neurology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DEFINITY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cardiology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Strategic partnerships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6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bookmarkStart w:id="7" w:name="section4"/>
      <w:bookmarkEnd w:id="7"/>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Reconciliation of GAAP to Non-GAAP Financial Measures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per share and percent data – unaudited)</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and incentive plan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43,519</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business,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collaboration and license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 in equity securities - unrealized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integration and divestiture-related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Income tax effect of non-GAAP adjustments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220,099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as a percentage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9592" w:type="dxa"/>
        <w:jc w:val="left"/>
        <w:tblInd w:w="0" w:type="dxa"/>
        <w:tblLayout w:type="fixed"/>
        <w:tblCellMar>
          <w:top w:w="28" w:type="dxa"/>
          <w:left w:w="28" w:type="dxa"/>
          <w:bottom w:w="28" w:type="dxa"/>
          <w:right w:w="28" w:type="dxa"/>
        </w:tblCellMar>
      </w:tblPr>
      <w:tblGrid>
        <w:gridCol w:w="4651"/>
        <w:gridCol w:w="146"/>
        <w:gridCol w:w="211"/>
        <w:gridCol w:w="676"/>
        <w:gridCol w:w="166"/>
        <w:gridCol w:w="146"/>
        <w:gridCol w:w="211"/>
        <w:gridCol w:w="676"/>
        <w:gridCol w:w="166"/>
        <w:gridCol w:w="146"/>
        <w:gridCol w:w="211"/>
        <w:gridCol w:w="676"/>
        <w:gridCol w:w="166"/>
        <w:gridCol w:w="146"/>
        <w:gridCol w:w="211"/>
        <w:gridCol w:w="676"/>
        <w:gridCol w:w="3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and incentive plan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fair value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business,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collaboration and license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 in equity securities - unrealized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integration and divestiture-related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Income tax effect of non-GAAP adjustments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 per share - diluted</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the estimated income tax effect of the adjustments between GAAP net income and adjusted net income (non-GAAP).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may not add due to rounding.</w:t>
      </w:r>
    </w:p>
    <w:p>
      <w:pPr>
        <w:pStyle w:val="TextBody"/>
        <w:bidi w:val="0"/>
        <w:jc w:val="center"/>
        <w:rPr>
          <w:rFonts w:ascii="Times New Roman" w:hAnsi="Times New Roman"/>
          <w:color w:val="000000"/>
          <w:sz w:val="20"/>
        </w:rPr>
      </w:pPr>
      <w:r>
        <w:rPr>
          <w:rFonts w:ascii="Times New Roman" w:hAnsi="Times New Roman"/>
          <w:color w:val="000000"/>
          <w:sz w:val="20"/>
        </w:rPr>
        <w:t>Page 7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Reconciliation of GAAP to Non-GAAP Financial Measures (Continued)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per share and percent data – unaudited)</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and incentive plan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43,519</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Strategic collaboration and license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integration and divestiture-related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271,163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296,830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 as a 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8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bookmarkStart w:id="8" w:name="section5"/>
      <w:bookmarkEnd w:id="8"/>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Reconciliation of Free Cash Flow</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 unaudited)</w:t>
      </w:r>
    </w:p>
    <w:tbl>
      <w:tblPr>
        <w:tblW w:w="9592" w:type="dxa"/>
        <w:jc w:val="left"/>
        <w:tblInd w:w="0" w:type="dxa"/>
        <w:tblLayout w:type="fixed"/>
        <w:tblCellMar>
          <w:top w:w="28" w:type="dxa"/>
          <w:left w:w="28" w:type="dxa"/>
          <w:bottom w:w="28" w:type="dxa"/>
          <w:right w:w="28" w:type="dxa"/>
        </w:tblCellMar>
      </w:tblPr>
      <w:tblGrid>
        <w:gridCol w:w="4216"/>
        <w:gridCol w:w="146"/>
        <w:gridCol w:w="211"/>
        <w:gridCol w:w="676"/>
        <w:gridCol w:w="166"/>
        <w:gridCol w:w="146"/>
        <w:gridCol w:w="211"/>
        <w:gridCol w:w="841"/>
        <w:gridCol w:w="166"/>
        <w:gridCol w:w="146"/>
        <w:gridCol w:w="211"/>
        <w:gridCol w:w="781"/>
        <w:gridCol w:w="166"/>
        <w:gridCol w:w="146"/>
        <w:gridCol w:w="211"/>
        <w:gridCol w:w="841"/>
        <w:gridCol w:w="3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9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center"/>
        <w:rPr>
          <w:rFonts w:ascii="Times New Roman" w:hAnsi="Times New Roman"/>
          <w:b/>
          <w:color w:val="000000"/>
          <w:sz w:val="20"/>
        </w:rPr>
      </w:pPr>
      <w:bookmarkStart w:id="9" w:name="section6"/>
      <w:bookmarkEnd w:id="9"/>
      <w:r>
        <w:rPr>
          <w:rFonts w:ascii="Times New Roman" w:hAnsi="Times New Roman"/>
          <w:b/>
          <w:color w:val="000000"/>
          <w:sz w:val="20"/>
        </w:rPr>
        <w:t>Lantheus Holdings, Inc.</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 unaudited)</w:t>
      </w:r>
    </w:p>
    <w:tbl>
      <w:tblPr>
        <w:tblW w:w="9014" w:type="dxa"/>
        <w:jc w:val="left"/>
        <w:tblInd w:w="0" w:type="dxa"/>
        <w:tblLayout w:type="fixed"/>
        <w:tblCellMar>
          <w:top w:w="28" w:type="dxa"/>
          <w:left w:w="28" w:type="dxa"/>
          <w:bottom w:w="28" w:type="dxa"/>
          <w:right w:w="28" w:type="dxa"/>
        </w:tblCellMar>
      </w:tblPr>
      <w:tblGrid>
        <w:gridCol w:w="5701"/>
        <w:gridCol w:w="146"/>
        <w:gridCol w:w="211"/>
        <w:gridCol w:w="931"/>
        <w:gridCol w:w="146"/>
        <w:gridCol w:w="146"/>
        <w:gridCol w:w="211"/>
        <w:gridCol w:w="931"/>
        <w:gridCol w:w="5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 and other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other borrowings,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contingent consideration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10 of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0" w:name="section7"/>
      <w:bookmarkEnd w:id="10"/>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Mark Kinarney </w:t>
      </w:r>
    </w:p>
    <w:p>
      <w:pPr>
        <w:pStyle w:val="TextBody"/>
        <w:bidi w:val="0"/>
        <w:jc w:val="left"/>
        <w:rPr>
          <w:rFonts w:ascii="Times New Roman" w:hAnsi="Times New Roman"/>
          <w:color w:val="000000"/>
          <w:sz w:val="20"/>
        </w:rPr>
      </w:pPr>
      <w:r>
        <w:rPr>
          <w:rFonts w:ascii="Times New Roman" w:hAnsi="Times New Roman"/>
          <w:color w:val="000000"/>
          <w:sz w:val="20"/>
        </w:rPr>
        <w:t>Vice President, Investor Relations</w:t>
      </w:r>
    </w:p>
    <w:p>
      <w:pPr>
        <w:pStyle w:val="TextBody"/>
        <w:bidi w:val="0"/>
        <w:jc w:val="left"/>
        <w:rPr>
          <w:rFonts w:ascii="Times New Roman" w:hAnsi="Times New Roman"/>
          <w:color w:val="000000"/>
          <w:sz w:val="20"/>
        </w:rPr>
      </w:pPr>
      <w:r>
        <w:rPr>
          <w:rFonts w:ascii="Times New Roman" w:hAnsi="Times New Roman"/>
          <w:color w:val="000000"/>
          <w:sz w:val="20"/>
        </w:rPr>
        <w:t>978-671-8842</w:t>
      </w:r>
    </w:p>
    <w:p>
      <w:pPr>
        <w:pStyle w:val="TextBody"/>
        <w:bidi w:val="0"/>
        <w:jc w:val="left"/>
        <w:rPr>
          <w:rFonts w:ascii="Times New Roman" w:hAnsi="Times New Roman"/>
          <w:color w:val="000000"/>
          <w:sz w:val="20"/>
        </w:rPr>
      </w:pPr>
      <w:r>
        <w:rPr>
          <w:rFonts w:ascii="Times New Roman" w:hAnsi="Times New Roman"/>
          <w:color w:val="000000"/>
          <w:sz w:val="20"/>
        </w:rPr>
        <w:t>ir@lantheus.com</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Melissa Downs </w:t>
      </w:r>
    </w:p>
    <w:p>
      <w:pPr>
        <w:pStyle w:val="TextBody"/>
        <w:bidi w:val="0"/>
        <w:jc w:val="left"/>
        <w:rPr>
          <w:rFonts w:ascii="Times New Roman" w:hAnsi="Times New Roman"/>
          <w:color w:val="000000"/>
          <w:sz w:val="20"/>
        </w:rPr>
      </w:pPr>
      <w:r>
        <w:rPr>
          <w:rFonts w:ascii="Times New Roman" w:hAnsi="Times New Roman"/>
          <w:color w:val="000000"/>
          <w:sz w:val="20"/>
        </w:rPr>
        <w:t xml:space="preserve">Executive Director, External Communications </w:t>
      </w:r>
    </w:p>
    <w:p>
      <w:pPr>
        <w:pStyle w:val="TextBody"/>
        <w:bidi w:val="0"/>
        <w:jc w:val="left"/>
        <w:rPr>
          <w:rFonts w:ascii="Times New Roman" w:hAnsi="Times New Roman"/>
          <w:color w:val="000000"/>
          <w:sz w:val="20"/>
        </w:rPr>
      </w:pPr>
      <w:r>
        <w:rPr>
          <w:rFonts w:ascii="Times New Roman" w:hAnsi="Times New Roman"/>
          <w:color w:val="000000"/>
          <w:sz w:val="20"/>
        </w:rPr>
        <w:t>646-975-2533</w:t>
      </w:r>
    </w:p>
    <w:p>
      <w:pPr>
        <w:pStyle w:val="TextBody"/>
        <w:bidi w:val="0"/>
        <w:jc w:val="left"/>
        <w:rPr>
          <w:rFonts w:ascii="Times New Roman" w:hAnsi="Times New Roman"/>
          <w:color w:val="000000"/>
          <w:sz w:val="20"/>
        </w:rPr>
      </w:pPr>
      <w:r>
        <w:rPr>
          <w:rFonts w:ascii="Times New Roman" w:hAnsi="Times New Roman"/>
          <w:color w:val="000000"/>
          <w:sz w:val="20"/>
        </w:rPr>
        <w:t>media@lantheus.com</w:t>
      </w:r>
    </w:p>
    <w:p>
      <w:pPr>
        <w:pStyle w:val="TextBody"/>
        <w:bidi w:val="0"/>
        <w:jc w:val="center"/>
        <w:rPr>
          <w:rFonts w:ascii="Times New Roman" w:hAnsi="Times New Roman"/>
          <w:color w:val="000000"/>
          <w:sz w:val="20"/>
        </w:rPr>
      </w:pPr>
      <w:r>
        <w:rPr>
          <w:rFonts w:ascii="Times New Roman" w:hAnsi="Times New Roman"/>
          <w:color w:val="000000"/>
          <w:sz w:val="20"/>
        </w:rPr>
        <w:t>Page 11 of 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4185</Words>
  <Characters>23193</Characters>
  <CharactersWithSpaces>27885</CharactersWithSpaces>
  <Paragraphs>2179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