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August 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LANTHEUS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001-36569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35-2318913</w:t>
      </w:r>
    </w:p>
    <w:p>
      <w:pPr>
        <w:spacing w:after="0" w:line="31" w:lineRule="exact"/>
        <w:rPr>
          <w:sz w:val="24"/>
          <w:szCs w:val="24"/>
          <w:color w:val="auto"/>
        </w:rPr>
      </w:pPr>
    </w:p>
    <w:p>
      <w:pPr>
        <w:sectPr>
          <w:pgSz w:w="11900" w:h="16838" w:orient="portrait"/>
          <w:cols w:equalWidth="0" w:num="3">
            <w:col w:w="4740" w:space="720"/>
            <w:col w:w="2980" w:space="720"/>
            <w:col w:w="2260"/>
          </w:cols>
          <w:pgMar w:left="240" w:top="368" w:right="23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Arial" w:cs="Arial" w:eastAsia="Arial" w:hAnsi="Arial"/>
          <w:sz w:val="14"/>
          <w:szCs w:val="14"/>
          <w:b w:val="1"/>
          <w:bCs w:val="1"/>
          <w:color w:val="auto"/>
        </w:rPr>
        <w:t>(IRS Employer</w:t>
      </w:r>
    </w:p>
    <w:p>
      <w:pPr>
        <w:jc w:val="center"/>
        <w:ind w:right="126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380"/>
          </w:cols>
          <w:pgMar w:left="240" w:top="368" w:right="239" w:bottom="1440" w:gutter="0" w:footer="0" w:header="0"/>
          <w:type w:val="continuous"/>
        </w:sectPr>
      </w:pPr>
    </w:p>
    <w:p>
      <w:pPr>
        <w:spacing w:after="0" w:line="33" w:lineRule="exact"/>
        <w:rPr>
          <w:sz w:val="24"/>
          <w:szCs w:val="24"/>
          <w:color w:val="auto"/>
        </w:rPr>
      </w:pPr>
    </w:p>
    <w:p>
      <w:pPr>
        <w:ind w:left="1220"/>
        <w:spacing w:after="0"/>
        <w:rPr>
          <w:sz w:val="20"/>
          <w:szCs w:val="20"/>
          <w:color w:val="auto"/>
        </w:rPr>
      </w:pPr>
      <w:r>
        <w:rPr>
          <w:rFonts w:ascii="Arial" w:cs="Arial" w:eastAsia="Arial" w:hAnsi="Arial"/>
          <w:sz w:val="16"/>
          <w:szCs w:val="16"/>
          <w:b w:val="1"/>
          <w:bCs w:val="1"/>
          <w:color w:val="auto"/>
        </w:rPr>
        <w:t>331 Treble Cove Road, North Billerica, MA</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01862</w:t>
      </w:r>
    </w:p>
    <w:p>
      <w:pPr>
        <w:spacing w:after="0" w:line="50" w:lineRule="exact"/>
        <w:rPr>
          <w:sz w:val="24"/>
          <w:szCs w:val="24"/>
          <w:color w:val="auto"/>
        </w:rPr>
      </w:pPr>
    </w:p>
    <w:p>
      <w:pPr>
        <w:sectPr>
          <w:pgSz w:w="11900" w:h="16838" w:orient="portrait"/>
          <w:cols w:equalWidth="0" w:num="2">
            <w:col w:w="7700" w:space="720"/>
            <w:col w:w="3000"/>
          </w:cols>
          <w:pgMar w:left="240" w:top="368" w:right="239" w:bottom="1440" w:gutter="0" w:footer="0" w:header="0"/>
          <w:type w:val="continuous"/>
        </w:sectPr>
      </w:pPr>
    </w:p>
    <w:p>
      <w:pPr>
        <w:ind w:left="17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3100"/>
          </w:cols>
          <w:pgMar w:left="240" w:top="368"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(978) 671-8001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right="400"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ind w:left="8860"/>
        <w:spacing w:after="0" w:line="207" w:lineRule="exact"/>
        <w:tabs>
          <w:tab w:leader="none" w:pos="112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August 1, 2017, Lantheus Holdings, Inc. (the “Company”) announced via press release its financial results as of and for the three and six months ended June 30, 2017. A copy of that press release is being furnished as Exhibit 99.1 and is hereby incorporated by reference.</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furnished pursuant to this Item 2.02, including Exhibit 99.1, shall not be deemed “filed” for purposes of Section 18 of the Securities Exchange Act of 1934, as amended (the “Exchange Act”), or otherwise subject to the liabilities under that Section and shall not be deemed to be incorporated by reference into any filing of the Company under the Securities Act of 1933, as amended, or the Exchange Act.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94"/>
              </w:rPr>
              <w:t>Exhibit No.</w:t>
            </w:r>
          </w:p>
        </w:tc>
        <w:tc>
          <w:tcPr>
            <w:tcW w:w="5420" w:type="dxa"/>
            <w:vAlign w:val="bottom"/>
          </w:tcPr>
          <w:p>
            <w:pPr>
              <w:spacing w:after="0"/>
              <w:rPr>
                <w:sz w:val="14"/>
                <w:szCs w:val="1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Description</w:t>
            </w:r>
          </w:p>
        </w:tc>
        <w:tc>
          <w:tcPr>
            <w:tcW w:w="4540" w:type="dxa"/>
            <w:vAlign w:val="bottom"/>
          </w:tcPr>
          <w:p>
            <w:pPr>
              <w:spacing w:after="0"/>
              <w:rPr>
                <w:sz w:val="14"/>
                <w:szCs w:val="14"/>
                <w:color w:val="auto"/>
              </w:rPr>
            </w:pPr>
          </w:p>
        </w:tc>
      </w:tr>
      <w:tr>
        <w:trPr>
          <w:trHeight w:val="303"/>
        </w:trPr>
        <w:tc>
          <w:tcPr>
            <w:tcW w:w="680" w:type="dxa"/>
            <w:vAlign w:val="bottom"/>
          </w:tcPr>
          <w:p>
            <w:pPr>
              <w:spacing w:after="0"/>
              <w:rPr>
                <w:sz w:val="20"/>
                <w:szCs w:val="20"/>
                <w:color w:val="auto"/>
              </w:rPr>
            </w:pPr>
            <w:r>
              <w:rPr>
                <w:rFonts w:ascii="Arial" w:cs="Arial" w:eastAsia="Arial" w:hAnsi="Arial"/>
                <w:sz w:val="18"/>
                <w:szCs w:val="18"/>
                <w:color w:val="auto"/>
              </w:rPr>
              <w:t>99.1*</w:t>
            </w:r>
          </w:p>
        </w:tc>
        <w:tc>
          <w:tcPr>
            <w:tcW w:w="10640" w:type="dxa"/>
            <w:vAlign w:val="bottom"/>
            <w:gridSpan w:val="3"/>
          </w:tcPr>
          <w:p>
            <w:pPr>
              <w:ind w:left="780"/>
              <w:spacing w:after="0"/>
              <w:rPr>
                <w:sz w:val="20"/>
                <w:szCs w:val="20"/>
                <w:color w:val="auto"/>
              </w:rPr>
            </w:pPr>
            <w:r>
              <w:rPr>
                <w:rFonts w:ascii="Arial" w:cs="Arial" w:eastAsia="Arial" w:hAnsi="Arial"/>
                <w:sz w:val="18"/>
                <w:szCs w:val="18"/>
                <w:color w:val="auto"/>
                <w:w w:val="90"/>
              </w:rPr>
              <w:t>Press release of Lantheus Holdings, Inc. dated August 1, 2017, entitled “Lantheus Holdings, Inc. Reports 2017 Second Quarter Financial</w:t>
            </w:r>
          </w:p>
        </w:tc>
      </w:tr>
      <w:tr>
        <w:trPr>
          <w:trHeight w:val="230"/>
        </w:trPr>
        <w:tc>
          <w:tcPr>
            <w:tcW w:w="680" w:type="dxa"/>
            <w:vAlign w:val="bottom"/>
          </w:tcPr>
          <w:p>
            <w:pPr>
              <w:spacing w:after="0"/>
              <w:rPr>
                <w:sz w:val="20"/>
                <w:szCs w:val="20"/>
                <w:color w:val="auto"/>
              </w:rPr>
            </w:pPr>
          </w:p>
        </w:tc>
        <w:tc>
          <w:tcPr>
            <w:tcW w:w="10640" w:type="dxa"/>
            <w:vAlign w:val="bottom"/>
            <w:gridSpan w:val="3"/>
          </w:tcPr>
          <w:p>
            <w:pPr>
              <w:ind w:left="780"/>
              <w:spacing w:after="0"/>
              <w:rPr>
                <w:sz w:val="20"/>
                <w:szCs w:val="20"/>
                <w:color w:val="auto"/>
              </w:rPr>
            </w:pPr>
            <w:r>
              <w:rPr>
                <w:rFonts w:ascii="Arial" w:cs="Arial" w:eastAsia="Arial" w:hAnsi="Arial"/>
                <w:sz w:val="18"/>
                <w:szCs w:val="18"/>
                <w:color w:val="auto"/>
              </w:rPr>
              <w:t>Results; Exceeds Second Quarter and Raises Full-Year 2017 Guidance”</w:t>
            </w:r>
          </w:p>
        </w:tc>
      </w:tr>
    </w:tbl>
    <w:p>
      <w:pPr>
        <w:spacing w:after="0" w:line="107" w:lineRule="exact"/>
        <w:rPr>
          <w:sz w:val="20"/>
          <w:szCs w:val="20"/>
          <w:color w:val="auto"/>
        </w:rPr>
      </w:pPr>
    </w:p>
    <w:p>
      <w:pPr>
        <w:jc w:val="both"/>
        <w:ind w:left="220" w:right="380" w:hanging="212"/>
        <w:spacing w:after="0" w:line="286" w:lineRule="auto"/>
        <w:tabs>
          <w:tab w:leader="none" w:pos="220" w:val="left"/>
        </w:tabs>
        <w:numPr>
          <w:ilvl w:val="0"/>
          <w:numId w:val="2"/>
        </w:numPr>
        <w:rPr>
          <w:rFonts w:ascii="Arial" w:cs="Arial" w:eastAsia="Arial" w:hAnsi="Arial"/>
          <w:sz w:val="17"/>
          <w:szCs w:val="17"/>
          <w:b w:val="1"/>
          <w:bCs w:val="1"/>
          <w:color w:val="auto"/>
        </w:rPr>
      </w:pPr>
      <w:r>
        <w:rPr>
          <w:rFonts w:ascii="Arial" w:cs="Arial" w:eastAsia="Arial" w:hAnsi="Arial"/>
          <w:sz w:val="17"/>
          <w:szCs w:val="17"/>
          <w:color w:val="auto"/>
        </w:rPr>
        <w:t>Exhibit 99.1 attached hereto is being furnished and shall not be deemed “filed” for purposes of Section 18 of the Securities Exchange Act of 1934, as amended, or otherwise subject to the liabilities of that section, nor shall such information be deemed incorporated by reference in any filing under the Securities Act of 1933, as amended, except as shall be expressly set forth by specific reference in such filing.</w:t>
      </w:r>
    </w:p>
    <w:p>
      <w:pPr>
        <w:sectPr>
          <w:pgSz w:w="11900" w:h="16838" w:orient="portrait"/>
          <w:cols w:equalWidth="0" w:num="1">
            <w:col w:w="11360"/>
          </w:cols>
          <w:pgMar w:left="240" w:top="270"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LANTHEUS HOLDINGS,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Michael P. Duffy</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Michael P. Duffy</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Senior Vice President, Strategy and Business</w:t>
            </w:r>
          </w:p>
        </w:tc>
      </w:tr>
      <w:tr>
        <w:trPr>
          <w:trHeight w:val="230"/>
        </w:trPr>
        <w:tc>
          <w:tcPr>
            <w:tcW w:w="54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Development, General Counsel and Secretary</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2017</w:t>
      </w:r>
    </w:p>
    <w:p>
      <w:pPr>
        <w:sectPr>
          <w:pgSz w:w="11900" w:h="16838" w:orient="portrait"/>
          <w:cols w:equalWidth="0" w:num="1">
            <w:col w:w="11420"/>
          </w:cols>
          <w:pgMar w:left="240" w:top="27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10640" w:type="dxa"/>
            <w:vAlign w:val="bottom"/>
            <w:gridSpan w:val="3"/>
          </w:tcPr>
          <w:p>
            <w:pPr>
              <w:ind w:left="434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94"/>
              </w:rPr>
              <w:t>Exhibit No.</w:t>
            </w:r>
          </w:p>
        </w:tc>
        <w:tc>
          <w:tcPr>
            <w:tcW w:w="5420" w:type="dxa"/>
            <w:vAlign w:val="bottom"/>
          </w:tcPr>
          <w:p>
            <w:pPr>
              <w:spacing w:after="0"/>
              <w:rPr>
                <w:sz w:val="24"/>
                <w:szCs w:val="2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Description</w:t>
            </w:r>
          </w:p>
        </w:tc>
        <w:tc>
          <w:tcPr>
            <w:tcW w:w="4540" w:type="dxa"/>
            <w:vAlign w:val="bottom"/>
          </w:tcPr>
          <w:p>
            <w:pPr>
              <w:spacing w:after="0"/>
              <w:rPr>
                <w:sz w:val="24"/>
                <w:szCs w:val="24"/>
                <w:color w:val="auto"/>
              </w:rPr>
            </w:pPr>
          </w:p>
        </w:tc>
      </w:tr>
      <w:tr>
        <w:trPr>
          <w:trHeight w:val="303"/>
        </w:trPr>
        <w:tc>
          <w:tcPr>
            <w:tcW w:w="680" w:type="dxa"/>
            <w:vAlign w:val="bottom"/>
          </w:tcPr>
          <w:p>
            <w:pPr>
              <w:spacing w:after="0"/>
              <w:rPr>
                <w:sz w:val="20"/>
                <w:szCs w:val="20"/>
                <w:color w:val="auto"/>
              </w:rPr>
            </w:pPr>
            <w:r>
              <w:rPr>
                <w:rFonts w:ascii="Arial" w:cs="Arial" w:eastAsia="Arial" w:hAnsi="Arial"/>
                <w:sz w:val="18"/>
                <w:szCs w:val="18"/>
                <w:color w:val="auto"/>
              </w:rPr>
              <w:t>99.1*</w:t>
            </w:r>
          </w:p>
        </w:tc>
        <w:tc>
          <w:tcPr>
            <w:tcW w:w="10640" w:type="dxa"/>
            <w:vAlign w:val="bottom"/>
            <w:gridSpan w:val="3"/>
          </w:tcPr>
          <w:p>
            <w:pPr>
              <w:ind w:left="780"/>
              <w:spacing w:after="0"/>
              <w:rPr>
                <w:sz w:val="20"/>
                <w:szCs w:val="20"/>
                <w:color w:val="auto"/>
              </w:rPr>
            </w:pPr>
            <w:r>
              <w:rPr>
                <w:rFonts w:ascii="Arial" w:cs="Arial" w:eastAsia="Arial" w:hAnsi="Arial"/>
                <w:sz w:val="18"/>
                <w:szCs w:val="18"/>
                <w:color w:val="auto"/>
                <w:w w:val="90"/>
              </w:rPr>
              <w:t>Press release of Lantheus Holdings, Inc. dated August 1, 2017, entitled “Lantheus Holdings, Inc. Reports 2017 Second Quarter Financial</w:t>
            </w:r>
          </w:p>
        </w:tc>
      </w:tr>
      <w:tr>
        <w:trPr>
          <w:trHeight w:val="230"/>
        </w:trPr>
        <w:tc>
          <w:tcPr>
            <w:tcW w:w="680" w:type="dxa"/>
            <w:vAlign w:val="bottom"/>
          </w:tcPr>
          <w:p>
            <w:pPr>
              <w:spacing w:after="0"/>
              <w:rPr>
                <w:sz w:val="20"/>
                <w:szCs w:val="20"/>
                <w:color w:val="auto"/>
              </w:rPr>
            </w:pPr>
          </w:p>
        </w:tc>
        <w:tc>
          <w:tcPr>
            <w:tcW w:w="10640" w:type="dxa"/>
            <w:vAlign w:val="bottom"/>
            <w:gridSpan w:val="3"/>
          </w:tcPr>
          <w:p>
            <w:pPr>
              <w:ind w:left="780"/>
              <w:spacing w:after="0"/>
              <w:rPr>
                <w:sz w:val="20"/>
                <w:szCs w:val="20"/>
                <w:color w:val="auto"/>
              </w:rPr>
            </w:pPr>
            <w:r>
              <w:rPr>
                <w:rFonts w:ascii="Arial" w:cs="Arial" w:eastAsia="Arial" w:hAnsi="Arial"/>
                <w:sz w:val="18"/>
                <w:szCs w:val="18"/>
                <w:color w:val="auto"/>
              </w:rPr>
              <w:t>Results; Exceeds Second Quarter and Raises Full-Year 2017 Guidance”</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ind w:left="220" w:right="340" w:hanging="212"/>
        <w:spacing w:after="0" w:line="286" w:lineRule="auto"/>
        <w:tabs>
          <w:tab w:leader="none" w:pos="22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Exhibit 99.1 attached hereto is being furnished and shall not be deemed “filed” for purposes of Section 18 of the Securities Exchange Act of 1934, as amended, or otherwise subject to the liabilities of that section, nor shall such information be deemed incorporated by reference in any filing under the Securities Act of 1933, as amended, except as shall be expressly set forth by specific reference in such filing.</w:t>
      </w:r>
    </w:p>
    <w:p>
      <w:pPr>
        <w:sectPr>
          <w:pgSz w:w="11900" w:h="16838" w:orient="portrait"/>
          <w:cols w:equalWidth="0" w:num="1">
            <w:col w:w="11320"/>
          </w:cols>
          <w:pgMar w:left="240" w:top="270" w:right="339" w:bottom="1440" w:gutter="0" w:footer="0" w:header="0"/>
        </w:sectPr>
      </w:pPr>
    </w:p>
    <w:bookmarkStart w:id="4" w:name="page5"/>
    <w:bookmarkEnd w:id="4"/>
    <w:p>
      <w:pPr>
        <w:ind w:left="10480"/>
        <w:spacing w:after="0"/>
        <w:rPr>
          <w:sz w:val="20"/>
          <w:szCs w:val="20"/>
          <w:color w:val="auto"/>
        </w:rPr>
      </w:pPr>
      <w:r>
        <w:rPr>
          <w:rFonts w:ascii="Arial" w:cs="Arial" w:eastAsia="Arial" w:hAnsi="Arial"/>
          <w:sz w:val="16"/>
          <w:szCs w:val="16"/>
          <w:b w:val="1"/>
          <w:bCs w:val="1"/>
          <w:color w:val="auto"/>
        </w:rPr>
        <w:t>Exhibit 99.1</w:t>
      </w:r>
    </w:p>
    <w:p>
      <w:pPr>
        <w:sectPr>
          <w:pgSz w:w="11900" w:h="16838" w:orient="portrait"/>
          <w:cols w:equalWidth="0" w:num="1">
            <w:col w:w="11420"/>
          </w:cols>
          <w:pgMar w:left="240" w:top="121" w:right="239" w:bottom="1440" w:gutter="0" w:footer="0" w:header="0"/>
        </w:sectPr>
      </w:pPr>
    </w:p>
    <w:p>
      <w:pPr>
        <w:spacing w:after="0" w:line="27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331 Treble Cove 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2015490" cy="5657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15490" cy="565785"/>
                    </a:xfrm>
                    <a:prstGeom prst="rect">
                      <a:avLst/>
                    </a:prstGeom>
                    <a:noFill/>
                  </pic:spPr>
                </pic:pic>
              </a:graphicData>
            </a:graphic>
          </wp:anchor>
        </w:drawing>
      </w:r>
    </w:p>
    <w:p>
      <w:pPr>
        <w:spacing w:after="0" w:line="3" w:lineRule="exact"/>
        <w:rPr>
          <w:sz w:val="20"/>
          <w:szCs w:val="20"/>
          <w:color w:val="auto"/>
        </w:rPr>
      </w:pPr>
    </w:p>
    <w:p>
      <w:pPr>
        <w:ind w:left="6520"/>
        <w:spacing w:after="0"/>
        <w:rPr>
          <w:sz w:val="20"/>
          <w:szCs w:val="20"/>
          <w:color w:val="auto"/>
        </w:rPr>
      </w:pPr>
      <w:r>
        <w:rPr>
          <w:rFonts w:ascii="Arial" w:cs="Arial" w:eastAsia="Arial" w:hAnsi="Arial"/>
          <w:sz w:val="17"/>
          <w:szCs w:val="17"/>
          <w:color w:val="auto"/>
        </w:rPr>
        <w:t>North Billerica, MA 01862</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800.362.2668</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www.lantheus.com</w:t>
      </w:r>
    </w:p>
    <w:p>
      <w:pPr>
        <w:spacing w:after="0" w:line="211" w:lineRule="exact"/>
        <w:rPr>
          <w:sz w:val="20"/>
          <w:szCs w:val="20"/>
          <w:color w:val="auto"/>
        </w:rPr>
      </w:pPr>
    </w:p>
    <w:p>
      <w:pPr>
        <w:sectPr>
          <w:pgSz w:w="11900" w:h="16838" w:orient="portrait"/>
          <w:cols w:equalWidth="0" w:num="2">
            <w:col w:w="8880" w:space="720"/>
            <w:col w:w="1820"/>
          </w:cols>
          <w:pgMar w:left="240" w:top="121" w:right="239" w:bottom="1440" w:gutter="0" w:footer="0" w:header="0"/>
          <w:type w:val="continuous"/>
        </w:sect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RELEASE 4:02 PM 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TUESDAY, AUGUST 1, 2017</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Lantheus Holdings, Inc. Reports 2017 Second Quarter Financial Results; Exceeds Second Quarter and Raises Full-Year 2017 Guidance</w:t>
      </w:r>
    </w:p>
    <w:p>
      <w:pPr>
        <w:spacing w:after="0" w:line="146" w:lineRule="exact"/>
        <w:rPr>
          <w:sz w:val="20"/>
          <w:szCs w:val="20"/>
          <w:color w:val="auto"/>
        </w:rPr>
      </w:pPr>
    </w:p>
    <w:p>
      <w:pPr>
        <w:ind w:left="900" w:right="40" w:hanging="325"/>
        <w:spacing w:after="0" w:line="277" w:lineRule="auto"/>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Posts Q2 revenue of $88.8 million; net income of $13.6 million and Adjusted EBITDA of $27.9 million, which includes the impact of receipt of an up-front payment of $5.0 million from GE Healthcare under the flurpiridaz F 18 collaboration and license agreement</w:t>
      </w:r>
    </w:p>
    <w:p>
      <w:pPr>
        <w:spacing w:after="0" w:line="75" w:lineRule="exact"/>
        <w:rPr>
          <w:rFonts w:ascii="Arial" w:cs="Arial" w:eastAsia="Arial" w:hAnsi="Arial"/>
          <w:sz w:val="18"/>
          <w:szCs w:val="18"/>
          <w:i w:val="1"/>
          <w:iCs w:val="1"/>
          <w:color w:val="auto"/>
        </w:rPr>
      </w:pPr>
    </w:p>
    <w:p>
      <w:pPr>
        <w:ind w:left="900" w:hanging="325"/>
        <w:spacing w:after="0"/>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DEFINITY</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worldwide revenue increases 20% over prior year period</w:t>
      </w:r>
    </w:p>
    <w:p>
      <w:pPr>
        <w:spacing w:after="0" w:line="221"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 xml:space="preserve">NORTH BILLERICA, Mass., August 1, 2017 </w:t>
      </w:r>
      <w:r>
        <w:rPr>
          <w:rFonts w:ascii="Arial" w:cs="Arial" w:eastAsia="Arial" w:hAnsi="Arial"/>
          <w:sz w:val="18"/>
          <w:szCs w:val="18"/>
          <w:color w:val="auto"/>
        </w:rPr>
        <w:t>– Lantheus Holdings, Inc. (the “Company”) (NASDAQ: LNTH), parent company of Lantheus Medical</w:t>
      </w:r>
      <w:r>
        <w:rPr>
          <w:rFonts w:ascii="Arial" w:cs="Arial" w:eastAsia="Arial" w:hAnsi="Arial"/>
          <w:sz w:val="18"/>
          <w:szCs w:val="18"/>
          <w:b w:val="1"/>
          <w:bCs w:val="1"/>
          <w:color w:val="auto"/>
        </w:rPr>
        <w:t xml:space="preserve"> </w:t>
      </w:r>
      <w:r>
        <w:rPr>
          <w:rFonts w:ascii="Arial" w:cs="Arial" w:eastAsia="Arial" w:hAnsi="Arial"/>
          <w:sz w:val="18"/>
          <w:szCs w:val="18"/>
          <w:color w:val="auto"/>
        </w:rPr>
        <w:t>Imaging, Inc. (“LMI”), a global leader in the development, manufacture and commercialization of innovative diagnostic imaging agents and products, today reported financial results for its second quarter ended June 30, 2017.</w:t>
      </w:r>
    </w:p>
    <w:p>
      <w:pPr>
        <w:spacing w:after="0" w:line="18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Company’s worldwide revenues for the second quarter of 2017 totaled $88.8 million, which includes the impact of the one-time $5.0 million up-front payment from GE Healthcare under the flurpiridaz F 18 collaboration and license agreement. This represents an increase of 13.9% compared to $78.0 million for the prior year period, and exceeds second quarter guidance of $79 million to $82 million, which excluded the impact of the up-front payment received from GE Healthcare. Revenue results were also driven by 19.9% growth in worldwide sales of DEFINITY</w:t>
      </w:r>
      <w:r>
        <w:rPr>
          <w:rFonts w:ascii="Arial" w:cs="Arial" w:eastAsia="Arial" w:hAnsi="Arial"/>
          <w:sz w:val="14"/>
          <w:szCs w:val="14"/>
          <w:color w:val="auto"/>
        </w:rPr>
        <w:t>®</w:t>
      </w:r>
      <w:r>
        <w:rPr>
          <w:rFonts w:ascii="Arial" w:cs="Arial" w:eastAsia="Arial" w:hAnsi="Arial"/>
          <w:sz w:val="17"/>
          <w:szCs w:val="17"/>
          <w:color w:val="auto"/>
        </w:rPr>
        <w:t>, 5.8% growth in worldwide sales of TechneLite</w:t>
      </w:r>
      <w:r>
        <w:rPr>
          <w:rFonts w:ascii="Arial" w:cs="Arial" w:eastAsia="Arial" w:hAnsi="Arial"/>
          <w:sz w:val="14"/>
          <w:szCs w:val="14"/>
          <w:color w:val="auto"/>
        </w:rPr>
        <w:t>®</w:t>
      </w:r>
      <w:r>
        <w:rPr>
          <w:rFonts w:ascii="Arial" w:cs="Arial" w:eastAsia="Arial" w:hAnsi="Arial"/>
          <w:sz w:val="17"/>
          <w:szCs w:val="17"/>
          <w:color w:val="auto"/>
        </w:rPr>
        <w:t xml:space="preserve"> and 17.0% growth in worldwide sales of Xenon compared to the second quarter of 2016.</w:t>
      </w:r>
    </w:p>
    <w:p>
      <w:pPr>
        <w:spacing w:after="0" w:line="17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Net income for the second quarter of 2017 totaled $13.6 million, or $0.35 per diluted share, compared to $7.4 million, or $0.24 per diluted share, for the second quarter of 2016. The increase is primarily attributable to the up-front payment from GE Healthcare as well as DEFINITY revenue growth and lower interest expense related to the refinancing of debt in March 2017. This was partially offset by increased operating expenses and the divestiture of the Company’s Australian radiopharmacy business during the third quarter of 2016.</w:t>
      </w:r>
    </w:p>
    <w:p>
      <w:pPr>
        <w:spacing w:after="0" w:line="18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Company’s second quarter 2017 Adjusted EBITDA (as outlined in the GAAP to non-GAAP reconciliation provided below) was $27.9 million, or 31.5% of revenues, which includes the up-front payment from GE Healthcare. This compares to $21.4 million, or 27.5% of revenues, for the prior year period, and exceeded the previously provided second quarter guidance of $18 million to $20 million, which excluded the impact of the up-front payment received from GE Healthcare. In addition to the up-front payment under the GE Healthcare agreement, second quarter results were driven by DEFINITY worldwide revenue growth, partially offset by sales and marketing expenses attributable to sales growth in DEFINITY and costs related to strategic initiatives.</w:t>
      </w:r>
    </w:p>
    <w:p>
      <w:pPr>
        <w:spacing w:after="0" w:line="15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 the quarter, we delivered strong financial results, exceeding our guidance,” commented Mary Anne Heino, President and CEO. “Steady growth of our flagship imaging agent, DEFINITY, complemented by performance of our nuclear medicine products portfolio, continues to drive our results. Therefore, we are updating our full-year guidance. Our priority for the remainder of the year is to build upon our first half success as we continue to invest in strategic initiatives for long-term growth.”</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 has increased its full-year 2017 worldwide revenue guidance range to $318 million to $322 million from $313 million to $318 million, and expects worldwide revenues in the range of $75 million to $78 million for the third quarter of 2017.</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has also increased its full-year 2017 guidance range for Adjusted EBITDA, as described in the GAAP to non-GAAP reconciliation provided later in this release, to $82 million to $85 million from $80 million to $83 million, measuring 25.5% to 26.7% of worldwide revenues. For the third quarter of 2017, the Company expects Adjusted EBITDA in the range of $17 million to $19 million.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w:t>
      </w:r>
      <w:r>
        <w:rPr>
          <w:rFonts w:ascii="Arial" w:cs="Arial" w:eastAsia="Arial" w:hAnsi="Arial"/>
          <w:sz w:val="18"/>
          <w:szCs w:val="18"/>
          <w:color w:val="auto"/>
        </w:rPr>
        <w:t xml:space="preserve"> of </w:t>
      </w:r>
      <w:r>
        <w:rPr>
          <w:rFonts w:ascii="Arial" w:cs="Arial" w:eastAsia="Arial" w:hAnsi="Arial"/>
          <w:sz w:val="18"/>
          <w:szCs w:val="18"/>
          <w:b w:val="1"/>
          <w:bCs w:val="1"/>
          <w:color w:val="auto"/>
        </w:rPr>
        <w:t>13</w:t>
      </w:r>
    </w:p>
    <w:p>
      <w:pPr>
        <w:sectPr>
          <w:pgSz w:w="11900" w:h="16838" w:orient="portrait"/>
          <w:cols w:equalWidth="0" w:num="1">
            <w:col w:w="11420"/>
          </w:cols>
          <w:pgMar w:left="240" w:top="121"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full-year guidance for both revenue and Adjusted EBITDA excludes the impact of the up-front payment received from GE Healthcare.</w:t>
      </w:r>
    </w:p>
    <w:p>
      <w:pPr>
        <w:spacing w:after="0" w:line="22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Company’s guidance for worldwide revenues and Adjusted EBITDA are forward-looking statements. They are subject to various risks and uncertainties that could cause the Company’s actual results to differ materially from guidance. Forward-looking statements are not predictions of the Company’s actual performance. See the cautionary information about forward-looking statements in the “Safe-Harbor Statement” section of this press release.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Internet Posting of Information</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routinely posts information that may be important to investors in the “Investors” section of its website at www.lantheus.com. The Company encourages investors and potential investors to consult its website regularly for important information about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1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 previously announced, the Company will host a conference call starting at 4:30 p.m. Eastern Time today. To access the live conference call via telephone, please dial 1-866-498-8390 (U.S. callers) or 1-678-509-7599 (international callers) and provide passcode 55191482. A live audio webcast of the call also will be available in the Investors section of the Company’s website at www.lantheus.com.</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replay of the audio webcast will be available in the Investors section of our website at www.lantheus.com approximately two hours after completion of the call and will be archived for 30 days.</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conference call will include a discussion of non-GAAP financial measures. Reference is made to the most directly comparable GAAP financial measures, the reconciliation of the differences between the two financial measures, and the other information included in this press release, our Form 8-K filed with the SEC today, or otherwise available in the Investor Relations section of our website located at www.lantheus.com.</w:t>
      </w:r>
    </w:p>
    <w:p>
      <w:pPr>
        <w:spacing w:after="0" w:line="16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conference call may include forward-looking statements. See the cautionary information about forward-looking statements in the safe-harbor section of this press release.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Lantheus Holdings, Inc. and Lantheus Medical Imaging, Inc.</w:t>
      </w:r>
    </w:p>
    <w:p>
      <w:pPr>
        <w:spacing w:after="0" w:line="121"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Lantheus Holdings, Inc. is the parent company of LMI, a global leader in the development, manufacture and commercialization of innovative diagnostic imaging agents and products. LMI provides a broad portfolio of products, including the echocardiography contrast agent DEFINITY</w:t>
      </w:r>
      <w:r>
        <w:rPr>
          <w:rFonts w:ascii="Arial" w:cs="Arial" w:eastAsia="Arial" w:hAnsi="Arial"/>
          <w:sz w:val="15"/>
          <w:szCs w:val="15"/>
          <w:color w:val="auto"/>
        </w:rPr>
        <w:t>®</w:t>
      </w:r>
      <w:r>
        <w:rPr>
          <w:rFonts w:ascii="Arial" w:cs="Arial" w:eastAsia="Arial" w:hAnsi="Arial"/>
          <w:sz w:val="18"/>
          <w:szCs w:val="18"/>
          <w:color w:val="auto"/>
        </w:rPr>
        <w:t xml:space="preserve"> Vial for (Perflutren Lipid Microsphere) Injectable Suspension; TechneLite</w:t>
      </w:r>
      <w:r>
        <w:rPr>
          <w:rFonts w:ascii="Arial" w:cs="Arial" w:eastAsia="Arial" w:hAnsi="Arial"/>
          <w:sz w:val="15"/>
          <w:szCs w:val="15"/>
          <w:color w:val="auto"/>
        </w:rPr>
        <w:t>®</w:t>
      </w:r>
      <w:r>
        <w:rPr>
          <w:rFonts w:ascii="Arial" w:cs="Arial" w:eastAsia="Arial" w:hAnsi="Arial"/>
          <w:sz w:val="18"/>
          <w:szCs w:val="18"/>
          <w:color w:val="auto"/>
        </w:rPr>
        <w:t xml:space="preserve"> (Technetium Tc99m Generator), a technetium-based generator that provides the essential medical isotope used in nuclear medicine procedures; and Xenon (Xenon Xe 133 Gas), an inhaled radiopharmaceutical imaging agent used to evaluate pulmonary function and for imaging the lungs. The Company is headquartered in North Billerica, Massachusetts with offices in Puerto Rico and Canada. For more information, visit www.lantheus.com.</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uses non-GAAP financial measures, such as revenues excluding the impact of foreign currency; adjusted operating income; adjusted net income; Adjusted EBITDA; adjusted net income per share - diluted; and free cash flow. The Company’s management believes that the presentation of these measures provides useful information to investors. These measures may assist investors in evaluating the Company’s operations, period over period. The measures may exclude such items which may be highly variable, difficult to predict and of a size that could have substantial impact on the Company’s reported results of operations for a period. Management uses these and other non-GAAP measures internally for evaluation of the performance of the business, including the allocation of resources and the evaluation of results relative to employee performance compensation targets. Investors should consider these non-GAAP measures only as a supplement to, not as a substitute for or as superior to, measures of financial performance prepared in accordance with GAAP.</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13</w:t>
      </w:r>
    </w:p>
    <w:p>
      <w:pPr>
        <w:sectPr>
          <w:pgSz w:w="11900" w:h="16838" w:orient="portrait"/>
          <w:cols w:equalWidth="0" w:num="1">
            <w:col w:w="11400"/>
          </w:cols>
          <w:pgMar w:left="240" w:top="274"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Safe Harbor for Forward-Looking and Cautionary Statements</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This press release contains “forward-looking statements” as defined under U.S. federal securities laws, including statements about our 2017 outlook. Forward-looking statements may be identified by their use of terms such as anticipate, believe, confident, could, estimate, expect, intend, may, plan, predict, project, target, will and other similar terms. Such forward-looking statements are subject to risks and uncertainties that could cause actual results to materially differ from those described in the forward- looking statements. Readers are cautioned not to place undue reliance on the forward-looking statements contained herein, which speak only as of the date hereof. The Company undertakes no obligation to publicly update any forward-looking statement, whether as a result of new information, future developments or otherwise, except as may be required by law. Risks and uncertainties that could cause our actual results to materially differ from those described in the forward-looking statements are discussed in our filings with the Securities and Exchange Commission (including those described in the Risk Factors section in our Annual Reports on Form 10-K and our Quarterly Reports on Form 10-Q). This press release includes forward-looking non-GAAP guidance for 2017 Adjusted EBITDA. No reconciliation of this forward-looking non-GAAP guidance was included in this press release because, due to the high variability and difficulty in making accurate forecasts and projections of some of the excluded information, together with some of the excluded information not being ascertainable or accessible, the Company is unable to quantify certain amounts that would be required to be included in the most directly comparable GAAP financial measure without unreasonable efforts.</w:t>
      </w:r>
    </w:p>
    <w:p>
      <w:pPr>
        <w:spacing w:after="0" w:line="16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Tables Follow –</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13</w:t>
      </w:r>
    </w:p>
    <w:p>
      <w:pPr>
        <w:sectPr>
          <w:pgSz w:w="11900" w:h="16838" w:orient="portrait"/>
          <w:cols w:equalWidth="0" w:num="1">
            <w:col w:w="11240"/>
          </w:cols>
          <w:pgMar w:left="240" w:top="270" w:right="41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Lantheus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 – 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77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88,837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77,966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170,196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154,440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Cost of goods sold</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42,890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42,215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84,487</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84,988</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45,947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35,751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85,709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69,452</w:t>
            </w:r>
          </w:p>
        </w:tc>
        <w:tc>
          <w:tcPr>
            <w:tcW w:w="0" w:type="dxa"/>
            <w:vAlign w:val="bottom"/>
          </w:tcPr>
          <w:p>
            <w:pPr>
              <w:spacing w:after="0"/>
              <w:rPr>
                <w:sz w:val="1"/>
                <w:szCs w:val="1"/>
                <w:color w:val="auto"/>
              </w:rPr>
            </w:pPr>
          </w:p>
        </w:tc>
      </w:tr>
      <w:tr>
        <w:trPr>
          <w:trHeight w:val="223"/>
        </w:trPr>
        <w:tc>
          <w:tcPr>
            <w:tcW w:w="778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11,603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21,817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19,150</w:t>
            </w:r>
          </w:p>
        </w:tc>
        <w:tc>
          <w:tcPr>
            <w:tcW w:w="0" w:type="dxa"/>
            <w:vAlign w:val="bottom"/>
          </w:tcPr>
          <w:p>
            <w:pPr>
              <w:spacing w:after="0"/>
              <w:rPr>
                <w:sz w:val="1"/>
                <w:szCs w:val="1"/>
                <w:color w:val="auto"/>
              </w:rPr>
            </w:pPr>
          </w:p>
        </w:tc>
      </w:tr>
      <w:tr>
        <w:trPr>
          <w:trHeight w:val="216"/>
        </w:trPr>
        <w:tc>
          <w:tcPr>
            <w:tcW w:w="778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11,203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9,238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23,473</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18,751</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5,244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10,595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5,644</w:t>
            </w:r>
          </w:p>
        </w:tc>
        <w:tc>
          <w:tcPr>
            <w:tcW w:w="0" w:type="dxa"/>
            <w:vAlign w:val="bottom"/>
          </w:tcPr>
          <w:p>
            <w:pPr>
              <w:spacing w:after="0"/>
              <w:rPr>
                <w:sz w:val="1"/>
                <w:szCs w:val="1"/>
                <w:color w:val="auto"/>
              </w:rPr>
            </w:pPr>
          </w:p>
        </w:tc>
      </w:tr>
      <w:tr>
        <w:trPr>
          <w:trHeight w:val="223"/>
        </w:trPr>
        <w:tc>
          <w:tcPr>
            <w:tcW w:w="778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28,050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21,689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55,885</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sale of assets</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(5,945)</w:t>
            </w:r>
          </w:p>
        </w:tc>
        <w:tc>
          <w:tcPr>
            <w:tcW w:w="0" w:type="dxa"/>
            <w:vAlign w:val="bottom"/>
          </w:tcPr>
          <w:p>
            <w:pPr>
              <w:spacing w:after="0"/>
              <w:rPr>
                <w:sz w:val="1"/>
                <w:szCs w:val="1"/>
                <w:color w:val="auto"/>
              </w:rPr>
            </w:pPr>
          </w:p>
        </w:tc>
      </w:tr>
      <w:tr>
        <w:trPr>
          <w:trHeight w:val="223"/>
        </w:trPr>
        <w:tc>
          <w:tcPr>
            <w:tcW w:w="7780" w:type="dxa"/>
            <w:vAlign w:val="bottom"/>
          </w:tcPr>
          <w:p>
            <w:pPr>
              <w:ind w:left="720"/>
              <w:spacing w:after="0"/>
              <w:rPr>
                <w:sz w:val="20"/>
                <w:szCs w:val="20"/>
                <w:color w:val="auto"/>
              </w:rPr>
            </w:pPr>
            <w:r>
              <w:rPr>
                <w:rFonts w:ascii="Arial" w:cs="Arial" w:eastAsia="Arial" w:hAnsi="Arial"/>
                <w:sz w:val="18"/>
                <w:szCs w:val="18"/>
                <w:color w:val="auto"/>
              </w:rPr>
              <w:t>Operating income</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17,897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14,179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29,824</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4,285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14,008</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80" w:type="dxa"/>
            <w:vAlign w:val="bottom"/>
          </w:tcPr>
          <w:p>
            <w:pPr>
              <w:spacing w:after="0"/>
              <w:rPr>
                <w:sz w:val="18"/>
                <w:szCs w:val="18"/>
                <w:color w:val="auto"/>
              </w:rPr>
            </w:pPr>
          </w:p>
        </w:tc>
        <w:tc>
          <w:tcPr>
            <w:tcW w:w="84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2,161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(552)</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(1,129)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23"/>
        </w:trPr>
        <w:tc>
          <w:tcPr>
            <w:tcW w:w="7780" w:type="dxa"/>
            <w:vAlign w:val="bottom"/>
          </w:tcPr>
          <w:p>
            <w:pPr>
              <w:ind w:left="360"/>
              <w:spacing w:after="0"/>
              <w:rPr>
                <w:sz w:val="20"/>
                <w:szCs w:val="20"/>
                <w:color w:val="auto"/>
              </w:rPr>
            </w:pPr>
            <w:r>
              <w:rPr>
                <w:rFonts w:ascii="Arial" w:cs="Arial" w:eastAsia="Arial" w:hAnsi="Arial"/>
                <w:sz w:val="18"/>
                <w:szCs w:val="18"/>
                <w:color w:val="auto"/>
              </w:rPr>
              <w:t>Income before income taxes</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14,164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7,597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19,087</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23"/>
        </w:trPr>
        <w:tc>
          <w:tcPr>
            <w:tcW w:w="7780" w:type="dxa"/>
            <w:vAlign w:val="bottom"/>
          </w:tcPr>
          <w:p>
            <w:pPr>
              <w:ind w:left="720"/>
              <w:spacing w:after="0"/>
              <w:rPr>
                <w:sz w:val="20"/>
                <w:szCs w:val="20"/>
                <w:color w:val="auto"/>
              </w:rPr>
            </w:pPr>
            <w:r>
              <w:rPr>
                <w:rFonts w:ascii="Arial" w:cs="Arial" w:eastAsia="Arial" w:hAnsi="Arial"/>
                <w:sz w:val="18"/>
                <w:szCs w:val="18"/>
                <w:color w:val="auto"/>
              </w:rPr>
              <w:t>Net income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13,595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7,350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17,733</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 outstanding:</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720"/>
              <w:spacing w:after="0"/>
              <w:rPr>
                <w:sz w:val="20"/>
                <w:szCs w:val="20"/>
                <w:color w:val="auto"/>
              </w:rPr>
            </w:pPr>
            <w:r>
              <w:rPr>
                <w:rFonts w:ascii="Arial" w:cs="Arial" w:eastAsia="Arial" w:hAnsi="Arial"/>
                <w:sz w:val="18"/>
                <w:szCs w:val="18"/>
                <w:color w:val="auto"/>
              </w:rPr>
              <w:t>Basic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0.37</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0.24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0.48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8"/>
                <w:szCs w:val="18"/>
                <w:color w:val="auto"/>
              </w:rPr>
              <w:t>Weighted-average common shares: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37,235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30,378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37,063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30,373</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720"/>
              <w:spacing w:after="0"/>
              <w:rPr>
                <w:sz w:val="20"/>
                <w:szCs w:val="20"/>
                <w:color w:val="auto"/>
              </w:rPr>
            </w:pPr>
            <w:r>
              <w:rPr>
                <w:rFonts w:ascii="Arial" w:cs="Arial" w:eastAsia="Arial" w:hAnsi="Arial"/>
                <w:sz w:val="18"/>
                <w:szCs w:val="18"/>
                <w:color w:val="auto"/>
              </w:rPr>
              <w:t>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38,900</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30,543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38,726</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w:t>
      </w:r>
      <w:r>
        <w:rPr>
          <w:rFonts w:ascii="Arial" w:cs="Arial" w:eastAsia="Arial" w:hAnsi="Arial"/>
          <w:sz w:val="18"/>
          <w:szCs w:val="18"/>
          <w:b w:val="1"/>
          <w:bCs w:val="1"/>
          <w:color w:val="auto"/>
        </w:rPr>
        <w:t>13</w:t>
      </w:r>
    </w:p>
    <w:p>
      <w:pPr>
        <w:sectPr>
          <w:pgSz w:w="11900" w:h="16838" w:orient="portrait"/>
          <w:cols w:equalWidth="0" w:num="1">
            <w:col w:w="11420"/>
          </w:cols>
          <w:pgMar w:left="240" w:top="27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Lantheus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Segment Revenues Analysis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 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620" w:type="dxa"/>
            <w:vAlign w:val="bottom"/>
            <w:gridSpan w:val="7"/>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800" w:type="dxa"/>
            <w:vAlign w:val="bottom"/>
            <w:gridSpan w:val="6"/>
          </w:tcPr>
          <w:p>
            <w:pPr>
              <w:ind w:left="520"/>
              <w:spacing w:after="0"/>
              <w:rPr>
                <w:sz w:val="20"/>
                <w:szCs w:val="20"/>
                <w:color w:val="auto"/>
              </w:rPr>
            </w:pPr>
            <w:r>
              <w:rPr>
                <w:rFonts w:ascii="Arial" w:cs="Arial" w:eastAsia="Arial" w:hAnsi="Arial"/>
                <w:sz w:val="14"/>
                <w:szCs w:val="14"/>
                <w:b w:val="1"/>
                <w:bCs w:val="1"/>
                <w:color w:val="auto"/>
              </w:rPr>
              <w:t>Six Months Ended</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6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0"/>
                <w:szCs w:val="10"/>
                <w:color w:val="auto"/>
              </w:rPr>
            </w:pPr>
          </w:p>
        </w:tc>
        <w:tc>
          <w:tcPr>
            <w:tcW w:w="820" w:type="dxa"/>
            <w:vAlign w:val="bottom"/>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0"/>
                <w:szCs w:val="10"/>
                <w:color w:val="auto"/>
              </w:rPr>
            </w:pPr>
          </w:p>
        </w:tc>
        <w:tc>
          <w:tcPr>
            <w:tcW w:w="480" w:type="dxa"/>
            <w:vAlign w:val="bottom"/>
          </w:tcPr>
          <w:p>
            <w:pPr>
              <w:jc w:val="right"/>
              <w:ind w:right="72"/>
              <w:spacing w:after="0" w:line="119" w:lineRule="exact"/>
              <w:rPr>
                <w:sz w:val="20"/>
                <w:szCs w:val="20"/>
                <w:color w:val="auto"/>
              </w:rPr>
            </w:pPr>
            <w:r>
              <w:rPr>
                <w:rFonts w:ascii="Arial" w:cs="Arial" w:eastAsia="Arial" w:hAnsi="Arial"/>
                <w:sz w:val="13"/>
                <w:szCs w:val="13"/>
                <w:b w:val="1"/>
                <w:bCs w:val="1"/>
                <w:color w:val="auto"/>
              </w:rPr>
              <w:t>%</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0"/>
                <w:szCs w:val="10"/>
                <w:color w:val="auto"/>
              </w:rPr>
            </w:pPr>
          </w:p>
        </w:tc>
        <w:tc>
          <w:tcPr>
            <w:tcW w:w="460" w:type="dxa"/>
            <w:vAlign w:val="bottom"/>
          </w:tcPr>
          <w:p>
            <w:pPr>
              <w:jc w:val="right"/>
              <w:ind w:right="72"/>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tcBorders>
              <w:top w:val="single" w:sz="8" w:color="CCEEFF"/>
              <w:bottom w:val="single" w:sz="8" w:color="auto"/>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6"/>
              </w:rPr>
              <w:t>United States</w:t>
            </w:r>
          </w:p>
        </w:tc>
        <w:tc>
          <w:tcPr>
            <w:tcW w:w="514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CCEEFF"/>
            </w:tcBorders>
            <w:shd w:val="clear" w:color="auto" w:fill="CCEEFF"/>
          </w:tcPr>
          <w:p>
            <w:pPr>
              <w:spacing w:after="0"/>
              <w:rPr>
                <w:sz w:val="15"/>
                <w:szCs w:val="15"/>
                <w:color w:val="auto"/>
              </w:rPr>
            </w:pPr>
          </w:p>
        </w:tc>
        <w:tc>
          <w:tcPr>
            <w:tcW w:w="4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4"/>
          </w:tcPr>
          <w:p>
            <w:pPr>
              <w:spacing w:after="0"/>
              <w:rPr>
                <w:sz w:val="20"/>
                <w:szCs w:val="20"/>
                <w:color w:val="auto"/>
              </w:rPr>
            </w:pPr>
            <w:r>
              <w:rPr>
                <w:rFonts w:ascii="Arial" w:cs="Arial" w:eastAsia="Arial" w:hAnsi="Arial"/>
                <w:sz w:val="18"/>
                <w:szCs w:val="18"/>
                <w:color w:val="auto"/>
              </w:rPr>
              <w:t>DEFINITY</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$39,211</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$32,698</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19.9%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76,134</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63,491</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TechneLite</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23,220</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21,643</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46,529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43,376</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4"/>
          </w:tcPr>
          <w:p>
            <w:pPr>
              <w:spacing w:after="0"/>
              <w:rPr>
                <w:sz w:val="20"/>
                <w:szCs w:val="20"/>
                <w:color w:val="auto"/>
              </w:rPr>
            </w:pPr>
            <w:r>
              <w:rPr>
                <w:rFonts w:ascii="Arial" w:cs="Arial" w:eastAsia="Arial" w:hAnsi="Arial"/>
                <w:sz w:val="18"/>
                <w:szCs w:val="18"/>
                <w:color w:val="auto"/>
              </w:rPr>
              <w:t>Xenon</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7,925</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6,773</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15,983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14,945</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4,020</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8,255</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gridSpan w:val="4"/>
            <w:vMerge w:val="restart"/>
          </w:tcPr>
          <w:p>
            <w:pPr>
              <w:ind w:left="340"/>
              <w:spacing w:after="0"/>
              <w:rPr>
                <w:sz w:val="20"/>
                <w:szCs w:val="20"/>
                <w:color w:val="auto"/>
              </w:rPr>
            </w:pPr>
            <w:r>
              <w:rPr>
                <w:rFonts w:ascii="Arial" w:cs="Arial" w:eastAsia="Arial" w:hAnsi="Arial"/>
                <w:sz w:val="18"/>
                <w:szCs w:val="18"/>
                <w:b w:val="1"/>
                <w:bCs w:val="1"/>
                <w:color w:val="auto"/>
              </w:rPr>
              <w:t>Total United States</w:t>
            </w: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gridSpan w:val="4"/>
            <w:vMerge w:val="continue"/>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78,100</w:t>
            </w:r>
          </w:p>
        </w:tc>
        <w:tc>
          <w:tcPr>
            <w:tcW w:w="2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65,134</w:t>
            </w:r>
          </w:p>
        </w:tc>
        <w:tc>
          <w:tcPr>
            <w:tcW w:w="260" w:type="dxa"/>
            <w:vAlign w:val="bottom"/>
            <w:vMerge w:val="continue"/>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149,127</w:t>
            </w:r>
          </w:p>
        </w:tc>
        <w:tc>
          <w:tcPr>
            <w:tcW w:w="1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130,067</w:t>
            </w:r>
          </w:p>
        </w:tc>
        <w:tc>
          <w:tcPr>
            <w:tcW w:w="260" w:type="dxa"/>
            <w:vAlign w:val="bottom"/>
            <w:vMerge w:val="continue"/>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6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International</w:t>
            </w: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DEFINITY</w:t>
            </w:r>
          </w:p>
        </w:tc>
        <w:tc>
          <w:tcPr>
            <w:tcW w:w="5160" w:type="dxa"/>
            <w:vAlign w:val="bottom"/>
            <w:tcBorders>
              <w:top w:val="single" w:sz="8" w:color="CCEEFF"/>
            </w:tcBorders>
            <w:gridSpan w:val="2"/>
          </w:tcPr>
          <w:p>
            <w:pPr>
              <w:spacing w:after="0"/>
              <w:rPr>
                <w:sz w:val="18"/>
                <w:szCs w:val="18"/>
                <w:color w:val="auto"/>
              </w:rPr>
            </w:pPr>
          </w:p>
        </w:tc>
        <w:tc>
          <w:tcPr>
            <w:tcW w:w="62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917</w:t>
            </w:r>
          </w:p>
        </w:tc>
        <w:tc>
          <w:tcPr>
            <w:tcW w:w="1080" w:type="dxa"/>
            <w:vAlign w:val="bottom"/>
            <w:tcBorders>
              <w:top w:val="single" w:sz="8" w:color="CCEEFF"/>
            </w:tcBorders>
            <w:gridSpan w:val="3"/>
          </w:tcPr>
          <w:p>
            <w:pPr>
              <w:jc w:val="right"/>
              <w:ind w:right="260"/>
              <w:spacing w:after="0"/>
              <w:rPr>
                <w:sz w:val="20"/>
                <w:szCs w:val="20"/>
                <w:color w:val="auto"/>
              </w:rPr>
            </w:pPr>
            <w:r>
              <w:rPr>
                <w:rFonts w:ascii="Arial" w:cs="Arial" w:eastAsia="Arial" w:hAnsi="Arial"/>
                <w:sz w:val="18"/>
                <w:szCs w:val="18"/>
                <w:color w:val="auto"/>
              </w:rPr>
              <w:t>776</w:t>
            </w:r>
          </w:p>
        </w:tc>
        <w:tc>
          <w:tcPr>
            <w:tcW w:w="920" w:type="dxa"/>
            <w:vAlign w:val="bottom"/>
            <w:tcBorders>
              <w:top w:val="single" w:sz="8" w:color="CCEEFF"/>
            </w:tcBorders>
            <w:gridSpan w:val="2"/>
          </w:tcPr>
          <w:p>
            <w:pPr>
              <w:jc w:val="right"/>
              <w:ind w:right="300"/>
              <w:spacing w:after="0"/>
              <w:rPr>
                <w:sz w:val="20"/>
                <w:szCs w:val="20"/>
                <w:color w:val="auto"/>
              </w:rPr>
            </w:pPr>
            <w:r>
              <w:rPr>
                <w:rFonts w:ascii="Arial" w:cs="Arial" w:eastAsia="Arial" w:hAnsi="Arial"/>
                <w:sz w:val="18"/>
                <w:szCs w:val="18"/>
                <w:color w:val="auto"/>
              </w:rPr>
              <w:t>18.2%</w:t>
            </w:r>
          </w:p>
        </w:tc>
        <w:tc>
          <w:tcPr>
            <w:tcW w:w="1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1,706</w:t>
            </w: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1,405</w:t>
            </w:r>
          </w:p>
        </w:tc>
        <w:tc>
          <w:tcPr>
            <w:tcW w:w="7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TechneLite</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3,498</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3,609</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6,712</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4"/>
          </w:tcPr>
          <w:p>
            <w:pPr>
              <w:spacing w:after="0"/>
              <w:rPr>
                <w:sz w:val="20"/>
                <w:szCs w:val="20"/>
                <w:color w:val="auto"/>
              </w:rPr>
            </w:pPr>
            <w:r>
              <w:rPr>
                <w:rFonts w:ascii="Arial" w:cs="Arial" w:eastAsia="Arial" w:hAnsi="Arial"/>
                <w:sz w:val="18"/>
                <w:szCs w:val="18"/>
                <w:color w:val="auto"/>
              </w:rPr>
              <w:t>Xenon</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1</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100.0%</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8,446</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16,253</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gridSpan w:val="4"/>
            <w:vMerge w:val="restart"/>
          </w:tcPr>
          <w:p>
            <w:pPr>
              <w:ind w:left="340"/>
              <w:spacing w:after="0"/>
              <w:rPr>
                <w:sz w:val="20"/>
                <w:szCs w:val="20"/>
                <w:color w:val="auto"/>
              </w:rPr>
            </w:pPr>
            <w:r>
              <w:rPr>
                <w:rFonts w:ascii="Arial" w:cs="Arial" w:eastAsia="Arial" w:hAnsi="Arial"/>
                <w:sz w:val="18"/>
                <w:szCs w:val="18"/>
                <w:b w:val="1"/>
                <w:bCs w:val="1"/>
                <w:color w:val="auto"/>
              </w:rPr>
              <w:t>Total International</w:t>
            </w: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gridSpan w:val="4"/>
            <w:vMerge w:val="continue"/>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10,737</w:t>
            </w:r>
          </w:p>
        </w:tc>
        <w:tc>
          <w:tcPr>
            <w:tcW w:w="2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12,832</w:t>
            </w:r>
          </w:p>
        </w:tc>
        <w:tc>
          <w:tcPr>
            <w:tcW w:w="260" w:type="dxa"/>
            <w:vAlign w:val="bottom"/>
            <w:vMerge w:val="continue"/>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21,069</w:t>
            </w:r>
          </w:p>
        </w:tc>
        <w:tc>
          <w:tcPr>
            <w:tcW w:w="1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24,373</w:t>
            </w:r>
          </w:p>
        </w:tc>
        <w:tc>
          <w:tcPr>
            <w:tcW w:w="260" w:type="dxa"/>
            <w:vAlign w:val="bottom"/>
            <w:vMerge w:val="continue"/>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0"/>
              </w:rPr>
              <w:t>Worldwide</w:t>
            </w:r>
          </w:p>
        </w:tc>
        <w:tc>
          <w:tcPr>
            <w:tcW w:w="5320" w:type="dxa"/>
            <w:vAlign w:val="bottom"/>
            <w:tcBorders>
              <w:bottom w:val="single" w:sz="8" w:color="CCEEFF"/>
            </w:tcBorders>
            <w:gridSpan w:val="3"/>
            <w:shd w:val="clear" w:color="auto" w:fill="CCEEFF"/>
          </w:tcPr>
          <w:p>
            <w:pPr>
              <w:spacing w:after="0"/>
              <w:rPr>
                <w:sz w:val="17"/>
                <w:szCs w:val="17"/>
                <w:color w:val="auto"/>
              </w:rPr>
            </w:pPr>
          </w:p>
        </w:tc>
        <w:tc>
          <w:tcPr>
            <w:tcW w:w="60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4"/>
          </w:tcPr>
          <w:p>
            <w:pPr>
              <w:spacing w:after="0"/>
              <w:rPr>
                <w:sz w:val="20"/>
                <w:szCs w:val="20"/>
                <w:color w:val="auto"/>
              </w:rPr>
            </w:pPr>
            <w:r>
              <w:rPr>
                <w:rFonts w:ascii="Arial" w:cs="Arial" w:eastAsia="Arial" w:hAnsi="Arial"/>
                <w:sz w:val="18"/>
                <w:szCs w:val="18"/>
                <w:color w:val="auto"/>
              </w:rPr>
              <w:t>DEFINITY</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40,128</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33,474</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77,840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64,896</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TechneLite</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26,718</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25,252</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53,544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50,088</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4"/>
          </w:tcPr>
          <w:p>
            <w:pPr>
              <w:spacing w:after="0"/>
              <w:rPr>
                <w:sz w:val="20"/>
                <w:szCs w:val="20"/>
                <w:color w:val="auto"/>
              </w:rPr>
            </w:pPr>
            <w:r>
              <w:rPr>
                <w:rFonts w:ascii="Arial" w:cs="Arial" w:eastAsia="Arial" w:hAnsi="Arial"/>
                <w:sz w:val="18"/>
                <w:szCs w:val="18"/>
                <w:color w:val="auto"/>
              </w:rPr>
              <w:t>Xenon</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7,927</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6,774</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15,987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14,948</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12,466</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24,508</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gridSpan w:val="4"/>
            <w:vMerge w:val="restart"/>
          </w:tcPr>
          <w:p>
            <w:pPr>
              <w:ind w:left="340"/>
              <w:spacing w:after="0"/>
              <w:rPr>
                <w:sz w:val="20"/>
                <w:szCs w:val="20"/>
                <w:color w:val="auto"/>
              </w:rPr>
            </w:pPr>
            <w:r>
              <w:rPr>
                <w:rFonts w:ascii="Arial" w:cs="Arial" w:eastAsia="Arial" w:hAnsi="Arial"/>
                <w:sz w:val="18"/>
                <w:szCs w:val="18"/>
                <w:b w:val="1"/>
                <w:bCs w:val="1"/>
                <w:color w:val="auto"/>
              </w:rPr>
              <w:t>Total Revenues</w:t>
            </w: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gridSpan w:val="4"/>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88,837</w:t>
            </w:r>
          </w:p>
        </w:tc>
        <w:tc>
          <w:tcPr>
            <w:tcW w:w="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77,966</w:t>
            </w:r>
          </w:p>
        </w:tc>
        <w:tc>
          <w:tcPr>
            <w:tcW w:w="260" w:type="dxa"/>
            <w:vAlign w:val="bottom"/>
            <w:vMerge w:val="continue"/>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13.9%</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170,196</w:t>
            </w:r>
          </w:p>
        </w:tc>
        <w:tc>
          <w:tcPr>
            <w:tcW w:w="12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154,440</w:t>
            </w:r>
          </w:p>
        </w:tc>
        <w:tc>
          <w:tcPr>
            <w:tcW w:w="260" w:type="dxa"/>
            <w:vAlign w:val="bottom"/>
            <w:vMerge w:val="continue"/>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5</w:t>
      </w:r>
      <w:r>
        <w:rPr>
          <w:rFonts w:ascii="Arial" w:cs="Arial" w:eastAsia="Arial" w:hAnsi="Arial"/>
          <w:sz w:val="18"/>
          <w:szCs w:val="18"/>
          <w:color w:val="auto"/>
        </w:rPr>
        <w:t xml:space="preserve"> of </w:t>
      </w:r>
      <w:r>
        <w:rPr>
          <w:rFonts w:ascii="Arial" w:cs="Arial" w:eastAsia="Arial" w:hAnsi="Arial"/>
          <w:sz w:val="18"/>
          <w:szCs w:val="18"/>
          <w:b w:val="1"/>
          <w:bCs w:val="1"/>
          <w:color w:val="auto"/>
        </w:rPr>
        <w:t>13</w:t>
      </w:r>
    </w:p>
    <w:p>
      <w:pPr>
        <w:sectPr>
          <w:pgSz w:w="11900" w:h="16838" w:orient="portrait"/>
          <w:cols w:equalWidth="0" w:num="1">
            <w:col w:w="11420"/>
          </w:cols>
          <w:pgMar w:left="240" w:top="27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Lantheus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Revenue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June 30, 2017</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gridSpan w:val="7"/>
          </w:tcPr>
          <w:p>
            <w:pPr>
              <w:jc w:val="center"/>
              <w:ind w:right="540"/>
              <w:spacing w:after="0"/>
              <w:rPr>
                <w:sz w:val="20"/>
                <w:szCs w:val="20"/>
                <w:color w:val="auto"/>
              </w:rPr>
            </w:pPr>
            <w:r>
              <w:rPr>
                <w:rFonts w:ascii="Arial" w:cs="Arial" w:eastAsia="Arial" w:hAnsi="Arial"/>
                <w:sz w:val="14"/>
                <w:szCs w:val="14"/>
                <w:b w:val="1"/>
                <w:bCs w:val="1"/>
                <w:color w:val="auto"/>
                <w:w w:val="94"/>
              </w:rPr>
              <w:t>Quarter to Date Sales Growth/(Decline)</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1120" w:type="dxa"/>
            <w:vAlign w:val="bottom"/>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w w:val="95"/>
              </w:rPr>
              <w:t>Domestic</w:t>
            </w:r>
          </w:p>
        </w:tc>
        <w:tc>
          <w:tcPr>
            <w:tcW w:w="94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Int’l</w:t>
            </w:r>
          </w:p>
        </w:tc>
        <w:tc>
          <w:tcPr>
            <w:tcW w:w="220" w:type="dxa"/>
            <w:vAlign w:val="bottom"/>
          </w:tcPr>
          <w:p>
            <w:pPr>
              <w:spacing w:after="0"/>
              <w:rPr>
                <w:sz w:val="10"/>
                <w:szCs w:val="10"/>
                <w:color w:val="auto"/>
              </w:rPr>
            </w:pPr>
          </w:p>
        </w:tc>
        <w:tc>
          <w:tcPr>
            <w:tcW w:w="116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rPr>
              <w:t>Int’l As</w:t>
            </w:r>
          </w:p>
        </w:tc>
        <w:tc>
          <w:tcPr>
            <w:tcW w:w="1180" w:type="dxa"/>
            <w:vAlign w:val="bottom"/>
            <w:gridSpan w:val="2"/>
          </w:tcPr>
          <w:p>
            <w:pPr>
              <w:jc w:val="center"/>
              <w:ind w:right="580"/>
              <w:spacing w:after="0" w:line="119" w:lineRule="exact"/>
              <w:rPr>
                <w:sz w:val="20"/>
                <w:szCs w:val="20"/>
                <w:color w:val="auto"/>
              </w:rPr>
            </w:pPr>
            <w:r>
              <w:rPr>
                <w:rFonts w:ascii="Arial" w:cs="Arial" w:eastAsia="Arial" w:hAnsi="Arial"/>
                <w:sz w:val="13"/>
                <w:szCs w:val="13"/>
                <w:b w:val="1"/>
                <w:bCs w:val="1"/>
                <w:color w:val="auto"/>
              </w:rPr>
              <w:t>Total</w:t>
            </w:r>
          </w:p>
        </w:tc>
        <w:tc>
          <w:tcPr>
            <w:tcW w:w="8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Total As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1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As</w:t>
            </w: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Constant</w:t>
            </w: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2"/>
              </w:rPr>
              <w:t>Constant</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1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Reported</w:t>
            </w: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Currency</w:t>
            </w:r>
          </w:p>
        </w:tc>
        <w:tc>
          <w:tcPr>
            <w:tcW w:w="220" w:type="dxa"/>
            <w:vAlign w:val="bottom"/>
          </w:tcPr>
          <w:p>
            <w:pPr>
              <w:spacing w:after="0"/>
              <w:rPr>
                <w:sz w:val="14"/>
                <w:szCs w:val="14"/>
                <w:color w:val="auto"/>
              </w:rPr>
            </w:pPr>
          </w:p>
        </w:tc>
        <w:tc>
          <w:tcPr>
            <w:tcW w:w="11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Reported</w:t>
            </w:r>
          </w:p>
        </w:tc>
        <w:tc>
          <w:tcPr>
            <w:tcW w:w="11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Currency</w:t>
            </w: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Reported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4"/>
              </w:rPr>
              <w:t>Products</w:t>
            </w:r>
          </w:p>
        </w:tc>
        <w:tc>
          <w:tcPr>
            <w:tcW w:w="526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spacing w:after="0"/>
              <w:rPr>
                <w:sz w:val="15"/>
                <w:szCs w:val="15"/>
                <w:color w:val="auto"/>
              </w:rPr>
            </w:pP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DEFINITY</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19.9%</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22.4%</w:t>
            </w:r>
          </w:p>
        </w:tc>
        <w:tc>
          <w:tcPr>
            <w:tcW w:w="1380" w:type="dxa"/>
            <w:vAlign w:val="bottom"/>
            <w:gridSpan w:val="3"/>
          </w:tcPr>
          <w:p>
            <w:pPr>
              <w:jc w:val="right"/>
              <w:ind w:right="420"/>
              <w:spacing w:after="0"/>
              <w:rPr>
                <w:sz w:val="20"/>
                <w:szCs w:val="20"/>
                <w:color w:val="auto"/>
              </w:rPr>
            </w:pPr>
            <w:r>
              <w:rPr>
                <w:rFonts w:ascii="Arial" w:cs="Arial" w:eastAsia="Arial" w:hAnsi="Arial"/>
                <w:sz w:val="18"/>
                <w:szCs w:val="18"/>
                <w:color w:val="auto"/>
              </w:rPr>
              <w:t>18.2%</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20.0%</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TechneLite</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13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(3.1)%</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6.3%</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Xenon</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17.0%</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1380" w:type="dxa"/>
            <w:vAlign w:val="bottom"/>
            <w:gridSpan w:val="3"/>
          </w:tcPr>
          <w:p>
            <w:pPr>
              <w:jc w:val="right"/>
              <w:ind w:right="420"/>
              <w:spacing w:after="0"/>
              <w:rPr>
                <w:sz w:val="20"/>
                <w:szCs w:val="20"/>
                <w:color w:val="auto"/>
              </w:rPr>
            </w:pPr>
            <w:r>
              <w:rPr>
                <w:rFonts w:ascii="Arial" w:cs="Arial" w:eastAsia="Arial" w:hAnsi="Arial"/>
                <w:sz w:val="18"/>
                <w:szCs w:val="18"/>
                <w:color w:val="auto"/>
              </w:rPr>
              <w:t>100.0%</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17.0%</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92.6%</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w:t>
            </w:r>
          </w:p>
        </w:tc>
        <w:tc>
          <w:tcPr>
            <w:tcW w:w="13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(25.2)%</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13.3%</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59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 Revenues</w:t>
            </w: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60" w:type="dxa"/>
            <w:vAlign w:val="bottom"/>
            <w:gridSpan w:val="3"/>
            <w:vMerge w:val="continue"/>
          </w:tcPr>
          <w:p>
            <w:pPr>
              <w:spacing w:after="0"/>
              <w:rPr>
                <w:sz w:val="19"/>
                <w:szCs w:val="19"/>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19.9%</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(14.6)%</w:t>
            </w:r>
          </w:p>
        </w:tc>
        <w:tc>
          <w:tcPr>
            <w:tcW w:w="220" w:type="dxa"/>
            <w:vAlign w:val="bottom"/>
            <w:vMerge w:val="continue"/>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(16.3)%</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14.2%</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June 30, 2017</w:t>
            </w: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gridSpan w:val="7"/>
          </w:tcPr>
          <w:p>
            <w:pPr>
              <w:jc w:val="center"/>
              <w:ind w:right="520"/>
              <w:spacing w:after="0"/>
              <w:rPr>
                <w:sz w:val="20"/>
                <w:szCs w:val="20"/>
                <w:color w:val="auto"/>
              </w:rPr>
            </w:pPr>
            <w:r>
              <w:rPr>
                <w:rFonts w:ascii="Arial" w:cs="Arial" w:eastAsia="Arial" w:hAnsi="Arial"/>
                <w:sz w:val="14"/>
                <w:szCs w:val="14"/>
                <w:b w:val="1"/>
                <w:bCs w:val="1"/>
                <w:color w:val="auto"/>
                <w:w w:val="93"/>
              </w:rPr>
              <w:t>Year to Date Sales Growth/(Decline)</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1120" w:type="dxa"/>
            <w:vAlign w:val="bottom"/>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w w:val="95"/>
              </w:rPr>
              <w:t>Domestic</w:t>
            </w:r>
          </w:p>
        </w:tc>
        <w:tc>
          <w:tcPr>
            <w:tcW w:w="94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Int’l</w:t>
            </w:r>
          </w:p>
        </w:tc>
        <w:tc>
          <w:tcPr>
            <w:tcW w:w="220" w:type="dxa"/>
            <w:vAlign w:val="bottom"/>
          </w:tcPr>
          <w:p>
            <w:pPr>
              <w:spacing w:after="0"/>
              <w:rPr>
                <w:sz w:val="10"/>
                <w:szCs w:val="10"/>
                <w:color w:val="auto"/>
              </w:rPr>
            </w:pPr>
          </w:p>
        </w:tc>
        <w:tc>
          <w:tcPr>
            <w:tcW w:w="116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rPr>
              <w:t>Int’l As</w:t>
            </w:r>
          </w:p>
        </w:tc>
        <w:tc>
          <w:tcPr>
            <w:tcW w:w="1180" w:type="dxa"/>
            <w:vAlign w:val="bottom"/>
            <w:gridSpan w:val="2"/>
          </w:tcPr>
          <w:p>
            <w:pPr>
              <w:jc w:val="center"/>
              <w:ind w:right="580"/>
              <w:spacing w:after="0" w:line="119" w:lineRule="exact"/>
              <w:rPr>
                <w:sz w:val="20"/>
                <w:szCs w:val="20"/>
                <w:color w:val="auto"/>
              </w:rPr>
            </w:pPr>
            <w:r>
              <w:rPr>
                <w:rFonts w:ascii="Arial" w:cs="Arial" w:eastAsia="Arial" w:hAnsi="Arial"/>
                <w:sz w:val="13"/>
                <w:szCs w:val="13"/>
                <w:b w:val="1"/>
                <w:bCs w:val="1"/>
                <w:color w:val="auto"/>
              </w:rPr>
              <w:t>Total</w:t>
            </w:r>
          </w:p>
        </w:tc>
        <w:tc>
          <w:tcPr>
            <w:tcW w:w="8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Total As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1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As</w:t>
            </w: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Constant</w:t>
            </w: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2"/>
              </w:rPr>
              <w:t>Constant</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1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Reported</w:t>
            </w: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Currency</w:t>
            </w:r>
          </w:p>
        </w:tc>
        <w:tc>
          <w:tcPr>
            <w:tcW w:w="220" w:type="dxa"/>
            <w:vAlign w:val="bottom"/>
          </w:tcPr>
          <w:p>
            <w:pPr>
              <w:spacing w:after="0"/>
              <w:rPr>
                <w:sz w:val="14"/>
                <w:szCs w:val="14"/>
                <w:color w:val="auto"/>
              </w:rPr>
            </w:pPr>
          </w:p>
        </w:tc>
        <w:tc>
          <w:tcPr>
            <w:tcW w:w="11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Reported</w:t>
            </w:r>
          </w:p>
        </w:tc>
        <w:tc>
          <w:tcPr>
            <w:tcW w:w="11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Currency</w:t>
            </w: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Reported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4"/>
              </w:rPr>
              <w:t>Products</w:t>
            </w:r>
          </w:p>
        </w:tc>
        <w:tc>
          <w:tcPr>
            <w:tcW w:w="526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spacing w:after="0"/>
              <w:rPr>
                <w:sz w:val="15"/>
                <w:szCs w:val="15"/>
                <w:color w:val="auto"/>
              </w:rPr>
            </w:pP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DEFINITY</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19.9%</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21.7%</w:t>
            </w:r>
          </w:p>
        </w:tc>
        <w:tc>
          <w:tcPr>
            <w:tcW w:w="1380" w:type="dxa"/>
            <w:vAlign w:val="bottom"/>
            <w:gridSpan w:val="3"/>
          </w:tcPr>
          <w:p>
            <w:pPr>
              <w:jc w:val="right"/>
              <w:ind w:right="420"/>
              <w:spacing w:after="0"/>
              <w:rPr>
                <w:sz w:val="20"/>
                <w:szCs w:val="20"/>
                <w:color w:val="auto"/>
              </w:rPr>
            </w:pPr>
            <w:r>
              <w:rPr>
                <w:rFonts w:ascii="Arial" w:cs="Arial" w:eastAsia="Arial" w:hAnsi="Arial"/>
                <w:sz w:val="18"/>
                <w:szCs w:val="18"/>
                <w:color w:val="auto"/>
              </w:rPr>
              <w:t>21.4%</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20.0%</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TechneLite</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w:t>
            </w:r>
          </w:p>
        </w:tc>
        <w:tc>
          <w:tcPr>
            <w:tcW w:w="13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4.5%</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6.9%</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Xenon</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6.9%</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33.3%</w:t>
            </w:r>
          </w:p>
        </w:tc>
        <w:tc>
          <w:tcPr>
            <w:tcW w:w="1380" w:type="dxa"/>
            <w:vAlign w:val="bottom"/>
            <w:gridSpan w:val="3"/>
          </w:tcPr>
          <w:p>
            <w:pPr>
              <w:jc w:val="right"/>
              <w:ind w:right="420"/>
              <w:spacing w:after="0"/>
              <w:rPr>
                <w:sz w:val="20"/>
                <w:szCs w:val="20"/>
                <w:color w:val="auto"/>
              </w:rPr>
            </w:pPr>
            <w:r>
              <w:rPr>
                <w:rFonts w:ascii="Arial" w:cs="Arial" w:eastAsia="Arial" w:hAnsi="Arial"/>
                <w:sz w:val="18"/>
                <w:szCs w:val="18"/>
                <w:color w:val="auto"/>
              </w:rPr>
              <w:t>33.3%</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7.0%</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27.0%</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(24.0)%</w:t>
            </w:r>
          </w:p>
        </w:tc>
        <w:tc>
          <w:tcPr>
            <w:tcW w:w="13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(24.1)%</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59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 Revenues</w:t>
            </w: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60" w:type="dxa"/>
            <w:vAlign w:val="bottom"/>
            <w:gridSpan w:val="3"/>
            <w:vMerge w:val="continue"/>
          </w:tcPr>
          <w:p>
            <w:pPr>
              <w:spacing w:after="0"/>
              <w:rPr>
                <w:sz w:val="19"/>
                <w:szCs w:val="19"/>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14.7%</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(13.4)%</w:t>
            </w:r>
          </w:p>
        </w:tc>
        <w:tc>
          <w:tcPr>
            <w:tcW w:w="220" w:type="dxa"/>
            <w:vAlign w:val="bottom"/>
            <w:vMerge w:val="continue"/>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(13.6)%</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10.2%</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6</w:t>
      </w:r>
      <w:r>
        <w:rPr>
          <w:rFonts w:ascii="Arial" w:cs="Arial" w:eastAsia="Arial" w:hAnsi="Arial"/>
          <w:sz w:val="18"/>
          <w:szCs w:val="18"/>
          <w:color w:val="auto"/>
        </w:rPr>
        <w:t xml:space="preserve"> of </w:t>
      </w:r>
      <w:r>
        <w:rPr>
          <w:rFonts w:ascii="Arial" w:cs="Arial" w:eastAsia="Arial" w:hAnsi="Arial"/>
          <w:sz w:val="18"/>
          <w:szCs w:val="18"/>
          <w:b w:val="1"/>
          <w:bCs w:val="1"/>
          <w:color w:val="auto"/>
        </w:rPr>
        <w:t>13</w:t>
      </w:r>
    </w:p>
    <w:p>
      <w:pPr>
        <w:sectPr>
          <w:pgSz w:w="11900" w:h="16838" w:orient="portrait"/>
          <w:cols w:equalWidth="0" w:num="1">
            <w:col w:w="11420"/>
          </w:cols>
          <w:pgMar w:left="240" w:top="27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Lantheus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Revenues to Revenues Excluding the Impact of Foreign Currency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 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left="499"/>
              <w:spacing w:after="0"/>
              <w:rPr>
                <w:sz w:val="20"/>
                <w:szCs w:val="20"/>
                <w:color w:val="auto"/>
              </w:rPr>
            </w:pPr>
            <w:r>
              <w:rPr>
                <w:rFonts w:ascii="Arial" w:cs="Arial" w:eastAsia="Arial" w:hAnsi="Arial"/>
                <w:sz w:val="14"/>
                <w:szCs w:val="14"/>
                <w:b w:val="1"/>
                <w:bCs w:val="1"/>
                <w:color w:val="auto"/>
                <w:w w:val="92"/>
              </w:rPr>
              <w:t>June 30,</w:t>
            </w: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1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International</w:t>
            </w:r>
          </w:p>
        </w:tc>
        <w:tc>
          <w:tcPr>
            <w:tcW w:w="2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Total</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International</w:t>
            </w:r>
          </w:p>
        </w:tc>
        <w:tc>
          <w:tcPr>
            <w:tcW w:w="680" w:type="dxa"/>
            <w:vAlign w:val="bottom"/>
          </w:tcPr>
          <w:p>
            <w:pPr>
              <w:jc w:val="right"/>
              <w:ind w:right="98"/>
              <w:spacing w:after="0" w:line="119" w:lineRule="exact"/>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7"/>
              </w:rPr>
              <w:t>Revenues</w:t>
            </w:r>
          </w:p>
        </w:tc>
        <w:tc>
          <w:tcPr>
            <w:tcW w:w="2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Revenues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Revenues</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3"/>
              </w:rPr>
              <w:t>Revenues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10,737</w:t>
            </w:r>
          </w:p>
        </w:tc>
        <w:tc>
          <w:tcPr>
            <w:tcW w:w="3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$88,837</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21,069</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$170,196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Currency impact as compared to prior period</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217</w:t>
            </w: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217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c>
          <w:tcPr>
            <w:tcW w:w="3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 excluding the impact of foreign currency</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10,954</w:t>
            </w: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89,054</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21,103</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170,230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7</w:t>
      </w:r>
      <w:r>
        <w:rPr>
          <w:rFonts w:ascii="Arial" w:cs="Arial" w:eastAsia="Arial" w:hAnsi="Arial"/>
          <w:sz w:val="18"/>
          <w:szCs w:val="18"/>
          <w:color w:val="auto"/>
        </w:rPr>
        <w:t xml:space="preserve"> of </w:t>
      </w:r>
      <w:r>
        <w:rPr>
          <w:rFonts w:ascii="Arial" w:cs="Arial" w:eastAsia="Arial" w:hAnsi="Arial"/>
          <w:sz w:val="18"/>
          <w:szCs w:val="18"/>
          <w:b w:val="1"/>
          <w:bCs w:val="1"/>
          <w:color w:val="auto"/>
        </w:rPr>
        <w:t>13</w:t>
      </w:r>
    </w:p>
    <w:p>
      <w:pPr>
        <w:sectPr>
          <w:pgSz w:w="11900" w:h="16838" w:orient="portrait"/>
          <w:cols w:equalWidth="0" w:num="1">
            <w:col w:w="11420"/>
          </w:cols>
          <w:pgMar w:left="240" w:top="27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Lantheus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 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20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9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200" w:type="dxa"/>
            <w:vAlign w:val="bottom"/>
            <w:gridSpan w:val="3"/>
          </w:tcPr>
          <w:p>
            <w:pPr>
              <w:jc w:val="center"/>
              <w:ind w:left="395"/>
              <w:spacing w:after="0"/>
              <w:rPr>
                <w:sz w:val="20"/>
                <w:szCs w:val="20"/>
                <w:color w:val="auto"/>
              </w:rPr>
            </w:pPr>
            <w:r>
              <w:rPr>
                <w:rFonts w:ascii="Arial" w:cs="Arial" w:eastAsia="Arial" w:hAnsi="Arial"/>
                <w:sz w:val="14"/>
                <w:szCs w:val="14"/>
                <w:b w:val="1"/>
                <w:bCs w:val="1"/>
                <w:color w:val="auto"/>
                <w:w w:val="92"/>
              </w:rPr>
              <w:t>June 30,</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2017</w:t>
            </w:r>
          </w:p>
        </w:tc>
        <w:tc>
          <w:tcPr>
            <w:tcW w:w="50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$17,897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14,179</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$29,824</w:t>
            </w: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$31,852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40"/>
              <w:spacing w:after="0"/>
              <w:rPr>
                <w:sz w:val="20"/>
                <w:szCs w:val="20"/>
                <w:color w:val="auto"/>
              </w:rPr>
            </w:pPr>
            <w:r>
              <w:rPr>
                <w:rFonts w:ascii="Arial" w:cs="Arial" w:eastAsia="Arial" w:hAnsi="Arial"/>
                <w:sz w:val="18"/>
                <w:szCs w:val="18"/>
                <w:i w:val="1"/>
                <w:iCs w:val="1"/>
                <w:color w:val="auto"/>
              </w:rPr>
              <w:t>Reconciling items impacting operating income:</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Campus consolidation costs including depreciation</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4,982</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rPr>
              <w:t>Offering and other costs</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rPr>
              <w:t>529</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Non-recurring refinancing related fees</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1,721</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rPr>
              <w:t>Gain on sale of assets</w:t>
            </w:r>
          </w:p>
        </w:tc>
        <w:tc>
          <w:tcPr>
            <w:tcW w:w="6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(117)</w:t>
            </w:r>
          </w:p>
        </w:tc>
        <w:tc>
          <w:tcPr>
            <w:tcW w:w="16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(5,945)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20" w:type="dxa"/>
            <w:vAlign w:val="bottom"/>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operating income</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20,715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3"/>
              </w:rPr>
              <w:t>14,062</w:t>
            </w: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37,056</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25,907</w:t>
            </w: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Adjusted operating income, as a percentage revenues</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gridSpan w:val="2"/>
            <w:vMerge w:val="continue"/>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18.0%</w:t>
            </w:r>
          </w:p>
        </w:tc>
        <w:tc>
          <w:tcPr>
            <w:tcW w:w="16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21.8%</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20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24"/>
                <w:szCs w:val="24"/>
                <w:color w:val="auto"/>
              </w:rPr>
            </w:pPr>
          </w:p>
        </w:tc>
        <w:tc>
          <w:tcPr>
            <w:tcW w:w="19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200" w:type="dxa"/>
            <w:vAlign w:val="bottom"/>
            <w:gridSpan w:val="3"/>
          </w:tcPr>
          <w:p>
            <w:pPr>
              <w:jc w:val="center"/>
              <w:ind w:left="395"/>
              <w:spacing w:after="0"/>
              <w:rPr>
                <w:sz w:val="20"/>
                <w:szCs w:val="20"/>
                <w:color w:val="auto"/>
              </w:rPr>
            </w:pPr>
            <w:r>
              <w:rPr>
                <w:rFonts w:ascii="Arial" w:cs="Arial" w:eastAsia="Arial" w:hAnsi="Arial"/>
                <w:sz w:val="14"/>
                <w:szCs w:val="14"/>
                <w:b w:val="1"/>
                <w:bCs w:val="1"/>
                <w:color w:val="auto"/>
                <w:w w:val="92"/>
              </w:rPr>
              <w:t>June 30,</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2017</w:t>
            </w:r>
          </w:p>
        </w:tc>
        <w:tc>
          <w:tcPr>
            <w:tcW w:w="50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6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13,595</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17,733</w:t>
            </w:r>
          </w:p>
        </w:tc>
        <w:tc>
          <w:tcPr>
            <w:tcW w:w="5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17,673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vMerge w:val="restart"/>
          </w:tcPr>
          <w:p>
            <w:pPr>
              <w:ind w:left="340"/>
              <w:spacing w:after="0"/>
              <w:rPr>
                <w:sz w:val="20"/>
                <w:szCs w:val="20"/>
                <w:color w:val="auto"/>
              </w:rPr>
            </w:pPr>
            <w:r>
              <w:rPr>
                <w:rFonts w:ascii="Arial" w:cs="Arial" w:eastAsia="Arial" w:hAnsi="Arial"/>
                <w:sz w:val="18"/>
                <w:szCs w:val="18"/>
                <w:i w:val="1"/>
                <w:iCs w:val="1"/>
                <w:color w:val="auto"/>
              </w:rPr>
              <w:t>Reconciling items impacting operating expenses:</w:t>
            </w: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Campus consolidation costs including depreciation</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4,982</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rPr>
              <w:t>Offering and other costs</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rPr>
              <w:t>529</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Non-recurring refinancing related fees</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1,721</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rPr>
              <w:t>Gain on sale of assets</w:t>
            </w: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(117)</w:t>
            </w:r>
          </w:p>
        </w:tc>
        <w:tc>
          <w:tcPr>
            <w:tcW w:w="16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Reconciling items impacting non-operating expenses:</w:t>
            </w:r>
          </w:p>
        </w:tc>
        <w:tc>
          <w:tcPr>
            <w:tcW w:w="62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rPr>
              <w:t>Loss on debt extinguishment</w:t>
            </w:r>
          </w:p>
        </w:tc>
        <w:tc>
          <w:tcPr>
            <w:tcW w:w="6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2,161</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20" w:type="dxa"/>
            <w:vAlign w:val="bottom"/>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net income</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16,413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7,233</w:t>
            </w: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27,126</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11,728</w:t>
            </w: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Adjusted net income, as a percentage of revenues</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gridSpan w:val="2"/>
            <w:vMerge w:val="continue"/>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15.9%</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8</w:t>
      </w:r>
      <w:r>
        <w:rPr>
          <w:rFonts w:ascii="Arial" w:cs="Arial" w:eastAsia="Arial" w:hAnsi="Arial"/>
          <w:sz w:val="18"/>
          <w:szCs w:val="18"/>
          <w:color w:val="auto"/>
        </w:rPr>
        <w:t xml:space="preserve"> of </w:t>
      </w:r>
      <w:r>
        <w:rPr>
          <w:rFonts w:ascii="Arial" w:cs="Arial" w:eastAsia="Arial" w:hAnsi="Arial"/>
          <w:sz w:val="18"/>
          <w:szCs w:val="18"/>
          <w:b w:val="1"/>
          <w:bCs w:val="1"/>
          <w:color w:val="auto"/>
        </w:rPr>
        <w:t>13</w:t>
      </w:r>
    </w:p>
    <w:p>
      <w:pPr>
        <w:sectPr>
          <w:pgSz w:w="11900" w:h="16838" w:orient="portrait"/>
          <w:cols w:equalWidth="0" w:num="1">
            <w:col w:w="11420"/>
          </w:cols>
          <w:pgMar w:left="240" w:top="27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Lantheus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 – 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share - diluted</w:t>
            </w:r>
          </w:p>
        </w:tc>
        <w:tc>
          <w:tcPr>
            <w:tcW w:w="1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vMerge w:val="restart"/>
          </w:tcPr>
          <w:p>
            <w:pPr>
              <w:ind w:left="340"/>
              <w:spacing w:after="0"/>
              <w:rPr>
                <w:sz w:val="20"/>
                <w:szCs w:val="20"/>
                <w:color w:val="auto"/>
              </w:rPr>
            </w:pPr>
            <w:r>
              <w:rPr>
                <w:rFonts w:ascii="Arial" w:cs="Arial" w:eastAsia="Arial" w:hAnsi="Arial"/>
                <w:sz w:val="18"/>
                <w:szCs w:val="18"/>
                <w:i w:val="1"/>
                <w:iCs w:val="1"/>
                <w:color w:val="auto"/>
              </w:rPr>
              <w:t>Reconciling items impacting operating expenses:</w:t>
            </w:r>
          </w:p>
        </w:tc>
        <w:tc>
          <w:tcPr>
            <w:tcW w:w="1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vMerge w:val="continue"/>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Campus consolidation costs including depreciation</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700"/>
              <w:spacing w:after="0"/>
              <w:rPr>
                <w:sz w:val="20"/>
                <w:szCs w:val="20"/>
                <w:color w:val="auto"/>
              </w:rPr>
            </w:pPr>
            <w:r>
              <w:rPr>
                <w:rFonts w:ascii="Arial" w:cs="Arial" w:eastAsia="Arial" w:hAnsi="Arial"/>
                <w:sz w:val="18"/>
                <w:szCs w:val="18"/>
                <w:color w:val="auto"/>
              </w:rPr>
              <w:t>Offering and other costs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0.01</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0.01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Non-recurring refinancing related fees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700"/>
              <w:spacing w:after="0"/>
              <w:rPr>
                <w:sz w:val="20"/>
                <w:szCs w:val="20"/>
                <w:color w:val="auto"/>
              </w:rPr>
            </w:pPr>
            <w:r>
              <w:rPr>
                <w:rFonts w:ascii="Arial" w:cs="Arial" w:eastAsia="Arial" w:hAnsi="Arial"/>
                <w:sz w:val="18"/>
                <w:szCs w:val="18"/>
                <w:color w:val="auto"/>
              </w:rPr>
              <w:t>Gain on sale of assets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Reconciling items impacting non-operating expenses: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700"/>
              <w:spacing w:after="0"/>
              <w:rPr>
                <w:sz w:val="20"/>
                <w:szCs w:val="20"/>
                <w:color w:val="auto"/>
              </w:rPr>
            </w:pPr>
            <w:r>
              <w:rPr>
                <w:rFonts w:ascii="Arial" w:cs="Arial" w:eastAsia="Arial" w:hAnsi="Arial"/>
                <w:sz w:val="18"/>
                <w:szCs w:val="18"/>
                <w:color w:val="auto"/>
              </w:rPr>
              <w:t>Loss on debt extinguishment</w:t>
            </w:r>
          </w:p>
        </w:tc>
        <w:tc>
          <w:tcPr>
            <w:tcW w:w="17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36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0.06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net income per share - diluted</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Weighted-average common shares outstanding – diluted</w:t>
            </w: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gridSpan w:val="2"/>
            <w:vMerge w:val="continue"/>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38,900</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30,543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38,726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30,454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9</w:t>
      </w:r>
      <w:r>
        <w:rPr>
          <w:rFonts w:ascii="Arial" w:cs="Arial" w:eastAsia="Arial" w:hAnsi="Arial"/>
          <w:sz w:val="18"/>
          <w:szCs w:val="18"/>
          <w:color w:val="auto"/>
        </w:rPr>
        <w:t xml:space="preserve"> of </w:t>
      </w:r>
      <w:r>
        <w:rPr>
          <w:rFonts w:ascii="Arial" w:cs="Arial" w:eastAsia="Arial" w:hAnsi="Arial"/>
          <w:sz w:val="18"/>
          <w:szCs w:val="18"/>
          <w:b w:val="1"/>
          <w:bCs w:val="1"/>
          <w:color w:val="auto"/>
        </w:rPr>
        <w:t>13</w:t>
      </w:r>
    </w:p>
    <w:p>
      <w:pPr>
        <w:sectPr>
          <w:pgSz w:w="11900" w:h="16838" w:orient="portrait"/>
          <w:cols w:equalWidth="0" w:num="1">
            <w:col w:w="11420"/>
          </w:cols>
          <w:pgMar w:left="240" w:top="27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Lantheus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 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20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90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7340" w:type="dxa"/>
            <w:vAlign w:val="bottom"/>
          </w:tcPr>
          <w:p>
            <w:pPr>
              <w:spacing w:after="0"/>
              <w:rPr>
                <w:sz w:val="14"/>
                <w:szCs w:val="14"/>
                <w:color w:val="auto"/>
              </w:rPr>
            </w:pPr>
          </w:p>
        </w:tc>
        <w:tc>
          <w:tcPr>
            <w:tcW w:w="1200" w:type="dxa"/>
            <w:vAlign w:val="bottom"/>
            <w:gridSpan w:val="3"/>
          </w:tcPr>
          <w:p>
            <w:pPr>
              <w:jc w:val="right"/>
              <w:ind w:right="25"/>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734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2017</w:t>
            </w:r>
          </w:p>
        </w:tc>
        <w:tc>
          <w:tcPr>
            <w:tcW w:w="5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2017</w:t>
            </w:r>
          </w:p>
        </w:tc>
        <w:tc>
          <w:tcPr>
            <w:tcW w:w="50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r>
      <w:tr>
        <w:trPr>
          <w:trHeight w:val="210"/>
        </w:trPr>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$13,595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$17,733</w:t>
            </w: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$17,673</w:t>
            </w:r>
          </w:p>
        </w:tc>
        <w:tc>
          <w:tcPr>
            <w:tcW w:w="200" w:type="dxa"/>
            <w:vAlign w:val="bottom"/>
            <w:shd w:val="clear" w:color="auto" w:fill="CCEEFF"/>
          </w:tcPr>
          <w:p>
            <w:pPr>
              <w:spacing w:after="0"/>
              <w:rPr>
                <w:sz w:val="18"/>
                <w:szCs w:val="18"/>
                <w:color w:val="auto"/>
              </w:rPr>
            </w:pPr>
          </w:p>
        </w:tc>
      </w:tr>
      <w:tr>
        <w:trPr>
          <w:trHeight w:val="216"/>
        </w:trPr>
        <w:tc>
          <w:tcPr>
            <w:tcW w:w="7340" w:type="dxa"/>
            <w:vAlign w:val="bottom"/>
          </w:tcPr>
          <w:p>
            <w:pPr>
              <w:ind w:left="360"/>
              <w:spacing w:after="0"/>
              <w:rPr>
                <w:sz w:val="20"/>
                <w:szCs w:val="20"/>
                <w:color w:val="auto"/>
              </w:rPr>
            </w:pPr>
            <w:r>
              <w:rPr>
                <w:rFonts w:ascii="Arial" w:cs="Arial" w:eastAsia="Arial" w:hAnsi="Arial"/>
                <w:sz w:val="18"/>
                <w:szCs w:val="18"/>
                <w:color w:val="auto"/>
              </w:rPr>
              <w:t>Interest expense, net</w:t>
            </w:r>
          </w:p>
        </w:tc>
        <w:tc>
          <w:tcPr>
            <w:tcW w:w="600" w:type="dxa"/>
            <w:vAlign w:val="bottom"/>
          </w:tcPr>
          <w:p>
            <w:pPr>
              <w:jc w:val="right"/>
              <w:spacing w:after="0"/>
              <w:rPr>
                <w:sz w:val="20"/>
                <w:szCs w:val="20"/>
                <w:color w:val="auto"/>
              </w:rPr>
            </w:pPr>
            <w:r>
              <w:rPr>
                <w:rFonts w:ascii="Arial" w:cs="Arial" w:eastAsia="Arial" w:hAnsi="Arial"/>
                <w:sz w:val="18"/>
                <w:szCs w:val="18"/>
                <w:color w:val="auto"/>
              </w:rPr>
              <w:t>4,280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6,978</w:t>
            </w: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rPr>
              <w:t>9,697</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13,996</w:t>
            </w:r>
          </w:p>
        </w:tc>
      </w:tr>
      <w:tr>
        <w:trPr>
          <w:trHeight w:val="216"/>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income taxes(a)</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107</w:t>
            </w: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374</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w:t>
            </w:r>
          </w:p>
        </w:tc>
      </w:tr>
      <w:tr>
        <w:trPr>
          <w:trHeight w:val="216"/>
        </w:trPr>
        <w:tc>
          <w:tcPr>
            <w:tcW w:w="7340" w:type="dxa"/>
            <w:vAlign w:val="bottom"/>
          </w:tcPr>
          <w:p>
            <w:pPr>
              <w:ind w:left="360"/>
              <w:spacing w:after="0"/>
              <w:rPr>
                <w:sz w:val="20"/>
                <w:szCs w:val="20"/>
                <w:color w:val="auto"/>
              </w:rPr>
            </w:pPr>
            <w:r>
              <w:rPr>
                <w:rFonts w:ascii="Arial" w:cs="Arial" w:eastAsia="Arial" w:hAnsi="Arial"/>
                <w:sz w:val="18"/>
                <w:szCs w:val="18"/>
                <w:color w:val="auto"/>
              </w:rPr>
              <w:t>Depreciation</w:t>
            </w:r>
          </w:p>
        </w:tc>
        <w:tc>
          <w:tcPr>
            <w:tcW w:w="600" w:type="dxa"/>
            <w:vAlign w:val="bottom"/>
          </w:tcPr>
          <w:p>
            <w:pPr>
              <w:jc w:val="right"/>
              <w:spacing w:after="0"/>
              <w:rPr>
                <w:sz w:val="20"/>
                <w:szCs w:val="20"/>
                <w:color w:val="auto"/>
              </w:rPr>
            </w:pPr>
            <w:r>
              <w:rPr>
                <w:rFonts w:ascii="Arial" w:cs="Arial" w:eastAsia="Arial" w:hAnsi="Arial"/>
                <w:sz w:val="18"/>
                <w:szCs w:val="18"/>
                <w:color w:val="auto"/>
              </w:rPr>
              <w:t>3,450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2,222</w:t>
            </w: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rPr>
              <w:t>7,964</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4,229</w:t>
            </w:r>
          </w:p>
        </w:tc>
      </w:tr>
      <w:tr>
        <w:trPr>
          <w:trHeight w:val="216"/>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2,089</w:t>
            </w: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3,307</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4,195</w:t>
            </w:r>
          </w:p>
        </w:tc>
      </w:tr>
      <w:tr>
        <w:trPr>
          <w:trHeight w:val="223"/>
        </w:trPr>
        <w:tc>
          <w:tcPr>
            <w:tcW w:w="7340" w:type="dxa"/>
            <w:vAlign w:val="bottom"/>
          </w:tcPr>
          <w:p>
            <w:pPr>
              <w:spacing w:after="0"/>
              <w:rPr>
                <w:sz w:val="20"/>
                <w:szCs w:val="20"/>
                <w:color w:val="auto"/>
              </w:rPr>
            </w:pPr>
            <w:r>
              <w:rPr>
                <w:rFonts w:ascii="Arial" w:cs="Arial" w:eastAsia="Arial" w:hAnsi="Arial"/>
                <w:sz w:val="18"/>
                <w:szCs w:val="18"/>
                <w:b w:val="1"/>
                <w:bCs w:val="1"/>
                <w:color w:val="auto"/>
              </w:rPr>
              <w:t>EBITDA</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23,064</w:t>
            </w: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18,746</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39,075</w:t>
            </w:r>
          </w:p>
        </w:tc>
        <w:tc>
          <w:tcPr>
            <w:tcW w:w="50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40,294</w:t>
            </w:r>
          </w:p>
        </w:tc>
        <w:tc>
          <w:tcPr>
            <w:tcW w:w="200" w:type="dxa"/>
            <w:vAlign w:val="bottom"/>
          </w:tcPr>
          <w:p>
            <w:pPr>
              <w:spacing w:after="0"/>
              <w:rPr>
                <w:sz w:val="19"/>
                <w:szCs w:val="19"/>
                <w:color w:val="auto"/>
              </w:rPr>
            </w:pPr>
          </w:p>
        </w:tc>
      </w:tr>
      <w:tr>
        <w:trPr>
          <w:trHeight w:val="216"/>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and incentive plan compensation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916</w:t>
            </w: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2,802</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1,488</w:t>
            </w:r>
          </w:p>
        </w:tc>
      </w:tr>
      <w:tr>
        <w:trPr>
          <w:trHeight w:val="216"/>
        </w:trPr>
        <w:tc>
          <w:tcPr>
            <w:tcW w:w="7340" w:type="dxa"/>
            <w:vAlign w:val="bottom"/>
          </w:tcPr>
          <w:p>
            <w:pPr>
              <w:ind w:left="360"/>
              <w:spacing w:after="0"/>
              <w:rPr>
                <w:sz w:val="20"/>
                <w:szCs w:val="20"/>
                <w:color w:val="auto"/>
              </w:rPr>
            </w:pPr>
            <w:r>
              <w:rPr>
                <w:rFonts w:ascii="Arial" w:cs="Arial" w:eastAsia="Arial" w:hAnsi="Arial"/>
                <w:sz w:val="18"/>
                <w:szCs w:val="18"/>
                <w:color w:val="auto"/>
              </w:rPr>
              <w:t>Asset write-off(b)</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349</w:t>
            </w: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rPr>
              <w:t>1,273</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846</w:t>
            </w:r>
          </w:p>
        </w:tc>
      </w:tr>
      <w:tr>
        <w:trPr>
          <w:trHeight w:val="216"/>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Severance and recruiting costs(c)</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762</w:t>
            </w: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367</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1,431</w:t>
            </w:r>
          </w:p>
        </w:tc>
      </w:tr>
      <w:tr>
        <w:trPr>
          <w:trHeight w:val="216"/>
        </w:trPr>
        <w:tc>
          <w:tcPr>
            <w:tcW w:w="7340" w:type="dxa"/>
            <w:vAlign w:val="bottom"/>
          </w:tcPr>
          <w:p>
            <w:pPr>
              <w:ind w:left="360"/>
              <w:spacing w:after="0"/>
              <w:rPr>
                <w:sz w:val="20"/>
                <w:szCs w:val="20"/>
                <w:color w:val="auto"/>
              </w:rPr>
            </w:pPr>
            <w:r>
              <w:rPr>
                <w:rFonts w:ascii="Arial" w:cs="Arial" w:eastAsia="Arial" w:hAnsi="Arial"/>
                <w:sz w:val="18"/>
                <w:szCs w:val="18"/>
                <w:color w:val="auto"/>
              </w:rPr>
              <w:t>Offering and other costs(d)</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rPr>
              <w:t>529</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r>
      <w:tr>
        <w:trPr>
          <w:trHeight w:val="216"/>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Campus consolidation costs</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666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693</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7340" w:type="dxa"/>
            <w:vAlign w:val="bottom"/>
          </w:tcPr>
          <w:p>
            <w:pPr>
              <w:ind w:left="360"/>
              <w:spacing w:after="0"/>
              <w:rPr>
                <w:sz w:val="20"/>
                <w:szCs w:val="20"/>
                <w:color w:val="auto"/>
              </w:rPr>
            </w:pPr>
            <w:r>
              <w:rPr>
                <w:rFonts w:ascii="Arial" w:cs="Arial" w:eastAsia="Arial" w:hAnsi="Arial"/>
                <w:sz w:val="18"/>
                <w:szCs w:val="18"/>
                <w:color w:val="auto"/>
              </w:rPr>
              <w:t>Debt refinancing costs</w:t>
            </w: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rPr>
              <w:t>1,721</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Extinguishment of debt</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2,161</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7340" w:type="dxa"/>
            <w:vAlign w:val="bottom"/>
          </w:tcPr>
          <w:p>
            <w:pPr>
              <w:ind w:left="360"/>
              <w:spacing w:after="0"/>
              <w:rPr>
                <w:sz w:val="20"/>
                <w:szCs w:val="20"/>
                <w:color w:val="auto"/>
              </w:rPr>
            </w:pPr>
            <w:r>
              <w:rPr>
                <w:rFonts w:ascii="Arial" w:cs="Arial" w:eastAsia="Arial" w:hAnsi="Arial"/>
                <w:sz w:val="18"/>
                <w:szCs w:val="18"/>
                <w:color w:val="auto"/>
              </w:rPr>
              <w:t>Gain on sales of assets</w:t>
            </w: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(117)</w:t>
            </w:r>
          </w:p>
        </w:tc>
        <w:tc>
          <w:tcPr>
            <w:tcW w:w="16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(5,945)</w:t>
            </w:r>
          </w:p>
        </w:tc>
      </w:tr>
      <w:tr>
        <w:trPr>
          <w:trHeight w:val="216"/>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New manufacturer costs(e)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746</w:t>
            </w: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1,977</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1,646</w:t>
            </w:r>
          </w:p>
        </w:tc>
      </w:tr>
      <w:tr>
        <w:trPr>
          <w:trHeight w:val="223"/>
        </w:trPr>
        <w:tc>
          <w:tcPr>
            <w:tcW w:w="734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27,947</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21,407</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50,598</w:t>
            </w:r>
          </w:p>
        </w:tc>
        <w:tc>
          <w:tcPr>
            <w:tcW w:w="5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39,769</w:t>
            </w:r>
          </w:p>
        </w:tc>
        <w:tc>
          <w:tcPr>
            <w:tcW w:w="200" w:type="dxa"/>
            <w:vAlign w:val="bottom"/>
          </w:tcPr>
          <w:p>
            <w:pPr>
              <w:spacing w:after="0"/>
              <w:rPr>
                <w:sz w:val="19"/>
                <w:szCs w:val="19"/>
                <w:color w:val="auto"/>
              </w:rPr>
            </w:pPr>
          </w:p>
        </w:tc>
      </w:tr>
      <w:tr>
        <w:trPr>
          <w:trHeight w:val="20"/>
        </w:trPr>
        <w:tc>
          <w:tcPr>
            <w:tcW w:w="7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as a percentage of revenues</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27.5%</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29.7%</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25.8%</w:t>
            </w:r>
          </w:p>
        </w:tc>
      </w:tr>
      <w:tr>
        <w:trPr>
          <w:trHeight w:val="20"/>
        </w:trPr>
        <w:tc>
          <w:tcPr>
            <w:tcW w:w="7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provision for income taxes, less tax indemnification associated with BMS.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non-cash losses incurred associated with the write-down of inventory and write-off of long-lived assets.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amounts consist of severance and recruitment costs related to employees, executives and directors.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Represents offering costs incurred on behalf of certain shareholders pursuant to a registration rights agreement and other non-recurring costs.</w:t>
      </w:r>
    </w:p>
    <w:p>
      <w:pPr>
        <w:spacing w:after="0" w:line="20" w:lineRule="exact"/>
        <w:rPr>
          <w:rFonts w:ascii="Arial" w:cs="Arial" w:eastAsia="Arial" w:hAnsi="Arial"/>
          <w:sz w:val="17"/>
          <w:szCs w:val="17"/>
          <w:color w:val="auto"/>
        </w:rPr>
      </w:pPr>
    </w:p>
    <w:p>
      <w:pPr>
        <w:ind w:left="460" w:hanging="452"/>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internal and external costs associated with establishing new manufacturing sources for our commercial and clinical candidate products.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10</w:t>
      </w:r>
      <w:r>
        <w:rPr>
          <w:rFonts w:ascii="Arial" w:cs="Arial" w:eastAsia="Arial" w:hAnsi="Arial"/>
          <w:sz w:val="18"/>
          <w:szCs w:val="18"/>
          <w:color w:val="auto"/>
        </w:rPr>
        <w:t xml:space="preserve"> of </w:t>
      </w:r>
      <w:r>
        <w:rPr>
          <w:rFonts w:ascii="Arial" w:cs="Arial" w:eastAsia="Arial" w:hAnsi="Arial"/>
          <w:sz w:val="18"/>
          <w:szCs w:val="18"/>
          <w:b w:val="1"/>
          <w:bCs w:val="1"/>
          <w:color w:val="auto"/>
        </w:rPr>
        <w:t>13</w:t>
      </w:r>
    </w:p>
    <w:p>
      <w:pPr>
        <w:sectPr>
          <w:pgSz w:w="11900" w:h="16838" w:orient="portrait"/>
          <w:cols w:equalWidth="0" w:num="1">
            <w:col w:w="11420"/>
          </w:cols>
          <w:pgMar w:left="240" w:top="27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Lantheus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Free Cash Flow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 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8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162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3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84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June 30,</w:t>
            </w:r>
          </w:p>
        </w:tc>
        <w:tc>
          <w:tcPr>
            <w:tcW w:w="16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53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60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2"/>
                <w:szCs w:val="12"/>
                <w:color w:val="auto"/>
              </w:rPr>
            </w:pPr>
          </w:p>
        </w:tc>
        <w:tc>
          <w:tcPr>
            <w:tcW w:w="60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r>
      <w:tr>
        <w:trPr>
          <w:trHeight w:val="210"/>
        </w:trPr>
        <w:tc>
          <w:tcPr>
            <w:tcW w:w="5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26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$20,567</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$17,635</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$26,091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$21,415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Capital expenditures</w:t>
            </w:r>
          </w:p>
        </w:tc>
        <w:tc>
          <w:tcPr>
            <w:tcW w:w="26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(3,402)</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(736)</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(8,301)</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(2,388)</w:t>
            </w:r>
          </w:p>
        </w:tc>
      </w:tr>
      <w:tr>
        <w:trPr>
          <w:trHeight w:val="27"/>
        </w:trPr>
        <w:tc>
          <w:tcPr>
            <w:tcW w:w="53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Free cash flow</w:t>
            </w:r>
          </w:p>
        </w:tc>
        <w:tc>
          <w:tcPr>
            <w:tcW w:w="26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17,165</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16,899</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17,790</w:t>
            </w: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19,027</w:t>
            </w:r>
          </w:p>
        </w:tc>
      </w:tr>
      <w:tr>
        <w:trPr>
          <w:trHeight w:val="20"/>
        </w:trPr>
        <w:tc>
          <w:tcPr>
            <w:tcW w:w="53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11</w:t>
      </w:r>
      <w:r>
        <w:rPr>
          <w:rFonts w:ascii="Arial" w:cs="Arial" w:eastAsia="Arial" w:hAnsi="Arial"/>
          <w:sz w:val="18"/>
          <w:szCs w:val="18"/>
          <w:color w:val="auto"/>
        </w:rPr>
        <w:t xml:space="preserve"> of </w:t>
      </w:r>
      <w:r>
        <w:rPr>
          <w:rFonts w:ascii="Arial" w:cs="Arial" w:eastAsia="Arial" w:hAnsi="Arial"/>
          <w:sz w:val="18"/>
          <w:szCs w:val="18"/>
          <w:b w:val="1"/>
          <w:bCs w:val="1"/>
          <w:color w:val="auto"/>
        </w:rPr>
        <w:t>13</w:t>
      </w:r>
    </w:p>
    <w:p>
      <w:pPr>
        <w:sectPr>
          <w:pgSz w:w="11900" w:h="16838" w:orient="portrait"/>
          <w:cols w:equalWidth="0" w:num="1">
            <w:col w:w="11420"/>
          </w:cols>
          <w:pgMar w:left="240" w:top="27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Lantheus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 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93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r>
      <w:tr>
        <w:trPr>
          <w:trHeight w:val="196"/>
        </w:trPr>
        <w:tc>
          <w:tcPr>
            <w:tcW w:w="93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340" w:type="dxa"/>
            <w:vAlign w:val="bottom"/>
          </w:tcPr>
          <w:p>
            <w:pPr>
              <w:ind w:left="360"/>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57,154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51,178</w:t>
            </w:r>
          </w:p>
        </w:tc>
      </w:tr>
      <w:tr>
        <w:trPr>
          <w:trHeight w:val="216"/>
        </w:trPr>
        <w:tc>
          <w:tcPr>
            <w:tcW w:w="9340" w:type="dxa"/>
            <w:vAlign w:val="bottom"/>
          </w:tcPr>
          <w:p>
            <w:pPr>
              <w:ind w:left="720"/>
              <w:spacing w:after="0"/>
              <w:rPr>
                <w:sz w:val="20"/>
                <w:szCs w:val="20"/>
                <w:color w:val="auto"/>
              </w:rPr>
            </w:pPr>
            <w:r>
              <w:rPr>
                <w:rFonts w:ascii="Arial" w:cs="Arial" w:eastAsia="Arial" w:hAnsi="Arial"/>
                <w:sz w:val="18"/>
                <w:szCs w:val="18"/>
                <w:color w:val="auto"/>
              </w:rPr>
              <w:t>Accounts receivable, net</w:t>
            </w:r>
          </w:p>
        </w:tc>
        <w:tc>
          <w:tcPr>
            <w:tcW w:w="8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43,246</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36,818</w:t>
            </w:r>
          </w:p>
        </w:tc>
      </w:tr>
      <w:tr>
        <w:trPr>
          <w:trHeight w:val="216"/>
        </w:trPr>
        <w:tc>
          <w:tcPr>
            <w:tcW w:w="9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Inventory</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21,151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17,640</w:t>
            </w:r>
          </w:p>
        </w:tc>
      </w:tr>
      <w:tr>
        <w:trPr>
          <w:trHeight w:val="216"/>
        </w:trPr>
        <w:tc>
          <w:tcPr>
            <w:tcW w:w="9340" w:type="dxa"/>
            <w:vAlign w:val="bottom"/>
          </w:tcPr>
          <w:p>
            <w:pPr>
              <w:ind w:left="720"/>
              <w:spacing w:after="0"/>
              <w:rPr>
                <w:sz w:val="20"/>
                <w:szCs w:val="20"/>
                <w:color w:val="auto"/>
              </w:rPr>
            </w:pPr>
            <w:r>
              <w:rPr>
                <w:rFonts w:ascii="Arial" w:cs="Arial" w:eastAsia="Arial" w:hAnsi="Arial"/>
                <w:sz w:val="18"/>
                <w:szCs w:val="18"/>
                <w:color w:val="auto"/>
              </w:rPr>
              <w:t>Other current assets</w:t>
            </w:r>
          </w:p>
        </w:tc>
        <w:tc>
          <w:tcPr>
            <w:tcW w:w="8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4,072</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5,183</w:t>
            </w:r>
          </w:p>
        </w:tc>
      </w:tr>
      <w:tr>
        <w:trPr>
          <w:trHeight w:val="27"/>
        </w:trPr>
        <w:tc>
          <w:tcPr>
            <w:tcW w:w="9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3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125,623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110,819</w:t>
            </w:r>
          </w:p>
        </w:tc>
      </w:tr>
      <w:tr>
        <w:trPr>
          <w:trHeight w:val="216"/>
        </w:trPr>
        <w:tc>
          <w:tcPr>
            <w:tcW w:w="9340" w:type="dxa"/>
            <w:vAlign w:val="bottom"/>
          </w:tcPr>
          <w:p>
            <w:pPr>
              <w:ind w:left="360"/>
              <w:spacing w:after="0"/>
              <w:rPr>
                <w:sz w:val="20"/>
                <w:szCs w:val="20"/>
                <w:color w:val="auto"/>
              </w:rPr>
            </w:pPr>
            <w:r>
              <w:rPr>
                <w:rFonts w:ascii="Arial" w:cs="Arial" w:eastAsia="Arial" w:hAnsi="Arial"/>
                <w:sz w:val="18"/>
                <w:szCs w:val="18"/>
                <w:color w:val="auto"/>
              </w:rPr>
              <w:t>Property, plant &amp; equipment, net</w:t>
            </w:r>
          </w:p>
        </w:tc>
        <w:tc>
          <w:tcPr>
            <w:tcW w:w="8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91,863</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94,187</w:t>
            </w:r>
          </w:p>
        </w:tc>
      </w:tr>
      <w:tr>
        <w:trPr>
          <w:trHeight w:val="216"/>
        </w:trPr>
        <w:tc>
          <w:tcPr>
            <w:tcW w:w="9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Intangibles, net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13,456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15,118</w:t>
            </w:r>
          </w:p>
        </w:tc>
      </w:tr>
      <w:tr>
        <w:trPr>
          <w:trHeight w:val="216"/>
        </w:trPr>
        <w:tc>
          <w:tcPr>
            <w:tcW w:w="9340" w:type="dxa"/>
            <w:vAlign w:val="bottom"/>
          </w:tcPr>
          <w:p>
            <w:pPr>
              <w:ind w:left="360"/>
              <w:spacing w:after="0"/>
              <w:rPr>
                <w:sz w:val="20"/>
                <w:szCs w:val="20"/>
                <w:color w:val="auto"/>
              </w:rPr>
            </w:pPr>
            <w:r>
              <w:rPr>
                <w:rFonts w:ascii="Arial" w:cs="Arial" w:eastAsia="Arial" w:hAnsi="Arial"/>
                <w:sz w:val="18"/>
                <w:szCs w:val="18"/>
                <w:color w:val="auto"/>
              </w:rPr>
              <w:t>Goodwill</w:t>
            </w:r>
          </w:p>
        </w:tc>
        <w:tc>
          <w:tcPr>
            <w:tcW w:w="8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15,714</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15,714</w:t>
            </w:r>
          </w:p>
        </w:tc>
      </w:tr>
      <w:tr>
        <w:trPr>
          <w:trHeight w:val="216"/>
        </w:trPr>
        <w:tc>
          <w:tcPr>
            <w:tcW w:w="9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long-term assets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21,222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20,060</w:t>
            </w:r>
          </w:p>
        </w:tc>
      </w:tr>
      <w:tr>
        <w:trPr>
          <w:trHeight w:val="223"/>
        </w:trPr>
        <w:tc>
          <w:tcPr>
            <w:tcW w:w="9340" w:type="dxa"/>
            <w:vAlign w:val="bottom"/>
          </w:tcPr>
          <w:p>
            <w:pPr>
              <w:ind w:left="1080"/>
              <w:spacing w:after="0"/>
              <w:rPr>
                <w:sz w:val="20"/>
                <w:szCs w:val="20"/>
                <w:color w:val="auto"/>
              </w:rPr>
            </w:pPr>
            <w:r>
              <w:rPr>
                <w:rFonts w:ascii="Arial" w:cs="Arial" w:eastAsia="Arial" w:hAnsi="Arial"/>
                <w:sz w:val="18"/>
                <w:szCs w:val="18"/>
                <w:color w:val="auto"/>
              </w:rPr>
              <w:t>Total assets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267,878</w:t>
            </w: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255,898</w:t>
            </w:r>
          </w:p>
        </w:tc>
        <w:tc>
          <w:tcPr>
            <w:tcW w:w="100" w:type="dxa"/>
            <w:vAlign w:val="bottom"/>
          </w:tcPr>
          <w:p>
            <w:pPr>
              <w:spacing w:after="0"/>
              <w:rPr>
                <w:sz w:val="19"/>
                <w:szCs w:val="19"/>
                <w:color w:val="auto"/>
              </w:rPr>
            </w:pPr>
          </w:p>
        </w:tc>
      </w:tr>
      <w:tr>
        <w:trPr>
          <w:trHeight w:val="20"/>
        </w:trPr>
        <w:tc>
          <w:tcPr>
            <w:tcW w:w="9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340" w:type="dxa"/>
            <w:vAlign w:val="bottom"/>
          </w:tcPr>
          <w:p>
            <w:pPr>
              <w:ind w:left="360"/>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Current portion of long-term debt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2,750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3,650</w:t>
            </w:r>
          </w:p>
        </w:tc>
      </w:tr>
      <w:tr>
        <w:trPr>
          <w:trHeight w:val="216"/>
        </w:trPr>
        <w:tc>
          <w:tcPr>
            <w:tcW w:w="9340" w:type="dxa"/>
            <w:vAlign w:val="bottom"/>
          </w:tcPr>
          <w:p>
            <w:pPr>
              <w:ind w:left="720"/>
              <w:spacing w:after="0"/>
              <w:rPr>
                <w:sz w:val="20"/>
                <w:szCs w:val="20"/>
                <w:color w:val="auto"/>
              </w:rPr>
            </w:pPr>
            <w:r>
              <w:rPr>
                <w:rFonts w:ascii="Arial" w:cs="Arial" w:eastAsia="Arial" w:hAnsi="Arial"/>
                <w:sz w:val="18"/>
                <w:szCs w:val="18"/>
                <w:color w:val="auto"/>
              </w:rPr>
              <w:t>Revolving line of credit</w:t>
            </w:r>
          </w:p>
        </w:tc>
        <w:tc>
          <w:tcPr>
            <w:tcW w:w="8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17,674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18,940</w:t>
            </w:r>
          </w:p>
        </w:tc>
      </w:tr>
      <w:tr>
        <w:trPr>
          <w:trHeight w:val="216"/>
        </w:trPr>
        <w:tc>
          <w:tcPr>
            <w:tcW w:w="9340" w:type="dxa"/>
            <w:vAlign w:val="bottom"/>
          </w:tcPr>
          <w:p>
            <w:pPr>
              <w:ind w:left="720"/>
              <w:spacing w:after="0"/>
              <w:rPr>
                <w:sz w:val="20"/>
                <w:szCs w:val="20"/>
                <w:color w:val="auto"/>
              </w:rPr>
            </w:pPr>
            <w:r>
              <w:rPr>
                <w:rFonts w:ascii="Arial" w:cs="Arial" w:eastAsia="Arial" w:hAnsi="Arial"/>
                <w:sz w:val="18"/>
                <w:szCs w:val="18"/>
                <w:color w:val="auto"/>
              </w:rPr>
              <w:t>Accrued expenses and other liabilities</w:t>
            </w:r>
          </w:p>
        </w:tc>
        <w:tc>
          <w:tcPr>
            <w:tcW w:w="8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22,640</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21,249</w:t>
            </w:r>
          </w:p>
        </w:tc>
      </w:tr>
      <w:tr>
        <w:trPr>
          <w:trHeight w:val="27"/>
        </w:trPr>
        <w:tc>
          <w:tcPr>
            <w:tcW w:w="9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3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43,064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43,839</w:t>
            </w:r>
          </w:p>
        </w:tc>
      </w:tr>
      <w:tr>
        <w:trPr>
          <w:trHeight w:val="216"/>
        </w:trPr>
        <w:tc>
          <w:tcPr>
            <w:tcW w:w="9340" w:type="dxa"/>
            <w:vAlign w:val="bottom"/>
          </w:tcPr>
          <w:p>
            <w:pPr>
              <w:ind w:left="360"/>
              <w:spacing w:after="0"/>
              <w:rPr>
                <w:sz w:val="20"/>
                <w:szCs w:val="20"/>
                <w:color w:val="auto"/>
              </w:rPr>
            </w:pPr>
            <w:r>
              <w:rPr>
                <w:rFonts w:ascii="Arial" w:cs="Arial" w:eastAsia="Arial" w:hAnsi="Arial"/>
                <w:sz w:val="18"/>
                <w:szCs w:val="18"/>
                <w:color w:val="auto"/>
              </w:rPr>
              <w:t>Asset retirement obligations</w:t>
            </w:r>
          </w:p>
        </w:tc>
        <w:tc>
          <w:tcPr>
            <w:tcW w:w="8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9,891</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9,370</w:t>
            </w:r>
          </w:p>
        </w:tc>
      </w:tr>
      <w:tr>
        <w:trPr>
          <w:trHeight w:val="216"/>
        </w:trPr>
        <w:tc>
          <w:tcPr>
            <w:tcW w:w="9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 net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265,929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274,460</w:t>
            </w:r>
          </w:p>
        </w:tc>
      </w:tr>
      <w:tr>
        <w:trPr>
          <w:trHeight w:val="216"/>
        </w:trPr>
        <w:tc>
          <w:tcPr>
            <w:tcW w:w="9340" w:type="dxa"/>
            <w:vAlign w:val="bottom"/>
          </w:tcPr>
          <w:p>
            <w:pPr>
              <w:ind w:left="360"/>
              <w:spacing w:after="0"/>
              <w:rPr>
                <w:sz w:val="20"/>
                <w:szCs w:val="20"/>
                <w:color w:val="auto"/>
              </w:rPr>
            </w:pPr>
            <w:r>
              <w:rPr>
                <w:rFonts w:ascii="Arial" w:cs="Arial" w:eastAsia="Arial" w:hAnsi="Arial"/>
                <w:sz w:val="18"/>
                <w:szCs w:val="18"/>
                <w:color w:val="auto"/>
              </w:rPr>
              <w:t>Other long-term liabilities</w:t>
            </w:r>
          </w:p>
        </w:tc>
        <w:tc>
          <w:tcPr>
            <w:tcW w:w="8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36,174</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34,745</w:t>
            </w:r>
          </w:p>
        </w:tc>
      </w:tr>
      <w:tr>
        <w:trPr>
          <w:trHeight w:val="27"/>
        </w:trPr>
        <w:tc>
          <w:tcPr>
            <w:tcW w:w="9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3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355,058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362,414</w:t>
            </w: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Stockholders’ deficit</w:t>
            </w:r>
          </w:p>
        </w:tc>
        <w:tc>
          <w:tcPr>
            <w:tcW w:w="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(87,180)</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(106,516)</w:t>
            </w:r>
          </w:p>
        </w:tc>
      </w:tr>
      <w:tr>
        <w:trPr>
          <w:trHeight w:val="27"/>
        </w:trPr>
        <w:tc>
          <w:tcPr>
            <w:tcW w:w="9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deficit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267,878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255,898</w:t>
            </w:r>
          </w:p>
        </w:tc>
      </w:tr>
      <w:tr>
        <w:trPr>
          <w:trHeight w:val="20"/>
        </w:trPr>
        <w:tc>
          <w:tcPr>
            <w:tcW w:w="9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12</w:t>
      </w:r>
      <w:r>
        <w:rPr>
          <w:rFonts w:ascii="Arial" w:cs="Arial" w:eastAsia="Arial" w:hAnsi="Arial"/>
          <w:sz w:val="18"/>
          <w:szCs w:val="18"/>
          <w:color w:val="auto"/>
        </w:rPr>
        <w:t xml:space="preserve"> of </w:t>
      </w:r>
      <w:r>
        <w:rPr>
          <w:rFonts w:ascii="Arial" w:cs="Arial" w:eastAsia="Arial" w:hAnsi="Arial"/>
          <w:sz w:val="18"/>
          <w:szCs w:val="18"/>
          <w:b w:val="1"/>
          <w:bCs w:val="1"/>
          <w:color w:val="auto"/>
        </w:rPr>
        <w:t>13</w:t>
      </w:r>
    </w:p>
    <w:p>
      <w:pPr>
        <w:sectPr>
          <w:pgSz w:w="11900" w:h="16838" w:orient="portrait"/>
          <w:cols w:equalWidth="0" w:num="1">
            <w:col w:w="11420"/>
          </w:cols>
          <w:pgMar w:left="240" w:top="270" w:right="239" w:bottom="1440" w:gutter="0" w:footer="0" w:header="0"/>
        </w:sectPr>
      </w:pPr>
    </w:p>
    <w:bookmarkStart w:id="16" w:name="page17"/>
    <w:bookmarkEnd w:id="16"/>
    <w:p>
      <w:pPr>
        <w:ind w:left="55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Gary Santo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Capital Markets and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978-671-8960</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Meara Murphy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 and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978-671-8508</w:t>
      </w:r>
    </w:p>
    <w:p>
      <w:pPr>
        <w:spacing w:after="0" w:line="139" w:lineRule="exact"/>
        <w:rPr>
          <w:sz w:val="20"/>
          <w:szCs w:val="20"/>
          <w:color w:val="auto"/>
        </w:rPr>
      </w:pPr>
    </w:p>
    <w:p>
      <w:pPr>
        <w:jc w:val="right"/>
        <w:ind w:right="399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13</w:t>
      </w:r>
      <w:r>
        <w:rPr>
          <w:rFonts w:ascii="Arial" w:cs="Arial" w:eastAsia="Arial" w:hAnsi="Arial"/>
          <w:sz w:val="18"/>
          <w:szCs w:val="18"/>
          <w:color w:val="auto"/>
        </w:rPr>
        <w:t xml:space="preserve"> of </w:t>
      </w:r>
      <w:r>
        <w:rPr>
          <w:rFonts w:ascii="Arial" w:cs="Arial" w:eastAsia="Arial" w:hAnsi="Arial"/>
          <w:sz w:val="18"/>
          <w:szCs w:val="18"/>
          <w:b w:val="1"/>
          <w:bCs w:val="1"/>
          <w:color w:val="auto"/>
        </w:rPr>
        <w:t>13</w:t>
      </w:r>
    </w:p>
    <w:sectPr>
      <w:pgSz w:w="11900" w:h="16838" w:orient="portrait"/>
      <w:cols w:equalWidth="0" w:num="1">
        <w:col w:w="10219"/>
      </w:cols>
      <w:pgMar w:left="2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2019-12-07T15:37:34Z</dcterms:created>
  <dcterms:modified xsi:type="dcterms:W3CDTF">2019-12-07T15:37:34Z</dcterms:modified>
</cp:coreProperties>
</file>