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18"/>
          <w:szCs w:val="18"/>
          <w:color w:val="auto"/>
        </w:rPr>
        <w:t>Lantheus Holdings, Inc.</w:t>
      </w:r>
    </w:p>
    <w:p>
      <w:pPr>
        <w:spacing w:after="0" w:line="23" w:lineRule="exact"/>
        <w:rPr>
          <w:sz w:val="24"/>
          <w:szCs w:val="24"/>
          <w:color w:val="auto"/>
        </w:rPr>
      </w:pPr>
    </w:p>
    <w:p>
      <w:pPr>
        <w:jc w:val="center"/>
        <w:ind w:right="-3"/>
        <w:spacing w:after="0"/>
        <w:rPr>
          <w:sz w:val="20"/>
          <w:szCs w:val="20"/>
          <w:color w:val="auto"/>
        </w:rPr>
      </w:pPr>
      <w:r>
        <w:rPr>
          <w:rFonts w:ascii="Arial" w:cs="Arial" w:eastAsia="Arial" w:hAnsi="Arial"/>
          <w:sz w:val="18"/>
          <w:szCs w:val="18"/>
          <w:color w:val="auto"/>
        </w:rPr>
        <w:t>331 Treble Cove Road</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color w:val="auto"/>
        </w:rPr>
        <w:t>North Billerica, Massachusetts 01862</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March 16, 2020</w:t>
      </w:r>
    </w:p>
    <w:p>
      <w:pPr>
        <w:spacing w:after="0" w:line="113"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ind w:left="4"/>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4"/>
          <w:szCs w:val="24"/>
          <w:color w:val="auto"/>
        </w:rPr>
      </w:pPr>
    </w:p>
    <w:p>
      <w:pPr>
        <w:ind w:left="4"/>
        <w:spacing w:after="0"/>
        <w:rPr>
          <w:sz w:val="20"/>
          <w:szCs w:val="20"/>
          <w:color w:val="auto"/>
        </w:rPr>
      </w:pPr>
      <w:r>
        <w:rPr>
          <w:rFonts w:ascii="Arial" w:cs="Arial" w:eastAsia="Arial" w:hAnsi="Arial"/>
          <w:sz w:val="18"/>
          <w:szCs w:val="18"/>
          <w:color w:val="auto"/>
        </w:rPr>
        <w:t>Office of Telecommunications</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Lantheus Holdings, Inc.</w:t>
      </w:r>
    </w:p>
    <w:p>
      <w:pPr>
        <w:spacing w:after="0" w:line="23" w:lineRule="exact"/>
        <w:rPr>
          <w:sz w:val="24"/>
          <w:szCs w:val="24"/>
          <w:color w:val="auto"/>
        </w:rPr>
      </w:pPr>
    </w:p>
    <w:p>
      <w:pPr>
        <w:ind w:left="964"/>
        <w:spacing w:after="0"/>
        <w:rPr>
          <w:sz w:val="20"/>
          <w:szCs w:val="20"/>
          <w:color w:val="auto"/>
        </w:rPr>
      </w:pPr>
      <w:r>
        <w:rPr>
          <w:rFonts w:ascii="Arial" w:cs="Arial" w:eastAsia="Arial" w:hAnsi="Arial"/>
          <w:sz w:val="18"/>
          <w:szCs w:val="18"/>
          <w:color w:val="auto"/>
        </w:rPr>
        <w:t>Amendment No. 1 to Registration Statement on Form S-4</w:t>
      </w:r>
    </w:p>
    <w:p>
      <w:pPr>
        <w:spacing w:after="0" w:line="9" w:lineRule="exact"/>
        <w:rPr>
          <w:sz w:val="24"/>
          <w:szCs w:val="24"/>
          <w:color w:val="auto"/>
        </w:rPr>
      </w:pPr>
    </w:p>
    <w:p>
      <w:pPr>
        <w:ind w:left="964"/>
        <w:spacing w:after="0"/>
        <w:rPr>
          <w:sz w:val="20"/>
          <w:szCs w:val="20"/>
          <w:color w:val="auto"/>
        </w:rPr>
      </w:pPr>
      <w:r>
        <w:rPr>
          <w:rFonts w:ascii="Arial" w:cs="Arial" w:eastAsia="Arial" w:hAnsi="Arial"/>
          <w:sz w:val="18"/>
          <w:szCs w:val="18"/>
          <w:color w:val="auto"/>
        </w:rPr>
        <w:t>Filed on March 16, 2020</w:t>
      </w:r>
    </w:p>
    <w:p>
      <w:pPr>
        <w:spacing w:after="0" w:line="9" w:lineRule="exact"/>
        <w:rPr>
          <w:sz w:val="24"/>
          <w:szCs w:val="24"/>
          <w:color w:val="auto"/>
        </w:rPr>
      </w:pPr>
    </w:p>
    <w:p>
      <w:pPr>
        <w:ind w:left="964"/>
        <w:spacing w:after="0"/>
        <w:rPr>
          <w:sz w:val="20"/>
          <w:szCs w:val="20"/>
          <w:color w:val="auto"/>
        </w:rPr>
      </w:pPr>
      <w:r>
        <w:rPr>
          <w:rFonts w:ascii="Arial" w:cs="Arial" w:eastAsia="Arial" w:hAnsi="Arial"/>
          <w:sz w:val="18"/>
          <w:szCs w:val="18"/>
          <w:color w:val="auto"/>
        </w:rPr>
        <w:t>Registration No. 333-234627</w:t>
      </w:r>
    </w:p>
    <w:p>
      <w:pPr>
        <w:spacing w:after="0" w:line="211" w:lineRule="exact"/>
        <w:rPr>
          <w:sz w:val="24"/>
          <w:szCs w:val="24"/>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left="4" w:right="120"/>
        <w:spacing w:after="0" w:line="259" w:lineRule="auto"/>
        <w:rPr>
          <w:sz w:val="20"/>
          <w:szCs w:val="20"/>
          <w:color w:val="auto"/>
        </w:rPr>
      </w:pPr>
      <w:r>
        <w:rPr>
          <w:rFonts w:ascii="Arial" w:cs="Arial" w:eastAsia="Arial" w:hAnsi="Arial"/>
          <w:sz w:val="18"/>
          <w:szCs w:val="18"/>
          <w:color w:val="auto"/>
        </w:rPr>
        <w:t>Pursuant to Rule 461 of the General Rules and Regulations of the Securities and Exchange Commission promulgated under the Securities Act of 1933, as amended, Lantheus Holdings, Inc. hereby respectfully requests that the effective date of the above-captioned Registration Statement on Form S-4, as amended (the “Registration Statement”) be accelerated to, and that the Registration Statement be declared effective at, 10:00 a.m., prevailing Eastern Time, on March 18, 2020, or as soon as practicable thereafter.</w:t>
      </w:r>
    </w:p>
    <w:p>
      <w:pPr>
        <w:spacing w:after="0" w:line="187" w:lineRule="exact"/>
        <w:rPr>
          <w:sz w:val="24"/>
          <w:szCs w:val="24"/>
          <w:color w:val="auto"/>
        </w:rPr>
      </w:pPr>
    </w:p>
    <w:p>
      <w:pPr>
        <w:ind w:left="4"/>
        <w:spacing w:after="0"/>
        <w:rPr>
          <w:sz w:val="20"/>
          <w:szCs w:val="20"/>
          <w:color w:val="auto"/>
        </w:rPr>
      </w:pPr>
      <w:r>
        <w:rPr>
          <w:rFonts w:ascii="Arial" w:cs="Arial" w:eastAsia="Arial" w:hAnsi="Arial"/>
          <w:sz w:val="16"/>
          <w:szCs w:val="16"/>
          <w:color w:val="auto"/>
        </w:rPr>
        <w:t>Please contact Morton A. Pierce (morton.pierce@whitecase.com / telephone: (212) 819-7900), Bryan J. Luchs (bryan.luchs@whitecase.com / telephone:</w:t>
      </w:r>
    </w:p>
    <w:p>
      <w:pPr>
        <w:spacing w:after="0" w:line="46" w:lineRule="exact"/>
        <w:rPr>
          <w:sz w:val="24"/>
          <w:szCs w:val="24"/>
          <w:color w:val="auto"/>
        </w:rPr>
      </w:pPr>
    </w:p>
    <w:p>
      <w:pPr>
        <w:ind w:left="4" w:right="60" w:hanging="4"/>
        <w:spacing w:after="0" w:line="260" w:lineRule="auto"/>
        <w:tabs>
          <w:tab w:leader="none" w:pos="439" w:val="left"/>
        </w:tabs>
        <w:numPr>
          <w:ilvl w:val="0"/>
          <w:numId w:val="1"/>
        </w:numPr>
        <w:rPr>
          <w:rFonts w:ascii="Arial" w:cs="Arial" w:eastAsia="Arial" w:hAnsi="Arial"/>
          <w:sz w:val="18"/>
          <w:szCs w:val="18"/>
          <w:color w:val="auto"/>
        </w:rPr>
      </w:pPr>
      <w:r>
        <w:rPr>
          <w:rFonts w:ascii="Arial" w:cs="Arial" w:eastAsia="Arial" w:hAnsi="Arial"/>
          <w:sz w:val="18"/>
          <w:szCs w:val="18"/>
          <w:color w:val="auto"/>
        </w:rPr>
        <w:t>819-7848) or Michelle B. Rutta (michelle.rutta@whitecase.com / telephone: (212) 819-7864) of White &amp; Case LLP with any questions and please notify one or more of them when this request for acceleration has been granted.</w:t>
      </w:r>
    </w:p>
    <w:p>
      <w:pPr>
        <w:spacing w:after="0" w:line="212" w:lineRule="exact"/>
        <w:rPr>
          <w:sz w:val="24"/>
          <w:szCs w:val="24"/>
          <w:color w:val="auto"/>
        </w:rPr>
      </w:pPr>
    </w:p>
    <w:p>
      <w:pPr>
        <w:ind w:left="6624"/>
        <w:spacing w:after="0"/>
        <w:rPr>
          <w:sz w:val="20"/>
          <w:szCs w:val="20"/>
          <w:color w:val="auto"/>
        </w:rPr>
      </w:pPr>
      <w:r>
        <w:rPr>
          <w:rFonts w:ascii="Arial" w:cs="Arial" w:eastAsia="Arial" w:hAnsi="Arial"/>
          <w:sz w:val="18"/>
          <w:szCs w:val="18"/>
          <w:color w:val="auto"/>
        </w:rPr>
        <w:t>Sincerely,</w:t>
      </w:r>
    </w:p>
    <w:p>
      <w:pPr>
        <w:spacing w:after="0" w:line="127" w:lineRule="exact"/>
        <w:rPr>
          <w:sz w:val="24"/>
          <w:szCs w:val="24"/>
          <w:color w:val="auto"/>
        </w:rPr>
      </w:pPr>
    </w:p>
    <w:p>
      <w:pPr>
        <w:ind w:left="6624"/>
        <w:spacing w:after="0"/>
        <w:rPr>
          <w:sz w:val="20"/>
          <w:szCs w:val="20"/>
          <w:color w:val="auto"/>
        </w:rPr>
      </w:pPr>
      <w:r>
        <w:rPr>
          <w:rFonts w:ascii="Arial" w:cs="Arial" w:eastAsia="Arial" w:hAnsi="Arial"/>
          <w:sz w:val="18"/>
          <w:szCs w:val="18"/>
          <w:b w:val="1"/>
          <w:bCs w:val="1"/>
          <w:color w:val="auto"/>
        </w:rPr>
        <w:t>Lantheus Holdings, Inc.</w:t>
      </w:r>
    </w:p>
    <w:p>
      <w:pPr>
        <w:spacing w:after="0" w:line="243" w:lineRule="exact"/>
        <w:rPr>
          <w:sz w:val="24"/>
          <w:szCs w:val="24"/>
          <w:color w:val="auto"/>
        </w:rPr>
      </w:pPr>
    </w:p>
    <w:p>
      <w:pPr>
        <w:ind w:left="6624"/>
        <w:spacing w:after="0"/>
        <w:rPr>
          <w:sz w:val="20"/>
          <w:szCs w:val="20"/>
          <w:color w:val="auto"/>
        </w:rPr>
      </w:pPr>
      <w:r>
        <w:rPr>
          <w:rFonts w:ascii="Arial" w:cs="Arial" w:eastAsia="Arial" w:hAnsi="Arial"/>
          <w:sz w:val="18"/>
          <w:szCs w:val="18"/>
          <w:color w:val="auto"/>
        </w:rPr>
        <w:t>/s/ Robert J. Marshall,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4"/>
          <w:szCs w:val="24"/>
          <w:color w:val="auto"/>
        </w:rPr>
      </w:pPr>
    </w:p>
    <w:p>
      <w:pPr>
        <w:ind w:left="6624"/>
        <w:spacing w:after="0"/>
        <w:rPr>
          <w:sz w:val="20"/>
          <w:szCs w:val="20"/>
          <w:color w:val="auto"/>
        </w:rPr>
      </w:pPr>
      <w:r>
        <w:rPr>
          <w:rFonts w:ascii="Arial" w:cs="Arial" w:eastAsia="Arial" w:hAnsi="Arial"/>
          <w:sz w:val="18"/>
          <w:szCs w:val="18"/>
          <w:color w:val="auto"/>
        </w:rPr>
        <w:t>Name: Robert J. Marshall, Jr.</w:t>
      </w:r>
    </w:p>
    <w:p>
      <w:pPr>
        <w:spacing w:after="0" w:line="23" w:lineRule="exact"/>
        <w:rPr>
          <w:sz w:val="24"/>
          <w:szCs w:val="24"/>
          <w:color w:val="auto"/>
        </w:rPr>
      </w:pPr>
    </w:p>
    <w:p>
      <w:pPr>
        <w:ind w:left="6624"/>
        <w:spacing w:after="0"/>
        <w:rPr>
          <w:sz w:val="20"/>
          <w:szCs w:val="20"/>
          <w:color w:val="auto"/>
        </w:rPr>
      </w:pPr>
      <w:r>
        <w:rPr>
          <w:rFonts w:ascii="Arial" w:cs="Arial" w:eastAsia="Arial" w:hAnsi="Arial"/>
          <w:sz w:val="18"/>
          <w:szCs w:val="18"/>
          <w:color w:val="auto"/>
        </w:rPr>
        <w:t>Title: Chief Financial Officer and Treasurer</w:t>
      </w:r>
    </w:p>
    <w:p>
      <w:pPr>
        <w:spacing w:after="0" w:line="130" w:lineRule="exact"/>
        <w:rPr>
          <w:sz w:val="24"/>
          <w:szCs w:val="24"/>
          <w:color w:val="auto"/>
        </w:rPr>
      </w:pPr>
    </w:p>
    <w:p>
      <w:pPr>
        <w:ind w:left="444" w:right="8740" w:hanging="444"/>
        <w:spacing w:after="0" w:line="342" w:lineRule="auto"/>
        <w:tabs>
          <w:tab w:leader="none" w:pos="436" w:val="left"/>
        </w:tabs>
        <w:numPr>
          <w:ilvl w:val="0"/>
          <w:numId w:val="2"/>
        </w:numPr>
        <w:rPr>
          <w:rFonts w:ascii="Arial" w:cs="Arial" w:eastAsia="Arial" w:hAnsi="Arial"/>
          <w:sz w:val="16"/>
          <w:szCs w:val="16"/>
          <w:color w:val="auto"/>
        </w:rPr>
      </w:pPr>
      <w:r>
        <w:rPr>
          <w:rFonts w:ascii="Arial" w:cs="Arial" w:eastAsia="Arial" w:hAnsi="Arial"/>
          <w:sz w:val="16"/>
          <w:szCs w:val="16"/>
          <w:color w:val="auto"/>
        </w:rPr>
        <w:t>Michael P. Duffy (Lantheus Holdings, Inc.)</w:t>
      </w:r>
    </w:p>
    <w:p>
      <w:pPr>
        <w:spacing w:after="0" w:line="15"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8"/>
          <w:szCs w:val="18"/>
          <w:color w:val="auto"/>
        </w:rPr>
        <w:t>David M. Mims</w:t>
      </w:r>
    </w:p>
    <w:p>
      <w:pPr>
        <w:spacing w:after="0" w:line="23"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8"/>
          <w:szCs w:val="18"/>
          <w:color w:val="auto"/>
        </w:rPr>
        <w:t>(Progenics Pharmaceuticals, Inc.)</w:t>
      </w:r>
    </w:p>
    <w:p>
      <w:pPr>
        <w:spacing w:after="0" w:line="102" w:lineRule="exact"/>
        <w:rPr>
          <w:rFonts w:ascii="Arial" w:cs="Arial" w:eastAsia="Arial" w:hAnsi="Arial"/>
          <w:sz w:val="16"/>
          <w:szCs w:val="16"/>
          <w:color w:val="auto"/>
        </w:rPr>
      </w:pPr>
    </w:p>
    <w:p>
      <w:pPr>
        <w:ind w:left="444" w:right="9080"/>
        <w:spacing w:after="0" w:line="301" w:lineRule="auto"/>
        <w:rPr>
          <w:rFonts w:ascii="Arial" w:cs="Arial" w:eastAsia="Arial" w:hAnsi="Arial"/>
          <w:sz w:val="16"/>
          <w:szCs w:val="16"/>
          <w:color w:val="auto"/>
        </w:rPr>
      </w:pPr>
      <w:r>
        <w:rPr>
          <w:rFonts w:ascii="Arial" w:cs="Arial" w:eastAsia="Arial" w:hAnsi="Arial"/>
          <w:sz w:val="16"/>
          <w:szCs w:val="16"/>
          <w:color w:val="auto"/>
        </w:rPr>
        <w:t>Morton A. Pierce Bryan J. Luchs Michelle B. Rutta (White &amp; Case LLP)</w:t>
      </w:r>
    </w:p>
    <w:p>
      <w:pPr>
        <w:spacing w:after="0" w:line="49" w:lineRule="exact"/>
        <w:rPr>
          <w:rFonts w:ascii="Arial" w:cs="Arial" w:eastAsia="Arial" w:hAnsi="Arial"/>
          <w:sz w:val="16"/>
          <w:szCs w:val="16"/>
          <w:color w:val="auto"/>
        </w:rPr>
      </w:pPr>
    </w:p>
    <w:p>
      <w:pPr>
        <w:ind w:left="444" w:right="9100"/>
        <w:spacing w:after="0" w:line="286" w:lineRule="auto"/>
        <w:rPr>
          <w:rFonts w:ascii="Arial" w:cs="Arial" w:eastAsia="Arial" w:hAnsi="Arial"/>
          <w:sz w:val="16"/>
          <w:szCs w:val="16"/>
          <w:color w:val="auto"/>
        </w:rPr>
      </w:pPr>
      <w:r>
        <w:rPr>
          <w:rFonts w:ascii="Arial" w:cs="Arial" w:eastAsia="Arial" w:hAnsi="Arial"/>
          <w:sz w:val="17"/>
          <w:szCs w:val="17"/>
          <w:color w:val="auto"/>
        </w:rPr>
        <w:t>Reb D. Wheeler Andrew J. Noreuil (Mayer Brown LLP)</w:t>
      </w:r>
    </w:p>
    <w:p>
      <w:pPr>
        <w:spacing w:after="0" w:line="57" w:lineRule="exact"/>
        <w:rPr>
          <w:rFonts w:ascii="Arial" w:cs="Arial" w:eastAsia="Arial" w:hAnsi="Arial"/>
          <w:sz w:val="16"/>
          <w:szCs w:val="16"/>
          <w:color w:val="auto"/>
        </w:rPr>
      </w:pPr>
    </w:p>
    <w:p>
      <w:pPr>
        <w:ind w:left="444" w:right="8560"/>
        <w:spacing w:after="0" w:line="263" w:lineRule="auto"/>
        <w:rPr>
          <w:rFonts w:ascii="Arial" w:cs="Arial" w:eastAsia="Arial" w:hAnsi="Arial"/>
          <w:sz w:val="16"/>
          <w:szCs w:val="16"/>
          <w:color w:val="auto"/>
        </w:rPr>
      </w:pPr>
      <w:r>
        <w:rPr>
          <w:rFonts w:ascii="Arial" w:cs="Arial" w:eastAsia="Arial" w:hAnsi="Arial"/>
          <w:sz w:val="18"/>
          <w:szCs w:val="18"/>
          <w:color w:val="auto"/>
        </w:rPr>
        <w:t>Jack S. Bodner Scott F. Smith (Covington &amp; Burling LLP)</w:t>
      </w:r>
    </w:p>
    <w:sectPr>
      <w:pgSz w:w="11900" w:h="16838" w:orient="portrait"/>
      <w:cols w:equalWidth="0" w:num="1">
        <w:col w:w="11024"/>
      </w:cols>
      <w:pgMar w:left="436" w:top="23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2"/>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2021-08-15T20:08:57Z</dcterms:created>
  <dcterms:modified xsi:type="dcterms:W3CDTF">2021-08-15T20:08:57Z</dcterms:modified>
</cp:coreProperties>
</file>