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214ddefa14a.htm"/>
      <w:bookmarkStart w:id="1" w:name="ksd112214ddefa14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LANTHEUS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Schedule 14A relates solely to preliminary communications made prior to furnishing security holders of Lantheus Holdings, Inc. (the “</w:t>
      </w:r>
      <w:r>
        <w:rPr>
          <w:rFonts w:ascii="Times New Roman" w:hAnsi="Times New Roman"/>
          <w:sz w:val="20"/>
          <w:u w:val="single"/>
        </w:rPr>
        <w:t>Company</w:t>
      </w:r>
      <w:r>
        <w:rPr>
          <w:rFonts w:ascii="Times New Roman" w:hAnsi="Times New Roman"/>
          <w:sz w:val="20"/>
        </w:rPr>
        <w:t>”) with a proxy statement related to a proposed transaction in which Coco Merger Sub Inc. (“</w:t>
      </w:r>
      <w:r>
        <w:rPr>
          <w:rFonts w:ascii="Times New Roman" w:hAnsi="Times New Roman"/>
          <w:sz w:val="20"/>
          <w:u w:val="single"/>
        </w:rPr>
        <w:t>Merger Sub</w:t>
      </w:r>
      <w:r>
        <w:rPr>
          <w:rFonts w:ascii="Times New Roman" w:hAnsi="Times New Roman"/>
          <w:sz w:val="20"/>
        </w:rPr>
        <w:t>”), a wholly owned subsidiary of Curium US Holdings LLC (“</w:t>
      </w:r>
      <w:r>
        <w:rPr>
          <w:rFonts w:ascii="Times New Roman" w:hAnsi="Times New Roman"/>
          <w:sz w:val="20"/>
          <w:u w:val="single"/>
        </w:rPr>
        <w:t>Parent</w:t>
      </w:r>
      <w:r>
        <w:rPr>
          <w:rFonts w:ascii="Times New Roman" w:hAnsi="Times New Roman"/>
          <w:sz w:val="20"/>
        </w:rPr>
        <w:t>”), will be merged with and into the Company, with the Company being the surviving corporation and continuing as a wholly owned subsidiary of Parent (the “</w:t>
      </w:r>
      <w:r>
        <w:rPr>
          <w:rFonts w:ascii="Times New Roman" w:hAnsi="Times New Roman"/>
          <w:sz w:val="20"/>
          <w:u w:val="single"/>
        </w:rPr>
        <w:t>Merger</w:t>
      </w:r>
      <w:r>
        <w:rPr>
          <w:rFonts w:ascii="Times New Roman" w:hAnsi="Times New Roman"/>
          <w:sz w:val="20"/>
        </w:rPr>
        <w:t>”), upon the terms and subject to the conditions set forth in the Agreement and Plan of Merger, dated August 3, 2026, among the Company, Parent, and Merger Sub (the “</w:t>
      </w:r>
      <w:r>
        <w:rPr>
          <w:rFonts w:ascii="Times New Roman" w:hAnsi="Times New Roman"/>
          <w:sz w:val="20"/>
          <w:u w:val="single"/>
        </w:rPr>
        <w:t>Merger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Schedule 14A filing consists of the following document relating to the Merger and the other transactions contemplated by the Merger Agreement: </w:t>
      </w:r>
    </w:p>
    <w:p>
      <w:pPr>
        <w:pStyle w:val="TextBody"/>
        <w:bidi w:val="0"/>
        <w:spacing w:before="240" w:after="0"/>
        <w:jc w:val="left"/>
        <w:rPr/>
      </w:pPr>
      <w:r>
        <w:rPr>
          <w:rFonts w:ascii="Times New Roman" w:hAnsi="Times New Roman"/>
          <w:sz w:val="20"/>
        </w:rPr>
        <w:t>Exhibit 99.1:  </w:t>
      </w:r>
      <w:hyperlink w:anchor="d112214dex991.htm">
        <w:r>
          <w:rPr>
            <w:rStyle w:val="InternetLink"/>
            <w:rFonts w:ascii="Times New Roman" w:hAnsi="Times New Roman"/>
            <w:sz w:val="20"/>
          </w:rPr>
          <w:t xml:space="preserve">An email from Parent’s CEO provided to the Company’s employees on August  4, 2026. </w:t>
        </w:r>
      </w:hyperlink>
    </w:p>
    <w:p>
      <w:pPr>
        <w:pStyle w:val="TextBody"/>
        <w:bidi w:val="0"/>
        <w:spacing w:before="480" w:after="0"/>
        <w:jc w:val="center"/>
        <w:rPr>
          <w:rFonts w:ascii="Times New Roman" w:hAnsi="Times New Roman"/>
          <w:b/>
          <w:sz w:val="20"/>
        </w:rPr>
      </w:pPr>
      <w:r>
        <w:rPr>
          <w:rFonts w:ascii="Times New Roman" w:hAnsi="Times New Roman"/>
          <w:b/>
          <w:sz w:val="20"/>
        </w:rPr>
        <w:t xml:space="preserve">*  *  *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the Company by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www.sec.gov. The Company makes available free of charge at its website at https://investor.lantheus.com/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www.sec.gov and the Company’s website at https://investor.lantheus.com/. The contents of the websites referenced herein are not deemed to be incorporated by reference into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approval in March 2026, to be successful in the patent litigation associated with PNT2003 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p>
      <w:pPr>
        <w:pStyle w:val="TextBody"/>
        <w:bidi w:val="0"/>
        <w:spacing w:before="0" w:after="0"/>
        <w:jc w:val="right"/>
        <w:rPr>
          <w:rFonts w:ascii="Times New Roman" w:hAnsi="Times New Roman"/>
          <w:b/>
          <w:sz w:val="20"/>
        </w:rPr>
      </w:pPr>
      <w:bookmarkStart w:id="2" w:name="d112214dex991.htm"/>
      <w:bookmarkStart w:id="3" w:name="ksd11221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1876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18764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Hi everyone, </w:t>
      </w:r>
    </w:p>
    <w:p>
      <w:pPr>
        <w:pStyle w:val="TextBody"/>
        <w:bidi w:val="0"/>
        <w:spacing w:before="240" w:after="0"/>
        <w:jc w:val="left"/>
        <w:rPr>
          <w:rFonts w:ascii="Times New Roman" w:hAnsi="Times New Roman"/>
          <w:sz w:val="20"/>
        </w:rPr>
      </w:pPr>
      <w:r>
        <w:rPr>
          <w:rFonts w:ascii="Times New Roman" w:hAnsi="Times New Roman"/>
          <w:sz w:val="20"/>
        </w:rPr>
        <w:t>Yesterday we shared a significant milestone for all of us - the announcement that Curium and Lantheus will combine. This merger will allow us to capitalise on our complementary strengths and accelerate delivery of leading diagnostic and therapeutic solutions for our patients worldwide. Congratulations to you all!</w:t>
      </w:r>
    </w:p>
    <w:p>
      <w:pPr>
        <w:pStyle w:val="TextBody"/>
        <w:bidi w:val="0"/>
        <w:spacing w:before="240" w:after="0"/>
        <w:jc w:val="left"/>
        <w:rPr>
          <w:rFonts w:ascii="Times New Roman" w:hAnsi="Times New Roman"/>
          <w:sz w:val="20"/>
        </w:rPr>
      </w:pPr>
      <w:r>
        <w:rPr>
          <w:rFonts w:ascii="Times New Roman" w:hAnsi="Times New Roman"/>
          <w:sz w:val="20"/>
        </w:rPr>
        <w:t xml:space="preserve">Together, we are creating a business with deep and broad expertise, earned from decades of hard work, vision and respective industry leadership. With our combined efforts, we will bring enhanced access to millions of patients who critically need our services across the U.S., and internationally. </w:t>
      </w:r>
    </w:p>
    <w:p>
      <w:pPr>
        <w:pStyle w:val="TextBody"/>
        <w:bidi w:val="0"/>
        <w:spacing w:before="240" w:after="0"/>
        <w:jc w:val="left"/>
        <w:rPr>
          <w:rFonts w:ascii="Times New Roman" w:hAnsi="Times New Roman"/>
          <w:sz w:val="20"/>
        </w:rPr>
      </w:pPr>
      <w:r>
        <w:rPr>
          <w:rFonts w:ascii="Times New Roman" w:hAnsi="Times New Roman"/>
          <w:sz w:val="20"/>
        </w:rPr>
        <w:t>Radioligand therapy represents one of the most significant advances in oncology in decades, offering patients more time and a better quality of life. I strongly believe nuclear medicine has the potential to treat up to 80% of cancers and this merger positions us uniquely to realize that vision. The combination with Lantheus will allow us to use PYLARIFY’s proven commercial infrastructure as we launch our prostate cancer therapeutic in the U.S. and then globally.</w:t>
      </w:r>
    </w:p>
    <w:p>
      <w:pPr>
        <w:pStyle w:val="TextBody"/>
        <w:bidi w:val="0"/>
        <w:spacing w:before="240" w:after="0"/>
        <w:jc w:val="left"/>
        <w:rPr>
          <w:rFonts w:ascii="Times New Roman" w:hAnsi="Times New Roman"/>
          <w:sz w:val="20"/>
        </w:rPr>
      </w:pPr>
      <w:r>
        <w:rPr>
          <w:rFonts w:ascii="Times New Roman" w:hAnsi="Times New Roman"/>
          <w:sz w:val="20"/>
        </w:rPr>
        <w:t xml:space="preserve">The merger will also broaden our offering to include Lantheus’ market leading franchises in Neurology and Echocardiography. Together, we are creating the infrastructure needed to scale precision medicine globally. </w:t>
      </w:r>
    </w:p>
    <w:p>
      <w:pPr>
        <w:pStyle w:val="TextBody"/>
        <w:bidi w:val="0"/>
        <w:spacing w:before="240" w:after="0"/>
        <w:jc w:val="left"/>
        <w:rPr>
          <w:rFonts w:ascii="Times New Roman" w:hAnsi="Times New Roman"/>
          <w:sz w:val="20"/>
        </w:rPr>
      </w:pPr>
      <w:r>
        <w:rPr>
          <w:rFonts w:ascii="Times New Roman" w:hAnsi="Times New Roman"/>
          <w:sz w:val="20"/>
        </w:rPr>
        <w:t xml:space="preserve">We currently expect that the merger will complete in the first half of 2027, subject to receipt of Lantheus shareholder approval and satisfaction of required regulatory approvals. Until then, both companies will continue to operate independently. As I have emphasised to our team at Curium, it is important we </w:t>
      </w:r>
      <w:r>
        <w:rPr>
          <w:rFonts w:ascii="Times New Roman" w:hAnsi="Times New Roman"/>
          <w:b/>
          <w:sz w:val="20"/>
        </w:rPr>
        <w:t>all remain focused on executing our current strategic goals</w:t>
      </w:r>
      <w:r>
        <w:rPr>
          <w:rFonts w:ascii="Times New Roman" w:hAnsi="Times New Roman"/>
          <w:sz w:val="20"/>
        </w:rPr>
        <w:t xml:space="preserve"> to ensure limited disruption to the needs of our patients. </w:t>
      </w:r>
    </w:p>
    <w:p>
      <w:pPr>
        <w:pStyle w:val="TextBody"/>
        <w:bidi w:val="0"/>
        <w:spacing w:before="240" w:after="0"/>
        <w:jc w:val="left"/>
        <w:rPr>
          <w:rFonts w:ascii="Times New Roman" w:hAnsi="Times New Roman"/>
          <w:sz w:val="20"/>
        </w:rPr>
      </w:pPr>
      <w:r>
        <w:rPr>
          <w:rFonts w:ascii="Times New Roman" w:hAnsi="Times New Roman"/>
          <w:sz w:val="20"/>
        </w:rPr>
        <w:t>We have a short Town Hall planned later today where I look forward to telling you more about Curium, introducing our controlling shareholder, CapVest, and explaining more about what motivates us. I am also happy to answer any questions you may have, both today and when I visit in person in September.</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look forward to working with you all. </w:t>
      </w:r>
    </w:p>
    <w:p>
      <w:pPr>
        <w:pStyle w:val="TextBody"/>
        <w:bidi w:val="0"/>
        <w:spacing w:before="240" w:after="0"/>
        <w:jc w:val="left"/>
        <w:rPr>
          <w:rFonts w:ascii="Times New Roman" w:hAnsi="Times New Roman"/>
          <w:sz w:val="20"/>
        </w:rPr>
      </w:pPr>
      <w:r>
        <w:rPr>
          <w:rFonts w:ascii="Times New Roman" w:hAnsi="Times New Roman"/>
          <w:sz w:val="20"/>
        </w:rPr>
        <w:t xml:space="preserve">Renaud </w:t>
      </w:r>
    </w:p>
    <w:p>
      <w:pPr>
        <w:pStyle w:val="TextBody"/>
        <w:bidi w:val="0"/>
        <w:spacing w:before="0" w:after="0"/>
        <w:jc w:val="left"/>
        <w:rPr>
          <w:rFonts w:ascii="Times New Roman" w:hAnsi="Times New Roman"/>
          <w:sz w:val="20"/>
        </w:rPr>
      </w:pPr>
      <w:r>
        <w:rPr>
          <w:rFonts w:ascii="Times New Roman" w:hAnsi="Times New Roman"/>
          <w:sz w:val="20"/>
        </w:rPr>
        <w:t xml:space="preserve">CEO, Curium Group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acquisition of Lantheus Holdings, Inc. (the “Company”) by Curium US Holdings LLC (“Parent”), the Company intends to file a preliminary and definitive proxy statement. The definitive proxy statement and proxy card will be delivered to the stockholders of the Company in advance of the special meeting relating to the proposed acquisition. This document is not a substitute for the proxy statement or any other document that may be filed by the Company with the Securities and Exchange Commission (the “SEC”). THE COMPANY’S STOCKHOLDERS AND INVESTORS ARE URGED TO READ THE DEFINITIVE PROXY STATEMENT IN ITS ENTIRETY WHEN IT BECOMES AVAILABLE AND ANY OTHER DOCUMENTS FILED BY EACH OF PARENT AND THE COMPANY WITH THE SEC IN CONNECTION WITH THE PROPOSED ACQUISITION OR INCORPORATED BY REFERENCE THEREIN BECAUSE THEY WILL CONTAIN IMPORTANT INFORMATION ABOUT THE PROPOSED ACQUISITION AND THE PARTIES TO THE PROPOSED ACQUISITION. Investors and security holders will be able to obtain a free copy of the proxy statement and such other documents containing important information about the Company and Parent, once such documents are filed with the SEC, through the website maintained by the SEC at </w:t>
      </w:r>
      <w:r>
        <w:rPr>
          <w:rFonts w:ascii="Times New Roman" w:hAnsi="Times New Roman"/>
          <w:sz w:val="20"/>
          <w:u w:val="single"/>
        </w:rPr>
        <w:t>www.sec.gov</w:t>
      </w:r>
      <w:r>
        <w:rPr>
          <w:rFonts w:ascii="Times New Roman" w:hAnsi="Times New Roman"/>
          <w:sz w:val="20"/>
        </w:rPr>
        <w:t>. The Company makes available free of charge at its website at </w:t>
      </w:r>
      <w:r>
        <w:rPr>
          <w:rFonts w:ascii="Times New Roman" w:hAnsi="Times New Roman"/>
          <w:sz w:val="20"/>
          <w:u w:val="single"/>
        </w:rPr>
        <w:t>https://investor.lantheus.com/</w:t>
      </w:r>
      <w:r>
        <w:rPr>
          <w:rFonts w:ascii="Times New Roman" w:hAnsi="Times New Roman"/>
          <w:sz w:val="20"/>
        </w:rPr>
        <w:t xml:space="preserve"> copies of materials it files with, or furnishes to,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Parent and certain of their respective directors, executive officers and employees may be deemed to be participants in the solicitation of proxies from the stockholders of the Company in connection with the proposed acquisition. Information regarding the Company’s directors and executive officers is contained in the Company’s Annual Report on Form 10-K for the fiscal year ended December 31, 2025, which was filed with the SEC on February 26, 2026, and its definitive proxy statement for the 2026 annual meeting of its stockholders, which was filed with the SEC on March 20, 2026. To the extent holdings of the Company’s securities by its directors or executive officers have changed since the amounts set forth in such 2026 proxy statement, such changes have been or will be reflected on Initial Statements of Beneficial Ownership of Securities on Form 3 or Statements of Changes in Beneficial Ownership of Securities on Form 4 filed with the SEC. Additional information regarding the identity of potential participants, and their direct or indirect interests, by security holdings or otherwise, will be included in the definitive proxy statement relating to the proposed acquisition when it is filed with the SEC. These documents (when available) may be obtained free of charge from the SEC’s website at </w:t>
      </w:r>
      <w:r>
        <w:rPr>
          <w:rFonts w:ascii="Times New Roman" w:hAnsi="Times New Roman"/>
          <w:sz w:val="20"/>
          <w:u w:val="single"/>
        </w:rPr>
        <w:t>www.sec.gov</w:t>
      </w:r>
      <w:r>
        <w:rPr>
          <w:rFonts w:ascii="Times New Roman" w:hAnsi="Times New Roman"/>
          <w:sz w:val="20"/>
        </w:rPr>
        <w:t xml:space="preserve"> and the Company’s website at </w:t>
      </w:r>
      <w:r>
        <w:rPr>
          <w:rFonts w:ascii="Times New Roman" w:hAnsi="Times New Roman"/>
          <w:sz w:val="20"/>
          <w:u w:val="single"/>
        </w:rPr>
        <w:t>https://investor.lantheus.com/</w:t>
      </w:r>
      <w:r>
        <w:rPr>
          <w:rFonts w:ascii="Times New Roman" w:hAnsi="Times New Roman"/>
          <w:sz w:val="20"/>
        </w:rPr>
        <w:t xml:space="preserve">. The contents of the websites referenced herein are not deemed to be incorporated by reference into the proxy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These forward-looking statements may be identified by their use of terms such as “advance,” “believe,” “continue,” “could,” “driving,” “expect,” “guidance,” “maintain,” “may,” “on track,” “plan,” “potential,” “predict,” “progress,” “should,” “target,” “will,” “would” and other similar terms. Such forward-looking statements include the ability of Parent and the Company to complete the transactions contemplated by the merger agreement, including the parties’ ability to satisfy the conditions to the consummation of the transactions contemplated thereby; statements about the expected timetable for completing the proposed acquisition of the Company by Parent; the Company’s and Parent’s beliefs and expectations and statements about the benefits sought to be achieved by the proposed acquisition; the potential effects of the proposed acquisition on the Company and Parent; the possibility of any termination of the merger agreement; and the expected benefits and success of the Company’s plans to execute on the commercialization of marketed products, ensure launch readiness for new products, advance a focused late-stage pipeline, and allocate capital thoughtfully, as well as the Company’s focus mainly on its radiodiagnostic business and pursuing value-maximizing alternatives for its radiotherapeutic assets. These statements are based upon the current plans, estimates and expectations of the Company’s management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If underlying assumptions prove inaccurate or risks or uncertainties materialize, actual results may materially differ from those described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include, but are not limited to, uncertainties as to the timing of the proposed acquisition; the risk that competing offers or acquisition proposals will be made; the possibility that various conditions to the consummation of the proposed acquisition contained in the merger agreement (including the requisite vote by the Company’s stockholders and receipt of regulatory approvals) may not be satisfied or waived on the expected timetable, or at all; uncertainty as to whether the milestones (“Milestones”) associated with the contingent value rights (“CVRs”) will be achieved and that holders of CVRs will receive payments in respect thereof; the effects of disruption from the transactions contemplated by the merger agreement and the impact of the announcement and pendency of the proposed acquisition on the Company’s business, including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response of the Company’s suppliers, business partners, employees and competitors to the proposed acquisition; the diversion of management time and attention from ongoing business operations and opportunities; disruption in or limitations on the Company’s plans and operations attributable to the proposed acquisition; changes in the Company’s business during the period between announcement and closing of the proposed acquisition; the effects of the proposed acquisition (or the announcement thereof) on the Company’s share price; the risk that stockholder litigation in connection with the proposed acquisition may result in significant costs of defense, indemnification and liability; Parent’s ability to obtain financing to complete the proposed acquisition; Parent’s ability to successfully integrate the Company and execute on the continued development and commercialization of the Company’s programs following the closing of the proposed acquisition, which could affect Parent’s ability to achieve any of the Milestones and trigger payments related to the Milestones under the CVRs; the continued market expansion, penetration and reimbursement for the Company’s established commercial products, particularly PYLARIFY, DEFINITY and Neuraceq, in a competitive environment and the Company’s ability to clinically and commercially differentiate its products; the Company’s ability to complete the technology transfer across its PET manufacturing facilities (“PMF”) network for PYLARIFY TruVu, the new formulation of the Company’s F-18 prostate-specific membrane antigen PET imaging agent approved by the U.S. Food and Drug Administration (“FDA”) on March 6, 2026, to obtain FDA approval for each PMF to manufacture PYLARIFY TruVu, to obtain adequate coding, coverage and payment, including transitional pass-through payment status, for PYLARIFY TruVu and to have customers adopt PYLARIFY TruVu; the availability of raw materials, key components, equipment, manufacturing time slots, either used in the production of the Company’s products and product candidates, or by customers of its products and product candidates, including, but not limited to PET scanners for PYLARIFY, PYLARIFY TruVu, Neuraceq, MK-6240, LNTH-2501 and NAV-4694; the Company’s ability to have third parties manufacture its products and product candidates and its ability to manufacture DEFINITY in its in-house manufacturing facility, in amounts and at the times needed; the Company’s ability to satisfy its obligations under its existing clinical development partnerships using Neuraceq, MK-6240 or NAV-4694 and other assets as a research tool and under the license agreements through which it has rights to those assets, and to further develop and commercialize MK-6240 and NAV-4694 as approved products; the Company’s ability to continue to successfully integrate acquisitions, including of Lantheus Biosciences Ltd. (formerly Life Molecular Imaging Limited) and Evergreen Theragnostics, Inc., which could be impacted by unforeseen expenses related to integration activities, the potential for unforeseen liabilities within those businesses, the ability to integrate disparate information technology systems, retain key talent and create a merged corporate culture that successfully realizes the full potential of the combined organization; the Company’s ability to obtain FDA approval for LNTH-2501, its investigational kit for the preparation of Gallium-68 edotreotide injection, which has been studied for use in conjunction with a PET scan to stage and localize neuroendocrine tumors in adult and pediatric patients and to successfully commercialize LNTH-2501 if approved; the Company’s ability to obtain final FDA approval for PNT2003, which received FDA tentative approval in March 2026, to be successful in the patent litigation associated with PNT2003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to successfully commercialize PNT2003 if approved; the cost, efforts and timing for clinical development, manufacturing, regulatory approval, adequate coding, coverage and payment and successful commercialization of the Company’s newly approved products, product candidates and new clinical applications and territories for its products, in each case, that the Company or its strategic partners may undertake, including those investigational assets for which FDA approval has been obtained or is anticipated to be obtained this year; the Company’s ability to identify opportunities to collaborate with strategic partners and to acquire or in-license additional diagnostic and therapeutic product opportunities in oncology, neurology and other strategic areas and continue to grow and advance its pipeline of products; the effect that changes to management, including the recent turnover in the Company’s leadership and senior management team, could have on its business; and the risks and uncertainties discussed in the Company’s filings with the SEC (including those described in the “Risk Factors” section in its Annual Reports on Form 10-K and its Quarterly Reports on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undertakes no obligation to publicly update any forward-looking statement, whether as a result of new information, future developments or otherwise, except as may be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transaction or otherwise, nor shall there be any sale, issuance or transfer of securities in any jurisdiction in contravention of applicable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4111</Words>
  <Characters>23770</Characters>
  <CharactersWithSpaces>27893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