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80"/>
        <w:spacing w:after="0"/>
        <w:rPr>
          <w:sz w:val="20"/>
          <w:szCs w:val="20"/>
          <w:color w:val="auto"/>
        </w:rPr>
      </w:pPr>
      <w:r>
        <w:rPr>
          <w:rFonts w:ascii="Arial" w:cs="Arial" w:eastAsia="Arial" w:hAnsi="Arial"/>
          <w:sz w:val="18"/>
          <w:szCs w:val="18"/>
          <w:b w:val="1"/>
          <w:bCs w:val="1"/>
          <w:color w:val="auto"/>
        </w:rPr>
        <w:t>As filed with the Securities and Exchange Commission on August 18, 2017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Lantheus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460" w:type="dxa"/>
        <w:tblCellMar>
          <w:top w:w="0" w:type="dxa"/>
          <w:left w:w="0" w:type="dxa"/>
          <w:bottom w:w="0" w:type="dxa"/>
          <w:right w:w="0" w:type="dxa"/>
        </w:tblCellMar>
      </w:tblPr>
      <w:tr>
        <w:trPr>
          <w:trHeight w:val="212"/>
        </w:trPr>
        <w:tc>
          <w:tcPr>
            <w:tcW w:w="3060" w:type="dxa"/>
            <w:vAlign w:val="bottom"/>
          </w:tcPr>
          <w:p>
            <w:pPr>
              <w:jc w:val="center"/>
              <w:ind w:right="119"/>
              <w:spacing w:after="0"/>
              <w:rPr>
                <w:sz w:val="20"/>
                <w:szCs w:val="20"/>
                <w:color w:val="auto"/>
              </w:rPr>
            </w:pPr>
            <w:r>
              <w:rPr>
                <w:rFonts w:ascii="Arial" w:cs="Arial" w:eastAsia="Arial" w:hAnsi="Arial"/>
                <w:sz w:val="18"/>
                <w:szCs w:val="18"/>
                <w:b w:val="1"/>
                <w:bCs w:val="1"/>
                <w:color w:val="auto"/>
                <w:w w:val="93"/>
              </w:rPr>
              <w:t>Delaware</w:t>
            </w:r>
          </w:p>
        </w:tc>
        <w:tc>
          <w:tcPr>
            <w:tcW w:w="470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35-2318913</w:t>
            </w:r>
          </w:p>
        </w:tc>
      </w:tr>
      <w:tr>
        <w:trPr>
          <w:trHeight w:val="149"/>
        </w:trPr>
        <w:tc>
          <w:tcPr>
            <w:tcW w:w="30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80" w:type="dxa"/>
            <w:vAlign w:val="bottom"/>
          </w:tcPr>
          <w:p>
            <w:pPr>
              <w:spacing w:after="0"/>
              <w:rPr>
                <w:sz w:val="12"/>
                <w:szCs w:val="12"/>
                <w:color w:val="auto"/>
              </w:rPr>
            </w:pPr>
          </w:p>
        </w:tc>
        <w:tc>
          <w:tcPr>
            <w:tcW w:w="232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6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incorporation or organization)</w:t>
            </w: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306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331 Treble Cove Road</w:t>
            </w:r>
          </w:p>
        </w:tc>
        <w:tc>
          <w:tcPr>
            <w:tcW w:w="238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25"/>
        </w:trPr>
        <w:tc>
          <w:tcPr>
            <w:tcW w:w="3060" w:type="dxa"/>
            <w:vAlign w:val="bottom"/>
          </w:tcPr>
          <w:p>
            <w:pPr>
              <w:jc w:val="center"/>
              <w:ind w:right="119"/>
              <w:spacing w:after="0"/>
              <w:rPr>
                <w:sz w:val="20"/>
                <w:szCs w:val="20"/>
                <w:color w:val="auto"/>
              </w:rPr>
            </w:pPr>
            <w:r>
              <w:rPr>
                <w:rFonts w:ascii="Arial" w:cs="Arial" w:eastAsia="Arial" w:hAnsi="Arial"/>
                <w:sz w:val="18"/>
                <w:szCs w:val="18"/>
                <w:b w:val="1"/>
                <w:bCs w:val="1"/>
                <w:color w:val="auto"/>
                <w:w w:val="90"/>
              </w:rPr>
              <w:t>North Billerica, Massachusetts 01862</w:t>
            </w:r>
          </w:p>
        </w:tc>
        <w:tc>
          <w:tcPr>
            <w:tcW w:w="4700" w:type="dxa"/>
            <w:vAlign w:val="bottom"/>
            <w:gridSpan w:val="2"/>
          </w:tcPr>
          <w:p>
            <w:pPr>
              <w:jc w:val="right"/>
              <w:ind w:right="268"/>
              <w:spacing w:after="0"/>
              <w:rPr>
                <w:sz w:val="20"/>
                <w:szCs w:val="20"/>
                <w:color w:val="auto"/>
              </w:rPr>
            </w:pPr>
            <w:r>
              <w:rPr>
                <w:rFonts w:ascii="Arial" w:cs="Arial" w:eastAsia="Arial" w:hAnsi="Arial"/>
                <w:sz w:val="18"/>
                <w:szCs w:val="18"/>
                <w:b w:val="1"/>
                <w:bCs w:val="1"/>
                <w:color w:val="auto"/>
              </w:rPr>
              <w:t>01862</w:t>
            </w:r>
          </w:p>
        </w:tc>
      </w:tr>
      <w:tr>
        <w:trPr>
          <w:trHeight w:val="186"/>
        </w:trPr>
        <w:tc>
          <w:tcPr>
            <w:tcW w:w="3060" w:type="dxa"/>
            <w:vAlign w:val="bottom"/>
          </w:tcPr>
          <w:p>
            <w:pPr>
              <w:jc w:val="center"/>
              <w:ind w:right="1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320" w:type="dxa"/>
            <w:vAlign w:val="bottom"/>
          </w:tcPr>
          <w:p>
            <w:pPr>
              <w:jc w:val="center"/>
              <w:ind w:left="1108"/>
              <w:spacing w:after="0"/>
              <w:rPr>
                <w:sz w:val="20"/>
                <w:szCs w:val="20"/>
                <w:color w:val="auto"/>
              </w:rPr>
            </w:pPr>
            <w:r>
              <w:rPr>
                <w:rFonts w:ascii="Arial" w:cs="Arial" w:eastAsia="Arial" w:hAnsi="Arial"/>
                <w:sz w:val="14"/>
                <w:szCs w:val="14"/>
                <w:b w:val="1"/>
                <w:bCs w:val="1"/>
                <w:color w:val="auto"/>
                <w:w w:val="95"/>
              </w:rPr>
              <w:t>(Zip Code)</w:t>
            </w:r>
          </w:p>
        </w:tc>
      </w:tr>
      <w:tr>
        <w:trPr>
          <w:trHeight w:val="336"/>
        </w:trPr>
        <w:tc>
          <w:tcPr>
            <w:tcW w:w="30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403"/>
        </w:trPr>
        <w:tc>
          <w:tcPr>
            <w:tcW w:w="3060" w:type="dxa"/>
            <w:vAlign w:val="bottom"/>
          </w:tcPr>
          <w:p>
            <w:pPr>
              <w:spacing w:after="0"/>
              <w:rPr>
                <w:sz w:val="24"/>
                <w:szCs w:val="24"/>
                <w:color w:val="auto"/>
              </w:rPr>
            </w:pPr>
          </w:p>
        </w:tc>
        <w:tc>
          <w:tcPr>
            <w:tcW w:w="4700" w:type="dxa"/>
            <w:vAlign w:val="bottom"/>
            <w:gridSpan w:val="2"/>
          </w:tcPr>
          <w:p>
            <w:pPr>
              <w:jc w:val="center"/>
              <w:ind w:right="2228"/>
              <w:spacing w:after="0"/>
              <w:rPr>
                <w:sz w:val="20"/>
                <w:szCs w:val="20"/>
                <w:color w:val="auto"/>
              </w:rPr>
            </w:pPr>
            <w:r>
              <w:rPr>
                <w:rFonts w:ascii="Arial" w:cs="Arial" w:eastAsia="Arial" w:hAnsi="Arial"/>
                <w:sz w:val="18"/>
                <w:szCs w:val="18"/>
                <w:b w:val="1"/>
                <w:bCs w:val="1"/>
                <w:color w:val="auto"/>
                <w:w w:val="91"/>
              </w:rPr>
              <w:t>2015 Equity Incentive Plan</w:t>
            </w:r>
          </w:p>
        </w:tc>
      </w:tr>
      <w:tr>
        <w:trPr>
          <w:trHeight w:val="186"/>
        </w:trPr>
        <w:tc>
          <w:tcPr>
            <w:tcW w:w="3060" w:type="dxa"/>
            <w:vAlign w:val="bottom"/>
          </w:tcPr>
          <w:p>
            <w:pPr>
              <w:spacing w:after="0"/>
              <w:rPr>
                <w:sz w:val="16"/>
                <w:szCs w:val="16"/>
                <w:color w:val="auto"/>
              </w:rPr>
            </w:pPr>
          </w:p>
        </w:tc>
        <w:tc>
          <w:tcPr>
            <w:tcW w:w="4700" w:type="dxa"/>
            <w:vAlign w:val="bottom"/>
            <w:gridSpan w:val="2"/>
          </w:tcPr>
          <w:p>
            <w:pPr>
              <w:jc w:val="center"/>
              <w:ind w:right="2248"/>
              <w:spacing w:after="0"/>
              <w:rPr>
                <w:sz w:val="20"/>
                <w:szCs w:val="20"/>
                <w:color w:val="auto"/>
              </w:rPr>
            </w:pPr>
            <w:r>
              <w:rPr>
                <w:rFonts w:ascii="Arial" w:cs="Arial" w:eastAsia="Arial" w:hAnsi="Arial"/>
                <w:sz w:val="14"/>
                <w:szCs w:val="14"/>
                <w:b w:val="1"/>
                <w:bCs w:val="1"/>
                <w:color w:val="auto"/>
                <w:w w:val="97"/>
              </w:rPr>
              <w:t>(Full Title of Plan)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Michael P. Duffy</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Senior Vice President, Strategy and Business Development,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331 Treble Cove Road, Building 600-2</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North Billerica, Massachusetts 01862</w:t>
      </w:r>
    </w:p>
    <w:p>
      <w:pPr>
        <w:spacing w:after="0" w:line="2"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(978) 671-8408</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or a non-accelerated filer. See the definitions of “large accelerated filer,” “accelerated filer,” “smaller reporting company” and “emerging growth company” in Rule 12b-2 of the Exchange Act:</w:t>
      </w:r>
    </w:p>
    <w:p>
      <w:pPr>
        <w:sectPr>
          <w:pgSz w:w="11900" w:h="16838" w:orient="portrait"/>
          <w:cols w:equalWidth="0" w:num="1">
            <w:col w:w="10880"/>
          </w:cols>
          <w:pgMar w:left="240" w:top="229" w:right="7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40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8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0"/>
                <w:szCs w:val="20"/>
                <w:color w:val="auto"/>
              </w:rPr>
            </w:pPr>
            <w:r>
              <w:rPr>
                <w:rFonts w:ascii="Arial" w:cs="Arial" w:eastAsia="Arial" w:hAnsi="Arial"/>
                <w:sz w:val="18"/>
                <w:szCs w:val="18"/>
                <w:color w:val="auto"/>
              </w:rPr>
              <w:t>Non-accelerated filer</w:t>
            </w:r>
          </w:p>
        </w:tc>
        <w:tc>
          <w:tcPr>
            <w:tcW w:w="540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4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3800" w:type="dxa"/>
            <w:vAlign w:val="bottom"/>
          </w:tcPr>
          <w:p>
            <w:pPr>
              <w:ind w:left="162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600" w:type="dxa"/>
            <w:vAlign w:val="bottom"/>
            <w:tcBorders>
              <w:right w:val="single" w:sz="8" w:color="auto"/>
            </w:tcBorders>
          </w:tcPr>
          <w:p>
            <w:pPr>
              <w:jc w:val="center"/>
              <w:ind w:left="25"/>
              <w:spacing w:after="0" w:line="116" w:lineRule="exact"/>
              <w:rPr>
                <w:sz w:val="20"/>
                <w:szCs w:val="20"/>
                <w:color w:val="auto"/>
              </w:rPr>
            </w:pPr>
            <w:r>
              <w:rPr>
                <w:rFonts w:ascii="Arial" w:cs="Arial" w:eastAsia="Arial" w:hAnsi="Arial"/>
                <w:sz w:val="13"/>
                <w:szCs w:val="13"/>
                <w:b w:val="1"/>
                <w:bCs w:val="1"/>
                <w:color w:val="auto"/>
                <w:w w:val="96"/>
              </w:rPr>
              <w:t>Proposed</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5"/>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2"/>
              </w:rPr>
              <w:t>Per Share (2)</w:t>
            </w:r>
          </w:p>
        </w:tc>
        <w:tc>
          <w:tcPr>
            <w:tcW w:w="160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6"/>
              </w:rPr>
              <w:t>Common Stock, $0.01 par value per share, reserved for issuance</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pursuant to the Lantheus Holdings, Inc. 2015 Equity Incentive</w:t>
            </w: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Plan, as amended</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w w:val="89"/>
              </w:rPr>
              <w:t>1,200,000</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89"/>
              </w:rPr>
              <w:t>$15.675</w:t>
            </w:r>
          </w:p>
        </w:tc>
        <w:tc>
          <w:tcPr>
            <w:tcW w:w="1600" w:type="dxa"/>
            <w:vAlign w:val="bottom"/>
            <w:tcBorders>
              <w:bottom w:val="single" w:sz="8" w:color="auto"/>
              <w:right w:val="single" w:sz="8" w:color="auto"/>
            </w:tcBorders>
          </w:tcPr>
          <w:p>
            <w:pPr>
              <w:jc w:val="center"/>
              <w:ind w:left="25"/>
              <w:spacing w:after="0"/>
              <w:rPr>
                <w:sz w:val="20"/>
                <w:szCs w:val="20"/>
                <w:color w:val="auto"/>
              </w:rPr>
            </w:pPr>
            <w:r>
              <w:rPr>
                <w:rFonts w:ascii="Arial" w:cs="Arial" w:eastAsia="Arial" w:hAnsi="Arial"/>
                <w:sz w:val="18"/>
                <w:szCs w:val="18"/>
                <w:color w:val="auto"/>
                <w:w w:val="89"/>
              </w:rPr>
              <w:t>$18,810,000</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$2,180.08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also covers an indeterminate number of securities that may become issuable under the 2015 Equity Incentive Plan, as amended, as a result of any stock splits, stock dividends, recapitalizations or similar transactions.</w:t>
      </w:r>
    </w:p>
    <w:p>
      <w:pPr>
        <w:spacing w:after="0" w:line="1" w:lineRule="exact"/>
        <w:rPr>
          <w:rFonts w:ascii="Arial" w:cs="Arial" w:eastAsia="Arial" w:hAnsi="Arial"/>
          <w:sz w:val="18"/>
          <w:szCs w:val="18"/>
          <w:color w:val="auto"/>
        </w:rPr>
      </w:pPr>
    </w:p>
    <w:p>
      <w:pPr>
        <w:ind w:left="460" w:right="60" w:hanging="452"/>
        <w:spacing w:after="0" w:line="261"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and Rule 457(h) under the Securities Act, based on the average of the high and low sales prices of the Registrant’s common stock on The NASDAQ Global Market on August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6"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Lantheus Holdings, Inc. (the “Registrant”) is filing this Registration Statement on Form S-8 (this “Registration Statement”) to register an additional 1,200,000 shares of its common stock, par value $0.01 per share, that may be issued and sold under the Lantheus Holdings, Inc. 2015 Equity Incentive Plan, as amended (the “Plan”), following the amendment to the Plan that was approved by the Registrant’s stockholders at its annual meeting on April 27, 2017. This Registration Statement is submitted in accordance with General Instruction E to Form S-8 regarding registration of additional securities, and pursuant to that instruction, the contents of the Registration Statements on Form S-8 (File No. 333-205211 and File No. 333-314343) filed with the Securities and Exchange Commission on June 25, 2015 and October 31, 2016, respectively, are incorporated herein by reference.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w:t>
      </w:r>
    </w:p>
    <w:p>
      <w:pPr>
        <w:sectPr>
          <w:pgSz w:w="11900" w:h="16838" w:orient="portrait"/>
          <w:cols w:equalWidth="0" w:num="1">
            <w:col w:w="11400"/>
          </w:cols>
          <w:pgMar w:left="240" w:top="270"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North Billerica, Commonwealth of Massachusetts, on August 18, 2017.</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Lantheus Holdings,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Anne Heino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Mary Anne Heino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KNOW ALL PERSONS BY THESE PRESENTS, that each of the undersigned constitutes and appoints each of Mary Anne Heino, John Crowley and Michael P. Duffy, each acting alone, her or his true and lawful attorney-in-fact and agent, with full power of substitution and resubstitution, for such person and in her or his name, place and stead, in any and all capacities, to sign this Registration Statement on Form S-8 (including all pre-effective and post-effective amendments and registration statements filed pursuant to Rule 462(b)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her or his substitute or substitutes, may lawfully do or cause to be done by virtue hereof.</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5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Mary Anne Heino</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President, Chief Executive Officer and 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4"/>
              </w:rPr>
              <w:t>Mary Anne Heino</w:t>
            </w:r>
          </w:p>
        </w:tc>
        <w:tc>
          <w:tcPr>
            <w:tcW w:w="100" w:type="dxa"/>
            <w:vAlign w:val="bottom"/>
          </w:tcPr>
          <w:p>
            <w:pPr>
              <w:spacing w:after="0"/>
              <w:rPr>
                <w:sz w:val="19"/>
                <w:szCs w:val="19"/>
                <w:color w:val="auto"/>
              </w:rPr>
            </w:pPr>
          </w:p>
        </w:tc>
        <w:tc>
          <w:tcPr>
            <w:tcW w:w="530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(Principal Executive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John W. Crowley</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Chief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John W. Crowley</w:t>
            </w:r>
          </w:p>
        </w:tc>
        <w:tc>
          <w:tcPr>
            <w:tcW w:w="100" w:type="dxa"/>
            <w:vAlign w:val="bottom"/>
          </w:tcPr>
          <w:p>
            <w:pPr>
              <w:spacing w:after="0"/>
              <w:rPr>
                <w:sz w:val="19"/>
                <w:szCs w:val="19"/>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(Principal Financial and 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Brian Markison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Chairman of the Board of Directors</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Brian Markison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David Burgstahler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David Burgstahler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C. Clemmer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8"/>
              </w:rPr>
              <w:t>James C. Clemmer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Samuel Leno</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Samuel Leno</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Julie H. McHugh</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3"/>
              </w:rPr>
              <w:t>Julie H. McHugh</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Dr. Frederick Robertson</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Dr. Frederick Robertson</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Dr. Derace Schaffer</w:t>
            </w:r>
          </w:p>
        </w:tc>
        <w:tc>
          <w:tcPr>
            <w:tcW w:w="100" w:type="dxa"/>
            <w:vAlign w:val="bottom"/>
          </w:tcPr>
          <w:p>
            <w:pPr>
              <w:spacing w:after="0"/>
              <w:rPr>
                <w:sz w:val="24"/>
                <w:szCs w:val="24"/>
                <w:color w:val="auto"/>
              </w:rPr>
            </w:pPr>
          </w:p>
        </w:tc>
        <w:tc>
          <w:tcPr>
            <w:tcW w:w="5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89"/>
              </w:rPr>
              <w:t>August 18, 2017</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Dr. Derace Schaffer</w:t>
            </w:r>
          </w:p>
        </w:tc>
        <w:tc>
          <w:tcPr>
            <w:tcW w:w="1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20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9"/>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020" w:type="dxa"/>
            <w:vAlign w:val="bottom"/>
            <w:gridSpan w:val="3"/>
            <w:vMerge w:val="restart"/>
          </w:tcPr>
          <w:p>
            <w:pPr>
              <w:ind w:left="2000"/>
              <w:spacing w:after="0"/>
              <w:rPr>
                <w:sz w:val="20"/>
                <w:szCs w:val="20"/>
                <w:color w:val="auto"/>
              </w:rPr>
            </w:pPr>
            <w:r>
              <w:rPr>
                <w:rFonts w:ascii="Arial" w:cs="Arial" w:eastAsia="Arial" w:hAnsi="Arial"/>
                <w:sz w:val="14"/>
                <w:szCs w:val="14"/>
                <w:b w:val="1"/>
                <w:bCs w:val="1"/>
                <w:color w:val="auto"/>
              </w:rPr>
              <w:t>DESCRIPTION OF EXHIBITS</w:t>
            </w:r>
          </w:p>
        </w:tc>
        <w:tc>
          <w:tcPr>
            <w:tcW w:w="8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FORM</w:t>
            </w:r>
          </w:p>
        </w:tc>
        <w:tc>
          <w:tcPr>
            <w:tcW w:w="340" w:type="dxa"/>
            <w:vAlign w:val="bottom"/>
          </w:tcPr>
          <w:p>
            <w:pPr>
              <w:spacing w:after="0"/>
              <w:rPr>
                <w:sz w:val="10"/>
                <w:szCs w:val="10"/>
                <w:color w:val="auto"/>
              </w:rPr>
            </w:pPr>
          </w:p>
        </w:tc>
        <w:tc>
          <w:tcPr>
            <w:tcW w:w="9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FILE</w:t>
            </w:r>
          </w:p>
        </w:tc>
        <w:tc>
          <w:tcPr>
            <w:tcW w:w="10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14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6020" w:type="dxa"/>
            <w:vAlign w:val="bottom"/>
            <w:gridSpan w:val="3"/>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NUMBER</w:t>
            </w:r>
          </w:p>
        </w:tc>
        <w:tc>
          <w:tcPr>
            <w:tcW w:w="104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620" w:type="dxa"/>
            <w:vAlign w:val="bottom"/>
          </w:tcPr>
          <w:p>
            <w:pPr>
              <w:jc w:val="right"/>
              <w:ind w:right="262"/>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w w:val="95"/>
              </w:rPr>
              <w:t>Amended and Restated Certificate of Incorporation of Lantheus Holdings, Inc.</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001-36569</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Bylaws of Lantheus Holdings, Inc.</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001-36569</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Common Stock Certificate.</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001-36569</w:t>
            </w:r>
          </w:p>
        </w:tc>
        <w:tc>
          <w:tcPr>
            <w:tcW w:w="840" w:type="dxa"/>
            <w:vAlign w:val="bottom"/>
            <w:gridSpan w:val="2"/>
          </w:tcPr>
          <w:p>
            <w:pPr>
              <w:jc w:val="center"/>
              <w:ind w:left="132"/>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30,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Lantheus Holdings, Inc. 2015 Equity Incentive Plan.</w:t>
            </w:r>
          </w:p>
        </w:tc>
        <w:tc>
          <w:tcPr>
            <w:tcW w:w="18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333-196998</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10.37</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24,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Form of 2015 Restricted Stock Agreement.</w:t>
            </w:r>
          </w:p>
        </w:tc>
        <w:tc>
          <w:tcPr>
            <w:tcW w:w="18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333-196998</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10.38</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24,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Form of 2015 Option Award Agreement.</w:t>
            </w:r>
          </w:p>
        </w:tc>
        <w:tc>
          <w:tcPr>
            <w:tcW w:w="180" w:type="dxa"/>
            <w:vAlign w:val="bottom"/>
          </w:tcPr>
          <w:p>
            <w:pPr>
              <w:spacing w:after="0"/>
              <w:rPr>
                <w:sz w:val="24"/>
                <w:szCs w:val="2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S-1</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89"/>
              </w:rPr>
              <w:t>333-196998</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88"/>
              </w:rPr>
              <w:t>10.39</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87"/>
              </w:rPr>
              <w:t>June 24, 2015</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Amendment to Lantheus Holdings, Inc. 2015 Equity Incentive Plan.</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001-36569</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3"/>
              </w:rPr>
              <w:t>April 28, 2016</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262"/>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w w:val="98"/>
              </w:rPr>
              <w:t>Second Amendment to Lantheus Holdings, Inc. 2015 Equity Incentive Plan.</w:t>
            </w:r>
          </w:p>
        </w:tc>
        <w:tc>
          <w:tcPr>
            <w:tcW w:w="180" w:type="dxa"/>
            <w:vAlign w:val="bottom"/>
          </w:tcPr>
          <w:p>
            <w:pPr>
              <w:spacing w:after="0"/>
              <w:rPr>
                <w:sz w:val="24"/>
                <w:szCs w:val="2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8-K</w:t>
            </w:r>
          </w:p>
        </w:tc>
        <w:tc>
          <w:tcPr>
            <w:tcW w:w="1320" w:type="dxa"/>
            <w:vAlign w:val="bottom"/>
            <w:gridSpan w:val="3"/>
          </w:tcPr>
          <w:p>
            <w:pPr>
              <w:jc w:val="center"/>
              <w:spacing w:after="0"/>
              <w:rPr>
                <w:sz w:val="20"/>
                <w:szCs w:val="20"/>
                <w:color w:val="auto"/>
              </w:rPr>
            </w:pPr>
            <w:r>
              <w:rPr>
                <w:rFonts w:ascii="Arial" w:cs="Arial" w:eastAsia="Arial" w:hAnsi="Arial"/>
                <w:sz w:val="18"/>
                <w:szCs w:val="18"/>
                <w:color w:val="auto"/>
                <w:w w:val="90"/>
              </w:rPr>
              <w:t>001-36569</w:t>
            </w:r>
          </w:p>
        </w:tc>
        <w:tc>
          <w:tcPr>
            <w:tcW w:w="840" w:type="dxa"/>
            <w:vAlign w:val="bottom"/>
            <w:gridSpan w:val="2"/>
          </w:tcPr>
          <w:p>
            <w:pPr>
              <w:jc w:val="center"/>
              <w:ind w:left="152"/>
              <w:spacing w:after="0"/>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3"/>
              </w:rPr>
              <w:t>April 28, 2017</w:t>
            </w: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Legal Opinion of Ropes &amp; Gray LLP.</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w w:val="95"/>
              </w:rPr>
              <w:t>23.1*</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w w:val="94"/>
              </w:rPr>
              <w:t>Consent of Independent Registered Public Accounting Firm, Deloitte &amp; Touche</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LLP.</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w w:val="95"/>
              </w:rPr>
              <w:t>23.2*</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Consent of Ropes &amp; Gray LLP (included as part of Exhibit 5.1).</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 w:type="dxa"/>
            <w:vAlign w:val="bottom"/>
            <w:gridSpan w:val="2"/>
          </w:tcPr>
          <w:p>
            <w:pPr>
              <w:jc w:val="right"/>
              <w:ind w:right="162"/>
              <w:spacing w:after="0"/>
              <w:rPr>
                <w:sz w:val="20"/>
                <w:szCs w:val="20"/>
                <w:color w:val="auto"/>
              </w:rPr>
            </w:pPr>
            <w:r>
              <w:rPr>
                <w:rFonts w:ascii="Arial" w:cs="Arial" w:eastAsia="Arial" w:hAnsi="Arial"/>
                <w:sz w:val="18"/>
                <w:szCs w:val="18"/>
                <w:color w:val="auto"/>
                <w:w w:val="95"/>
              </w:rPr>
              <w:t>24.1*</w:t>
            </w:r>
          </w:p>
        </w:tc>
        <w:tc>
          <w:tcPr>
            <w:tcW w:w="80" w:type="dxa"/>
            <w:vAlign w:val="bottom"/>
          </w:tcPr>
          <w:p>
            <w:pPr>
              <w:spacing w:after="0"/>
              <w:rPr>
                <w:sz w:val="24"/>
                <w:szCs w:val="24"/>
                <w:color w:val="auto"/>
              </w:rPr>
            </w:pPr>
          </w:p>
        </w:tc>
        <w:tc>
          <w:tcPr>
            <w:tcW w:w="6020" w:type="dxa"/>
            <w:vAlign w:val="bottom"/>
            <w:gridSpan w:val="3"/>
          </w:tcPr>
          <w:p>
            <w:pPr>
              <w:ind w:left="80"/>
              <w:spacing w:after="0"/>
              <w:rPr>
                <w:sz w:val="20"/>
                <w:szCs w:val="20"/>
                <w:color w:val="auto"/>
              </w:rPr>
            </w:pPr>
            <w:r>
              <w:rPr>
                <w:rFonts w:ascii="Arial" w:cs="Arial" w:eastAsia="Arial" w:hAnsi="Arial"/>
                <w:sz w:val="18"/>
                <w:szCs w:val="18"/>
                <w:color w:val="auto"/>
              </w:rPr>
              <w:t>Power of Attorney (included as part of the signature page hereto).</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11420"/>
          </w:cols>
          <w:pgMar w:left="240" w:top="27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54038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385" cy="677545"/>
                    </a:xfrm>
                    <a:prstGeom prst="rect">
                      <a:avLst/>
                    </a:prstGeom>
                    <a:noFill/>
                  </pic:spPr>
                </pic:pic>
              </a:graphicData>
            </a:graphic>
          </wp:anchor>
        </w:drawing>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PRUDENTIAL TOWER</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800 BOYLSTON STREET</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BOSTON, MA 02199-3600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WWW.ROPESGRAY.COM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Lantheus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331 Treble Cove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Billerica, MA 01862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opinion letter is furnished to you in connection with the registration statement on Form S-8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filed by Lantheus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on the date hereof, with the Securities and Exchange Commission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for the registration of 1,200,000 shares of Common Stock, $0.01 par value, of the Company (the “</w:t>
      </w:r>
      <w:r>
        <w:rPr>
          <w:rFonts w:ascii="Arial" w:cs="Arial" w:eastAsia="Arial" w:hAnsi="Arial"/>
          <w:sz w:val="18"/>
          <w:szCs w:val="18"/>
          <w:u w:val="single" w:color="auto"/>
          <w:color w:val="auto"/>
        </w:rPr>
        <w:t>Shares</w:t>
      </w:r>
      <w:r>
        <w:rPr>
          <w:rFonts w:ascii="Arial" w:cs="Arial" w:eastAsia="Arial" w:hAnsi="Arial"/>
          <w:sz w:val="18"/>
          <w:szCs w:val="18"/>
          <w:color w:val="auto"/>
        </w:rPr>
        <w:t>”). The Shares are issuable under the Company’s 2015 Equity Incentive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We are familiar with the actions taken by the Company in connection with the adoption of the amendment to the Plan providing for the inclusion of the Shares.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opinions expressed below are limited to the Delaware General Corporation Law.</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Based upon and subject to the foregoing, we are of the opinion that the Shares have been duly authorized and, when the Shares have been issued and sold in accordance with the terms of the Plan, the Shares will be validly issued, fully paid and nonassessable.</w:t>
      </w:r>
    </w:p>
    <w:p>
      <w:pPr>
        <w:spacing w:after="0" w:line="17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Lantheus Holdings, Inc.</w:t>
            </w:r>
          </w:p>
        </w:tc>
        <w:tc>
          <w:tcPr>
            <w:tcW w:w="2280" w:type="dxa"/>
            <w:vAlign w:val="bottom"/>
          </w:tcPr>
          <w:p>
            <w:pPr>
              <w:jc w:val="right"/>
              <w:spacing w:after="0"/>
              <w:rPr>
                <w:sz w:val="20"/>
                <w:szCs w:val="20"/>
                <w:color w:val="auto"/>
              </w:rPr>
            </w:pPr>
            <w:r>
              <w:rPr>
                <w:rFonts w:ascii="Arial" w:cs="Arial" w:eastAsia="Arial" w:hAnsi="Arial"/>
                <w:sz w:val="18"/>
                <w:szCs w:val="18"/>
                <w:color w:val="auto"/>
              </w:rPr>
              <w:t>- 2 -</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Ropes &amp; Gray LLP</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Ropes &amp; Gray LLP</w:t>
      </w:r>
    </w:p>
    <w:p>
      <w:pPr>
        <w:sectPr>
          <w:pgSz w:w="11900" w:h="16838" w:orient="portrait"/>
          <w:cols w:equalWidth="0" w:num="1">
            <w:col w:w="10219"/>
          </w:cols>
          <w:pgMar w:left="240" w:top="274"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February 23, 2017, relating to the financial statements of Lantheus Holdings, Inc. appearing in the Annual Report on Form 10-K of Lantheus Holdings, Inc. for the year ended December 31,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18, 2017</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2019-12-07T15:12:19Z</dcterms:created>
  <dcterms:modified xsi:type="dcterms:W3CDTF">2019-12-07T15:12:19Z</dcterms:modified>
</cp:coreProperties>
</file>