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Avista Capital Partners GP,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06/24/2015</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Lantheus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LNTH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660" w:type="dxa"/>
            <w:vAlign w:val="bottom"/>
          </w:tcPr>
          <w:p>
            <w:pPr>
              <w:ind w:left="540"/>
              <w:spacing w:after="0" w:line="68" w:lineRule="exact"/>
              <w:rPr>
                <w:sz w:val="20"/>
                <w:szCs w:val="20"/>
                <w:color w:val="auto"/>
              </w:rPr>
            </w:pPr>
            <w:r>
              <w:rPr>
                <w:rFonts w:ascii="Arial" w:cs="Arial" w:eastAsia="Arial" w:hAnsi="Arial"/>
                <w:sz w:val="7"/>
                <w:szCs w:val="7"/>
                <w:color w:val="auto"/>
              </w:rPr>
              <w:t>below)</w:t>
            </w:r>
          </w:p>
        </w:tc>
        <w:tc>
          <w:tcPr>
            <w:tcW w:w="1660" w:type="dxa"/>
            <w:vAlign w:val="bottom"/>
          </w:tcPr>
          <w:p>
            <w:pPr>
              <w:ind w:left="500"/>
              <w:spacing w:after="0" w:line="68" w:lineRule="exact"/>
              <w:rPr>
                <w:sz w:val="20"/>
                <w:szCs w:val="20"/>
                <w:color w:val="auto"/>
              </w:rPr>
            </w:pPr>
            <w:r>
              <w:rPr>
                <w:rFonts w:ascii="Arial" w:cs="Arial" w:eastAsia="Arial" w:hAnsi="Arial"/>
                <w:sz w:val="7"/>
                <w:szCs w:val="7"/>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9"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367"/>
              <w:spacing w:after="0"/>
              <w:rPr>
                <w:sz w:val="20"/>
                <w:szCs w:val="20"/>
                <w:color w:val="auto"/>
              </w:rPr>
            </w:pPr>
            <w:r>
              <w:rPr>
                <w:rFonts w:ascii="Arial" w:cs="Arial" w:eastAsia="Arial" w:hAnsi="Arial"/>
                <w:sz w:val="18"/>
                <w:szCs w:val="18"/>
                <w:color w:val="0000FF"/>
              </w:rPr>
              <w:t>17,793,599</w:t>
            </w:r>
          </w:p>
        </w:tc>
        <w:tc>
          <w:tcPr>
            <w:tcW w:w="104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I</w:t>
            </w:r>
          </w:p>
        </w:tc>
        <w:tc>
          <w:tcPr>
            <w:tcW w:w="18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90"/>
              </w:rPr>
              <w:t>Affilliated Funds</w:t>
            </w:r>
            <w:r>
              <w:rPr>
                <w:rFonts w:ascii="Arial" w:cs="Arial" w:eastAsia="Arial" w:hAnsi="Arial"/>
                <w:sz w:val="22"/>
                <w:szCs w:val="22"/>
                <w:color w:val="008000"/>
                <w:w w:val="90"/>
                <w:vertAlign w:val="superscript"/>
              </w:rPr>
              <w:t>(1)</w:t>
            </w: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11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80" w:type="dxa"/>
            <w:vAlign w:val="bottom"/>
            <w:gridSpan w:val="9"/>
          </w:tcPr>
          <w:p>
            <w:pPr>
              <w:ind w:left="3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9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9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9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9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9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9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6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8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4"/>
          </w:tcPr>
          <w:p>
            <w:pPr>
              <w:spacing w:after="0" w:line="224" w:lineRule="exact"/>
              <w:rPr>
                <w:rFonts w:ascii="Arial" w:cs="Arial" w:eastAsia="Arial" w:hAnsi="Arial"/>
                <w:sz w:val="22"/>
                <w:szCs w:val="22"/>
                <w:color w:val="0000EE"/>
                <w:w w:val="91"/>
              </w:rPr>
            </w:pPr>
            <w:hyperlink r:id="rId11">
              <w:r>
                <w:rPr>
                  <w:rFonts w:ascii="Arial" w:cs="Arial" w:eastAsia="Arial" w:hAnsi="Arial"/>
                  <w:sz w:val="22"/>
                  <w:szCs w:val="22"/>
                  <w:color w:val="0000EE"/>
                  <w:w w:val="91"/>
                </w:rPr>
                <w:t>Avista Capital Partners GP, LLC</w:t>
              </w:r>
            </w:hyperlink>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6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rPr>
              <w:t>C/O LANTHEUS HOLDINGS, INC.</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rPr>
              <w:t>331 TREBLE COVE ROAD</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NORTH</w:t>
            </w:r>
          </w:p>
        </w:tc>
        <w:tc>
          <w:tcPr>
            <w:tcW w:w="16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MA</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0000FF"/>
                <w:w w:val="91"/>
              </w:rPr>
              <w:t>01862</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6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4"/>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Avista Capital Partners, L.P.</w:t>
              </w:r>
            </w:hyperlink>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6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rPr>
              <w:t>C/O LANTHEUS HOLDINGS, INC.</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rPr>
              <w:t>331 TREBLE COVE ROAD</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NORTH</w:t>
            </w:r>
          </w:p>
        </w:tc>
        <w:tc>
          <w:tcPr>
            <w:tcW w:w="16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MA</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0000FF"/>
                <w:w w:val="91"/>
              </w:rPr>
              <w:t>01862</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1560" w:type="dxa"/>
            <w:vAlign w:val="bottom"/>
            <w:gridSpan w:val="4"/>
          </w:tcPr>
          <w:p>
            <w:pPr>
              <w:ind w:left="4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8"/>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Avista Capital Partners (Offshore), L.P.</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1560" w:type="dxa"/>
            <w:vAlign w:val="bottom"/>
            <w:gridSpan w:val="4"/>
          </w:tcPr>
          <w:p>
            <w:pPr>
              <w:ind w:left="4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LANTHEUS HOLDINGS, INC.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331 TREBLE COVE ROAD</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NORTH</w:t>
            </w:r>
          </w:p>
        </w:tc>
        <w:tc>
          <w:tcPr>
            <w:tcW w:w="1580" w:type="dxa"/>
            <w:vAlign w:val="bottom"/>
            <w:gridSpan w:val="2"/>
            <w:vMerge w:val="restart"/>
          </w:tcPr>
          <w:p>
            <w:pPr>
              <w:ind w:left="260"/>
              <w:spacing w:after="0"/>
              <w:rPr>
                <w:sz w:val="20"/>
                <w:szCs w:val="20"/>
                <w:color w:val="auto"/>
              </w:rPr>
            </w:pPr>
            <w:r>
              <w:rPr>
                <w:rFonts w:ascii="Arial" w:cs="Arial" w:eastAsia="Arial" w:hAnsi="Arial"/>
                <w:sz w:val="18"/>
                <w:szCs w:val="18"/>
                <w:color w:val="0000FF"/>
              </w:rPr>
              <w:t>MA</w:t>
            </w:r>
          </w:p>
        </w:tc>
        <w:tc>
          <w:tcPr>
            <w:tcW w:w="1560" w:type="dxa"/>
            <w:vAlign w:val="bottom"/>
            <w:vMerge w:val="restart"/>
          </w:tcPr>
          <w:p>
            <w:pPr>
              <w:ind w:left="140"/>
              <w:spacing w:after="0"/>
              <w:rPr>
                <w:sz w:val="20"/>
                <w:szCs w:val="20"/>
                <w:color w:val="auto"/>
              </w:rPr>
            </w:pPr>
            <w:r>
              <w:rPr>
                <w:rFonts w:ascii="Arial" w:cs="Arial" w:eastAsia="Arial" w:hAnsi="Arial"/>
                <w:sz w:val="18"/>
                <w:szCs w:val="18"/>
                <w:color w:val="0000FF"/>
              </w:rPr>
              <w:t>01862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580" w:type="dxa"/>
            <w:vAlign w:val="bottom"/>
            <w:gridSpan w:val="2"/>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8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8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780" w:type="dxa"/>
            <w:vAlign w:val="bottom"/>
            <w:gridSpan w:val="3"/>
          </w:tcPr>
          <w:p>
            <w:pPr>
              <w:spacing w:after="0" w:line="224" w:lineRule="exact"/>
              <w:rPr>
                <w:rFonts w:ascii="Arial" w:cs="Arial" w:eastAsia="Arial" w:hAnsi="Arial"/>
                <w:sz w:val="22"/>
                <w:szCs w:val="22"/>
                <w:color w:val="0000EE"/>
                <w:w w:val="98"/>
              </w:rPr>
            </w:pPr>
            <w:hyperlink r:id="rId15">
              <w:r>
                <w:rPr>
                  <w:rFonts w:ascii="Arial" w:cs="Arial" w:eastAsia="Arial" w:hAnsi="Arial"/>
                  <w:sz w:val="22"/>
                  <w:szCs w:val="22"/>
                  <w:color w:val="0000EE"/>
                  <w:w w:val="98"/>
                </w:rPr>
                <w:t>ACP-Lantern Co-Invest,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8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0000FF"/>
                <w:w w:val="99"/>
              </w:rPr>
              <w:t>C/O LANTHEUS HOLDINGS, INC.</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0000FF"/>
              </w:rPr>
              <w:t>331 TREBLE COVE ROAD</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NORTH</w:t>
            </w:r>
          </w:p>
        </w:tc>
        <w:tc>
          <w:tcPr>
            <w:tcW w:w="1580" w:type="dxa"/>
            <w:vAlign w:val="bottom"/>
            <w:gridSpan w:val="2"/>
            <w:vMerge w:val="restart"/>
          </w:tcPr>
          <w:p>
            <w:pPr>
              <w:ind w:left="260"/>
              <w:spacing w:after="0"/>
              <w:rPr>
                <w:sz w:val="20"/>
                <w:szCs w:val="20"/>
                <w:color w:val="auto"/>
              </w:rPr>
            </w:pPr>
            <w:r>
              <w:rPr>
                <w:rFonts w:ascii="Arial" w:cs="Arial" w:eastAsia="Arial" w:hAnsi="Arial"/>
                <w:sz w:val="18"/>
                <w:szCs w:val="18"/>
                <w:color w:val="0000FF"/>
              </w:rPr>
              <w:t>MA</w:t>
            </w:r>
          </w:p>
        </w:tc>
        <w:tc>
          <w:tcPr>
            <w:tcW w:w="1560" w:type="dxa"/>
            <w:vAlign w:val="bottom"/>
            <w:vMerge w:val="restart"/>
          </w:tcPr>
          <w:p>
            <w:pPr>
              <w:ind w:left="140"/>
              <w:spacing w:after="0"/>
              <w:rPr>
                <w:sz w:val="20"/>
                <w:szCs w:val="20"/>
                <w:color w:val="auto"/>
              </w:rPr>
            </w:pPr>
            <w:r>
              <w:rPr>
                <w:rFonts w:ascii="Arial" w:cs="Arial" w:eastAsia="Arial" w:hAnsi="Arial"/>
                <w:sz w:val="18"/>
                <w:szCs w:val="18"/>
                <w:color w:val="0000FF"/>
              </w:rPr>
              <w:t>01862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BILLERICA</w:t>
            </w:r>
          </w:p>
        </w:tc>
        <w:tc>
          <w:tcPr>
            <w:tcW w:w="1580" w:type="dxa"/>
            <w:vAlign w:val="bottom"/>
            <w:gridSpan w:val="2"/>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8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808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924175" cy="28086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85"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Avista Capital Partners GP, LLC ultimately exercises voting and dispositive power over the securities held by Avista Capital Partners, L.P., Avista Capital Partners (Offshore), L.P. and ACP-Lantern Co-Invest, LLC. The reporting person disclaims beneficial ownership of these securities except to the extent of its pecuniary interest therein, and the inclusion of shares in this report shall not be deemed an admission that the reporting person is the beneficial owner of the securities so disclaimed for purposes of Section 16 or for any other purpose.</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David Burgstahler,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06/24/2015</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President and Partner</w:t>
            </w:r>
          </w:p>
        </w:tc>
        <w:tc>
          <w:tcPr>
            <w:tcW w:w="20" w:type="dxa"/>
            <w:vAlign w:val="bottom"/>
            <w:tcBorders>
              <w:top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top w:val="single" w:sz="8" w:color="auto"/>
              <w:bottom w:val="single" w:sz="8" w:color="auto"/>
            </w:tcBorders>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2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260" w:top="26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6" Type="http://schemas.openxmlformats.org/officeDocument/2006/relationships/image" Target="media/image4.png"/><Relationship Id="rId11" Type="http://schemas.openxmlformats.org/officeDocument/2006/relationships/hyperlink" Target="http://www.sec.gov/cgi-bin/browse-edgar?action=getcompany&amp;CIK=0001374781" TargetMode="External"/><Relationship Id="rId12" Type="http://schemas.openxmlformats.org/officeDocument/2006/relationships/hyperlink" Target="http://www.sec.gov/cgi-bin/browse-edgar?action=getcompany&amp;CIK=0001521036" TargetMode="External"/><Relationship Id="rId13" Type="http://schemas.openxmlformats.org/officeDocument/2006/relationships/hyperlink" Target="http://www.sec.gov/cgi-bin/browse-edgar?action=getcompany&amp;CIK=0001374541" TargetMode="External"/><Relationship Id="rId14" Type="http://schemas.openxmlformats.org/officeDocument/2006/relationships/hyperlink" Target="http://www.sec.gov/cgi-bin/browse-edgar?action=getcompany&amp;CIK=0001374540" TargetMode="External"/><Relationship Id="rId15" Type="http://schemas.openxmlformats.org/officeDocument/2006/relationships/hyperlink" Target="http://www.sec.gov/cgi-bin/browse-edgar?action=getcompany&amp;CIK=00016136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2019-12-24T03:02:13Z</dcterms:created>
  <dcterms:modified xsi:type="dcterms:W3CDTF">2019-12-24T03:02:13Z</dcterms:modified>
</cp:coreProperties>
</file>